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F99" w:rsidRPr="00010F83" w:rsidRDefault="009A306C" w:rsidP="00590853">
      <w:pPr>
        <w:autoSpaceDE w:val="0"/>
        <w:autoSpaceDN w:val="0"/>
        <w:adjustRightInd w:val="0"/>
        <w:spacing w:after="120" w:line="240" w:lineRule="auto"/>
        <w:jc w:val="both"/>
        <w:rPr>
          <w:rFonts w:ascii="Arial" w:hAnsi="Arial" w:cs="Arial"/>
          <w:b/>
          <w:bCs/>
          <w:sz w:val="28"/>
          <w:szCs w:val="28"/>
        </w:rPr>
      </w:pPr>
      <w:r w:rsidRPr="00010F83">
        <w:rPr>
          <w:rFonts w:ascii="Arial" w:hAnsi="Arial" w:cs="Arial"/>
          <w:b/>
          <w:bCs/>
          <w:sz w:val="28"/>
          <w:szCs w:val="28"/>
        </w:rPr>
        <w:t>IAS 12</w:t>
      </w:r>
    </w:p>
    <w:p w:rsidR="000E2F99" w:rsidRPr="00010F83" w:rsidRDefault="000E2F99" w:rsidP="00590853">
      <w:pPr>
        <w:autoSpaceDE w:val="0"/>
        <w:autoSpaceDN w:val="0"/>
        <w:adjustRightInd w:val="0"/>
        <w:spacing w:after="120" w:line="240" w:lineRule="auto"/>
        <w:jc w:val="both"/>
        <w:rPr>
          <w:rFonts w:ascii="Arial" w:hAnsi="Arial" w:cs="Arial"/>
          <w:b/>
          <w:bCs/>
        </w:rPr>
      </w:pPr>
    </w:p>
    <w:p w:rsidR="000E2F99" w:rsidRPr="00010F83" w:rsidRDefault="008307CC" w:rsidP="00590853">
      <w:pPr>
        <w:autoSpaceDE w:val="0"/>
        <w:autoSpaceDN w:val="0"/>
        <w:adjustRightInd w:val="0"/>
        <w:spacing w:after="120" w:line="240" w:lineRule="auto"/>
        <w:jc w:val="both"/>
        <w:rPr>
          <w:rFonts w:ascii="Arial" w:hAnsi="Arial" w:cs="Arial"/>
          <w:b/>
          <w:bCs/>
          <w:sz w:val="28"/>
          <w:szCs w:val="28"/>
        </w:rPr>
      </w:pPr>
      <w:r w:rsidRPr="00010F83">
        <w:rPr>
          <w:rFonts w:ascii="Arial" w:hAnsi="Arial" w:cs="Arial"/>
          <w:b/>
          <w:bCs/>
          <w:sz w:val="28"/>
          <w:szCs w:val="28"/>
        </w:rPr>
        <w:t xml:space="preserve">Thuế </w:t>
      </w:r>
      <w:proofErr w:type="gramStart"/>
      <w:r w:rsidR="00C9413A" w:rsidRPr="00010F83">
        <w:rPr>
          <w:rFonts w:ascii="Arial" w:hAnsi="Arial" w:cs="Arial"/>
          <w:b/>
          <w:bCs/>
          <w:sz w:val="28"/>
          <w:szCs w:val="28"/>
        </w:rPr>
        <w:t>thu</w:t>
      </w:r>
      <w:proofErr w:type="gramEnd"/>
      <w:r w:rsidR="00C9413A" w:rsidRPr="00010F83">
        <w:rPr>
          <w:rFonts w:ascii="Arial" w:hAnsi="Arial" w:cs="Arial"/>
          <w:b/>
          <w:bCs/>
          <w:sz w:val="28"/>
          <w:szCs w:val="28"/>
        </w:rPr>
        <w:t xml:space="preserve"> nhập d</w:t>
      </w:r>
      <w:r w:rsidRPr="00010F83">
        <w:rPr>
          <w:rFonts w:ascii="Arial" w:hAnsi="Arial" w:cs="Arial"/>
          <w:b/>
          <w:bCs/>
          <w:sz w:val="28"/>
          <w:szCs w:val="28"/>
        </w:rPr>
        <w:t>oanh nghiệp</w:t>
      </w:r>
    </w:p>
    <w:p w:rsidR="000E2F99" w:rsidRPr="00010F83" w:rsidRDefault="000E2F99" w:rsidP="00590853">
      <w:pPr>
        <w:autoSpaceDE w:val="0"/>
        <w:autoSpaceDN w:val="0"/>
        <w:adjustRightInd w:val="0"/>
        <w:spacing w:after="120" w:line="240" w:lineRule="auto"/>
        <w:jc w:val="both"/>
        <w:rPr>
          <w:rFonts w:ascii="Arial" w:hAnsi="Arial" w:cs="Arial"/>
          <w:b/>
          <w:bCs/>
        </w:rPr>
      </w:pPr>
    </w:p>
    <w:p w:rsidR="000E2F99" w:rsidRPr="00010F83" w:rsidRDefault="009A306C" w:rsidP="00590853">
      <w:pPr>
        <w:autoSpaceDE w:val="0"/>
        <w:autoSpaceDN w:val="0"/>
        <w:adjustRightInd w:val="0"/>
        <w:spacing w:after="120" w:line="240" w:lineRule="auto"/>
        <w:jc w:val="both"/>
        <w:rPr>
          <w:rFonts w:ascii="Arial" w:hAnsi="Arial" w:cs="Arial"/>
          <w:bCs/>
        </w:rPr>
      </w:pPr>
      <w:r w:rsidRPr="00010F83">
        <w:rPr>
          <w:rFonts w:ascii="Arial" w:hAnsi="Arial" w:cs="Arial"/>
          <w:bCs/>
        </w:rPr>
        <w:t>T</w:t>
      </w:r>
      <w:r w:rsidR="000E2F99" w:rsidRPr="00010F83">
        <w:rPr>
          <w:rFonts w:ascii="Arial" w:hAnsi="Arial" w:cs="Arial"/>
          <w:bCs/>
        </w:rPr>
        <w:t>háng 4 năm 20</w:t>
      </w:r>
      <w:r w:rsidR="000F51B1" w:rsidRPr="00010F83">
        <w:rPr>
          <w:rFonts w:ascii="Arial" w:hAnsi="Arial" w:cs="Arial"/>
          <w:bCs/>
        </w:rPr>
        <w:t>0</w:t>
      </w:r>
      <w:r w:rsidR="000E2F99" w:rsidRPr="00010F83">
        <w:rPr>
          <w:rFonts w:ascii="Arial" w:hAnsi="Arial" w:cs="Arial"/>
          <w:bCs/>
        </w:rPr>
        <w:t xml:space="preserve">1, </w:t>
      </w:r>
      <w:r w:rsidRPr="00010F83">
        <w:rPr>
          <w:rFonts w:ascii="Arial" w:hAnsi="Arial" w:cs="Arial"/>
          <w:bCs/>
        </w:rPr>
        <w:t>H</w:t>
      </w:r>
      <w:r w:rsidR="0021590E" w:rsidRPr="00010F83">
        <w:rPr>
          <w:rFonts w:ascii="Arial" w:hAnsi="Arial" w:cs="Arial"/>
          <w:bCs/>
        </w:rPr>
        <w:t>ội đồng Chuẩn mực kế toán quốc tế</w:t>
      </w:r>
      <w:r w:rsidR="000E2F99" w:rsidRPr="00010F83">
        <w:rPr>
          <w:rFonts w:ascii="Arial" w:hAnsi="Arial" w:cs="Arial"/>
          <w:bCs/>
        </w:rPr>
        <w:t xml:space="preserve"> </w:t>
      </w:r>
      <w:r w:rsidR="0021590E" w:rsidRPr="00010F83">
        <w:rPr>
          <w:rFonts w:ascii="Arial" w:hAnsi="Arial" w:cs="Arial"/>
          <w:bCs/>
        </w:rPr>
        <w:t>(</w:t>
      </w:r>
      <w:r w:rsidRPr="00010F83">
        <w:rPr>
          <w:rFonts w:ascii="Arial" w:hAnsi="Arial" w:cs="Arial"/>
          <w:bCs/>
        </w:rPr>
        <w:t>“</w:t>
      </w:r>
      <w:r w:rsidR="0021590E" w:rsidRPr="00010F83">
        <w:rPr>
          <w:rFonts w:ascii="Arial" w:hAnsi="Arial" w:cs="Arial"/>
          <w:bCs/>
        </w:rPr>
        <w:t>Hội đồng</w:t>
      </w:r>
      <w:r w:rsidRPr="00010F83">
        <w:rPr>
          <w:rFonts w:ascii="Arial" w:hAnsi="Arial" w:cs="Arial"/>
          <w:bCs/>
        </w:rPr>
        <w:t>”</w:t>
      </w:r>
      <w:r w:rsidR="0021590E" w:rsidRPr="00010F83">
        <w:rPr>
          <w:rFonts w:ascii="Arial" w:hAnsi="Arial" w:cs="Arial"/>
          <w:bCs/>
        </w:rPr>
        <w:t xml:space="preserve">) </w:t>
      </w:r>
      <w:r w:rsidR="000E2F99" w:rsidRPr="00010F83">
        <w:rPr>
          <w:rFonts w:ascii="Arial" w:hAnsi="Arial" w:cs="Arial"/>
          <w:bCs/>
        </w:rPr>
        <w:t xml:space="preserve">đã thông qua IAS 12 </w:t>
      </w:r>
      <w:r w:rsidR="00731917" w:rsidRPr="00010F83">
        <w:rPr>
          <w:rFonts w:ascii="Arial" w:hAnsi="Arial" w:cs="Arial"/>
          <w:bCs/>
          <w:i/>
        </w:rPr>
        <w:t xml:space="preserve">Thuế </w:t>
      </w:r>
      <w:proofErr w:type="gramStart"/>
      <w:r w:rsidR="00C9413A" w:rsidRPr="00010F83">
        <w:rPr>
          <w:rFonts w:ascii="Arial" w:hAnsi="Arial" w:cs="Arial"/>
          <w:bCs/>
          <w:i/>
        </w:rPr>
        <w:t>thu</w:t>
      </w:r>
      <w:proofErr w:type="gramEnd"/>
      <w:r w:rsidR="00C9413A" w:rsidRPr="00010F83">
        <w:rPr>
          <w:rFonts w:ascii="Arial" w:hAnsi="Arial" w:cs="Arial"/>
          <w:bCs/>
          <w:i/>
        </w:rPr>
        <w:t xml:space="preserve"> nhập doanh nghiệp</w:t>
      </w:r>
      <w:r w:rsidR="000E2F99" w:rsidRPr="00010F83">
        <w:rPr>
          <w:rFonts w:ascii="Arial" w:hAnsi="Arial" w:cs="Arial"/>
          <w:bCs/>
        </w:rPr>
        <w:t xml:space="preserve">, </w:t>
      </w:r>
      <w:r w:rsidRPr="00010F83">
        <w:rPr>
          <w:rFonts w:ascii="Arial" w:hAnsi="Arial" w:cs="Arial"/>
          <w:bCs/>
        </w:rPr>
        <w:t>được</w:t>
      </w:r>
      <w:r w:rsidR="000E2F99" w:rsidRPr="00010F83">
        <w:rPr>
          <w:rFonts w:ascii="Arial" w:hAnsi="Arial" w:cs="Arial"/>
          <w:bCs/>
        </w:rPr>
        <w:t xml:space="preserve"> Ủy Ban Chuẩn </w:t>
      </w:r>
      <w:r w:rsidR="000E6373" w:rsidRPr="00010F83">
        <w:rPr>
          <w:rFonts w:ascii="Arial" w:hAnsi="Arial" w:cs="Arial"/>
          <w:bCs/>
        </w:rPr>
        <w:t xml:space="preserve">mực </w:t>
      </w:r>
      <w:r w:rsidR="000E2F99" w:rsidRPr="00010F83">
        <w:rPr>
          <w:rFonts w:ascii="Arial" w:hAnsi="Arial" w:cs="Arial"/>
          <w:bCs/>
        </w:rPr>
        <w:t xml:space="preserve">Kế Toán Quốc Tế </w:t>
      </w:r>
      <w:r w:rsidRPr="00010F83">
        <w:rPr>
          <w:rFonts w:ascii="Arial" w:hAnsi="Arial" w:cs="Arial"/>
          <w:bCs/>
        </w:rPr>
        <w:t xml:space="preserve">cho ban hành lần đầu </w:t>
      </w:r>
      <w:r w:rsidR="000E2F99" w:rsidRPr="00010F83">
        <w:rPr>
          <w:rFonts w:ascii="Arial" w:hAnsi="Arial" w:cs="Arial"/>
          <w:bCs/>
        </w:rPr>
        <w:t xml:space="preserve">vào tháng 10 năm 1996. </w:t>
      </w:r>
      <w:r w:rsidR="000E6373" w:rsidRPr="00010F83">
        <w:rPr>
          <w:rFonts w:ascii="Arial" w:hAnsi="Arial" w:cs="Arial"/>
          <w:bCs/>
        </w:rPr>
        <w:t xml:space="preserve">IAS 12 </w:t>
      </w:r>
      <w:r w:rsidR="00731917" w:rsidRPr="00010F83">
        <w:rPr>
          <w:rFonts w:ascii="Arial" w:hAnsi="Arial" w:cs="Arial"/>
          <w:bCs/>
          <w:i/>
        </w:rPr>
        <w:t xml:space="preserve">Thuế </w:t>
      </w:r>
      <w:proofErr w:type="gramStart"/>
      <w:r w:rsidR="00C9413A" w:rsidRPr="00010F83">
        <w:rPr>
          <w:rFonts w:ascii="Arial" w:hAnsi="Arial" w:cs="Arial"/>
          <w:bCs/>
          <w:i/>
        </w:rPr>
        <w:t>thu</w:t>
      </w:r>
      <w:proofErr w:type="gramEnd"/>
      <w:r w:rsidR="00C9413A" w:rsidRPr="00010F83">
        <w:rPr>
          <w:rFonts w:ascii="Arial" w:hAnsi="Arial" w:cs="Arial"/>
          <w:bCs/>
          <w:i/>
        </w:rPr>
        <w:t xml:space="preserve"> nhập doanh nghiệp</w:t>
      </w:r>
      <w:r w:rsidR="00C9413A" w:rsidRPr="00010F83">
        <w:rPr>
          <w:rFonts w:ascii="Arial" w:hAnsi="Arial" w:cs="Arial"/>
          <w:bCs/>
        </w:rPr>
        <w:t xml:space="preserve"> </w:t>
      </w:r>
      <w:r w:rsidR="000E2F99" w:rsidRPr="00010F83">
        <w:rPr>
          <w:rFonts w:ascii="Arial" w:hAnsi="Arial" w:cs="Arial"/>
          <w:bCs/>
        </w:rPr>
        <w:t xml:space="preserve">thay thế cho </w:t>
      </w:r>
      <w:r w:rsidRPr="00010F83">
        <w:rPr>
          <w:rFonts w:ascii="Arial" w:hAnsi="Arial" w:cs="Arial"/>
          <w:bCs/>
        </w:rPr>
        <w:t>một số</w:t>
      </w:r>
      <w:r w:rsidR="000E2F99" w:rsidRPr="00010F83">
        <w:rPr>
          <w:rFonts w:ascii="Arial" w:hAnsi="Arial" w:cs="Arial"/>
          <w:bCs/>
        </w:rPr>
        <w:t xml:space="preserve"> phần của IAS 12</w:t>
      </w:r>
      <w:r w:rsidRPr="00010F83">
        <w:rPr>
          <w:rFonts w:ascii="Arial" w:hAnsi="Arial" w:cs="Arial"/>
          <w:bCs/>
        </w:rPr>
        <w:t xml:space="preserve"> cũ</w:t>
      </w:r>
      <w:r w:rsidR="000E2F99" w:rsidRPr="00010F83">
        <w:rPr>
          <w:rFonts w:ascii="Arial" w:hAnsi="Arial" w:cs="Arial"/>
          <w:bCs/>
        </w:rPr>
        <w:t xml:space="preserve"> </w:t>
      </w:r>
      <w:r w:rsidR="000E6373" w:rsidRPr="00010F83">
        <w:rPr>
          <w:rFonts w:ascii="Arial" w:hAnsi="Arial" w:cs="Arial"/>
          <w:bCs/>
          <w:i/>
        </w:rPr>
        <w:t>Hạch toán</w:t>
      </w:r>
      <w:r w:rsidR="000E2F99" w:rsidRPr="00010F83">
        <w:rPr>
          <w:rFonts w:ascii="Arial" w:hAnsi="Arial" w:cs="Arial"/>
          <w:bCs/>
          <w:i/>
        </w:rPr>
        <w:t xml:space="preserve"> kế toán </w:t>
      </w:r>
      <w:r w:rsidR="00731917" w:rsidRPr="00010F83">
        <w:rPr>
          <w:rFonts w:ascii="Arial" w:hAnsi="Arial" w:cs="Arial"/>
          <w:bCs/>
          <w:i/>
        </w:rPr>
        <w:t xml:space="preserve">thuế </w:t>
      </w:r>
      <w:r w:rsidR="00C9413A" w:rsidRPr="00010F83">
        <w:rPr>
          <w:rFonts w:ascii="Arial" w:hAnsi="Arial" w:cs="Arial"/>
          <w:bCs/>
          <w:i/>
        </w:rPr>
        <w:t>thu nhập doanh nghiệp</w:t>
      </w:r>
      <w:r w:rsidR="00C9413A" w:rsidRPr="00010F83">
        <w:rPr>
          <w:rFonts w:ascii="Arial" w:hAnsi="Arial" w:cs="Arial"/>
          <w:bCs/>
        </w:rPr>
        <w:t xml:space="preserve"> </w:t>
      </w:r>
      <w:r w:rsidR="005F635A" w:rsidRPr="00010F83">
        <w:rPr>
          <w:rFonts w:ascii="Arial" w:hAnsi="Arial" w:cs="Arial"/>
          <w:bCs/>
        </w:rPr>
        <w:t>(ban hành</w:t>
      </w:r>
      <w:r w:rsidR="000E2F99" w:rsidRPr="00010F83">
        <w:rPr>
          <w:rFonts w:ascii="Arial" w:hAnsi="Arial" w:cs="Arial"/>
          <w:bCs/>
        </w:rPr>
        <w:t xml:space="preserve"> tháng 7 năm 1979)</w:t>
      </w:r>
      <w:r w:rsidRPr="00010F83">
        <w:rPr>
          <w:rFonts w:ascii="Arial" w:hAnsi="Arial" w:cs="Arial"/>
          <w:bCs/>
        </w:rPr>
        <w:t>.</w:t>
      </w:r>
    </w:p>
    <w:p w:rsidR="000E2F99" w:rsidRPr="00010F83" w:rsidRDefault="009A306C" w:rsidP="00590853">
      <w:pPr>
        <w:autoSpaceDE w:val="0"/>
        <w:autoSpaceDN w:val="0"/>
        <w:adjustRightInd w:val="0"/>
        <w:spacing w:after="120" w:line="240" w:lineRule="auto"/>
        <w:jc w:val="both"/>
        <w:rPr>
          <w:rFonts w:ascii="Arial" w:hAnsi="Arial" w:cs="Arial"/>
          <w:bCs/>
        </w:rPr>
      </w:pPr>
      <w:r w:rsidRPr="00010F83">
        <w:rPr>
          <w:rFonts w:ascii="Arial" w:hAnsi="Arial" w:cs="Arial"/>
          <w:bCs/>
        </w:rPr>
        <w:t>T</w:t>
      </w:r>
      <w:r w:rsidR="000E2F99" w:rsidRPr="00010F83">
        <w:rPr>
          <w:rFonts w:ascii="Arial" w:hAnsi="Arial" w:cs="Arial"/>
          <w:bCs/>
        </w:rPr>
        <w:t xml:space="preserve">háng 12 năm 2010, </w:t>
      </w:r>
      <w:r w:rsidRPr="00010F83">
        <w:rPr>
          <w:rFonts w:ascii="Arial" w:hAnsi="Arial" w:cs="Arial"/>
          <w:bCs/>
        </w:rPr>
        <w:t>H</w:t>
      </w:r>
      <w:r w:rsidR="000E2F99" w:rsidRPr="00010F83">
        <w:rPr>
          <w:rFonts w:ascii="Arial" w:hAnsi="Arial" w:cs="Arial"/>
          <w:bCs/>
        </w:rPr>
        <w:t>ội đồng đã sử</w:t>
      </w:r>
      <w:r w:rsidR="005F635A" w:rsidRPr="00010F83">
        <w:rPr>
          <w:rFonts w:ascii="Arial" w:hAnsi="Arial" w:cs="Arial"/>
          <w:bCs/>
        </w:rPr>
        <w:t>a</w:t>
      </w:r>
      <w:r w:rsidR="000E2F99" w:rsidRPr="00010F83">
        <w:rPr>
          <w:rFonts w:ascii="Arial" w:hAnsi="Arial" w:cs="Arial"/>
          <w:bCs/>
        </w:rPr>
        <w:t xml:space="preserve"> IAS 12 để giải quyế</w:t>
      </w:r>
      <w:r w:rsidRPr="00010F83">
        <w:rPr>
          <w:rFonts w:ascii="Arial" w:hAnsi="Arial" w:cs="Arial"/>
          <w:bCs/>
        </w:rPr>
        <w:t>t</w:t>
      </w:r>
      <w:r w:rsidR="000E2F99" w:rsidRPr="00010F83">
        <w:rPr>
          <w:rFonts w:ascii="Arial" w:hAnsi="Arial" w:cs="Arial"/>
          <w:bCs/>
        </w:rPr>
        <w:t xml:space="preserve"> vấn đề phát sinh khi các </w:t>
      </w:r>
      <w:r w:rsidR="000E6373" w:rsidRPr="00010F83">
        <w:rPr>
          <w:rFonts w:ascii="Arial" w:hAnsi="Arial" w:cs="Arial"/>
          <w:bCs/>
        </w:rPr>
        <w:t>đơn vị</w:t>
      </w:r>
      <w:r w:rsidR="000E2F99" w:rsidRPr="00010F83">
        <w:rPr>
          <w:rFonts w:ascii="Arial" w:hAnsi="Arial" w:cs="Arial"/>
          <w:bCs/>
        </w:rPr>
        <w:t xml:space="preserve"> áp dụng nguyên tắc </w:t>
      </w:r>
      <w:r w:rsidR="000E6373" w:rsidRPr="00010F83">
        <w:rPr>
          <w:rFonts w:ascii="Arial" w:hAnsi="Arial" w:cs="Arial"/>
          <w:bCs/>
        </w:rPr>
        <w:t xml:space="preserve">xác định giá trị </w:t>
      </w:r>
      <w:r w:rsidR="000E2F99" w:rsidRPr="00010F83">
        <w:rPr>
          <w:rFonts w:ascii="Arial" w:hAnsi="Arial" w:cs="Arial"/>
          <w:bCs/>
        </w:rPr>
        <w:t xml:space="preserve">trong IAS 12 </w:t>
      </w:r>
      <w:r w:rsidR="009141FD" w:rsidRPr="00010F83">
        <w:rPr>
          <w:rFonts w:ascii="Arial" w:hAnsi="Arial" w:cs="Arial"/>
          <w:bCs/>
        </w:rPr>
        <w:t xml:space="preserve">để xử lý </w:t>
      </w:r>
      <w:r w:rsidR="000E2F99" w:rsidRPr="00010F83">
        <w:rPr>
          <w:rFonts w:ascii="Arial" w:hAnsi="Arial" w:cs="Arial"/>
          <w:bCs/>
        </w:rPr>
        <w:t xml:space="preserve">chênh lệch tạm thời liên quan </w:t>
      </w:r>
      <w:r w:rsidR="000E6373" w:rsidRPr="00010F83">
        <w:rPr>
          <w:rFonts w:ascii="Arial" w:hAnsi="Arial" w:cs="Arial"/>
          <w:bCs/>
        </w:rPr>
        <w:t>đến</w:t>
      </w:r>
      <w:r w:rsidR="000E2F99" w:rsidRPr="00010F83">
        <w:rPr>
          <w:rFonts w:ascii="Arial" w:hAnsi="Arial" w:cs="Arial"/>
          <w:bCs/>
        </w:rPr>
        <w:t xml:space="preserve"> </w:t>
      </w:r>
      <w:r w:rsidRPr="00010F83">
        <w:rPr>
          <w:rFonts w:ascii="Arial" w:hAnsi="Arial" w:cs="Arial"/>
          <w:bCs/>
        </w:rPr>
        <w:t>bất</w:t>
      </w:r>
      <w:r w:rsidR="000E2F99" w:rsidRPr="00010F83">
        <w:rPr>
          <w:rFonts w:ascii="Arial" w:hAnsi="Arial" w:cs="Arial"/>
          <w:bCs/>
        </w:rPr>
        <w:t xml:space="preserve"> </w:t>
      </w:r>
      <w:r w:rsidRPr="00010F83">
        <w:rPr>
          <w:rFonts w:ascii="Arial" w:hAnsi="Arial" w:cs="Arial"/>
          <w:bCs/>
        </w:rPr>
        <w:t xml:space="preserve">động </w:t>
      </w:r>
      <w:r w:rsidR="000E2F99" w:rsidRPr="00010F83">
        <w:rPr>
          <w:rFonts w:ascii="Arial" w:hAnsi="Arial" w:cs="Arial"/>
          <w:bCs/>
        </w:rPr>
        <w:t xml:space="preserve">sản đầu tư </w:t>
      </w:r>
      <w:r w:rsidR="000E6373" w:rsidRPr="00010F83">
        <w:rPr>
          <w:rFonts w:ascii="Arial" w:hAnsi="Arial" w:cs="Arial"/>
          <w:bCs/>
        </w:rPr>
        <w:t xml:space="preserve">được </w:t>
      </w:r>
      <w:r w:rsidRPr="00010F83">
        <w:rPr>
          <w:rFonts w:ascii="Arial" w:hAnsi="Arial" w:cs="Arial"/>
          <w:bCs/>
        </w:rPr>
        <w:t>ghi nhận theo</w:t>
      </w:r>
      <w:r w:rsidR="000E2F99" w:rsidRPr="00010F83">
        <w:rPr>
          <w:rFonts w:ascii="Arial" w:hAnsi="Arial" w:cs="Arial"/>
          <w:bCs/>
        </w:rPr>
        <w:t xml:space="preserve"> giá trị hợp lý. </w:t>
      </w:r>
      <w:r w:rsidRPr="00010F83">
        <w:rPr>
          <w:rFonts w:ascii="Arial" w:hAnsi="Arial" w:cs="Arial"/>
          <w:bCs/>
        </w:rPr>
        <w:t>Lần</w:t>
      </w:r>
      <w:r w:rsidR="000E2F99" w:rsidRPr="00010F83">
        <w:rPr>
          <w:rFonts w:ascii="Arial" w:hAnsi="Arial" w:cs="Arial"/>
          <w:bCs/>
        </w:rPr>
        <w:t xml:space="preserve"> sửa đổi </w:t>
      </w:r>
      <w:r w:rsidRPr="00010F83">
        <w:rPr>
          <w:rFonts w:ascii="Arial" w:hAnsi="Arial" w:cs="Arial"/>
          <w:bCs/>
        </w:rPr>
        <w:t>này</w:t>
      </w:r>
      <w:r w:rsidR="000E6373" w:rsidRPr="00010F83">
        <w:rPr>
          <w:rFonts w:ascii="Arial" w:hAnsi="Arial" w:cs="Arial"/>
          <w:bCs/>
        </w:rPr>
        <w:t xml:space="preserve"> cũng </w:t>
      </w:r>
      <w:r w:rsidR="000E2F99" w:rsidRPr="00010F83">
        <w:rPr>
          <w:rFonts w:ascii="Arial" w:hAnsi="Arial" w:cs="Arial"/>
          <w:bCs/>
        </w:rPr>
        <w:t xml:space="preserve">đồng thời kết hợp một số hướng dẫn từ </w:t>
      </w:r>
      <w:r w:rsidR="000E6373" w:rsidRPr="00010F83">
        <w:rPr>
          <w:rFonts w:ascii="Arial" w:hAnsi="Arial" w:cs="Arial"/>
          <w:bCs/>
        </w:rPr>
        <w:t xml:space="preserve">một </w:t>
      </w:r>
      <w:r w:rsidR="005F635A" w:rsidRPr="00010F83">
        <w:rPr>
          <w:rFonts w:ascii="Arial" w:hAnsi="Arial" w:cs="Arial"/>
          <w:bCs/>
        </w:rPr>
        <w:t>công bố</w:t>
      </w:r>
      <w:r w:rsidR="000E2F99" w:rsidRPr="00010F83">
        <w:rPr>
          <w:rFonts w:ascii="Arial" w:hAnsi="Arial" w:cs="Arial"/>
          <w:bCs/>
        </w:rPr>
        <w:t xml:space="preserve"> liên quan (SIC 21 </w:t>
      </w:r>
      <w:r w:rsidR="00731917" w:rsidRPr="00010F83">
        <w:rPr>
          <w:rFonts w:ascii="Arial" w:hAnsi="Arial" w:cs="Arial"/>
          <w:bCs/>
          <w:i/>
        </w:rPr>
        <w:t xml:space="preserve">Thuế </w:t>
      </w:r>
      <w:proofErr w:type="gramStart"/>
      <w:r w:rsidR="00C9413A" w:rsidRPr="00010F83">
        <w:rPr>
          <w:rFonts w:ascii="Arial" w:hAnsi="Arial" w:cs="Arial"/>
          <w:bCs/>
          <w:i/>
        </w:rPr>
        <w:t>thu</w:t>
      </w:r>
      <w:proofErr w:type="gramEnd"/>
      <w:r w:rsidR="00C9413A" w:rsidRPr="00010F83">
        <w:rPr>
          <w:rFonts w:ascii="Arial" w:hAnsi="Arial" w:cs="Arial"/>
          <w:bCs/>
          <w:i/>
        </w:rPr>
        <w:t xml:space="preserve"> nhập doanh nghiệp </w:t>
      </w:r>
      <w:r w:rsidR="00523E83" w:rsidRPr="00010F83">
        <w:rPr>
          <w:rFonts w:ascii="Arial" w:hAnsi="Arial" w:cs="Arial"/>
          <w:bCs/>
          <w:i/>
        </w:rPr>
        <w:t>–</w:t>
      </w:r>
      <w:r w:rsidR="000E2F99" w:rsidRPr="00010F83">
        <w:rPr>
          <w:rFonts w:ascii="Arial" w:hAnsi="Arial" w:cs="Arial"/>
          <w:bCs/>
          <w:i/>
        </w:rPr>
        <w:t xml:space="preserve"> </w:t>
      </w:r>
      <w:r w:rsidR="00523E83" w:rsidRPr="00010F83">
        <w:rPr>
          <w:rFonts w:ascii="Arial" w:hAnsi="Arial" w:cs="Arial"/>
          <w:bCs/>
          <w:i/>
        </w:rPr>
        <w:t>Giá trị thu hồi của</w:t>
      </w:r>
      <w:r w:rsidR="000E2F99" w:rsidRPr="00010F83">
        <w:rPr>
          <w:rFonts w:ascii="Arial" w:hAnsi="Arial" w:cs="Arial"/>
          <w:bCs/>
          <w:i/>
        </w:rPr>
        <w:t xml:space="preserve"> tài sản không </w:t>
      </w:r>
      <w:r w:rsidR="00523E83" w:rsidRPr="00010F83">
        <w:rPr>
          <w:rFonts w:ascii="Arial" w:hAnsi="Arial" w:cs="Arial"/>
          <w:bCs/>
          <w:i/>
        </w:rPr>
        <w:t xml:space="preserve">khấu hao </w:t>
      </w:r>
      <w:r w:rsidR="000E2F99" w:rsidRPr="00010F83">
        <w:rPr>
          <w:rFonts w:ascii="Arial" w:hAnsi="Arial" w:cs="Arial"/>
          <w:bCs/>
          <w:i/>
        </w:rPr>
        <w:t xml:space="preserve">được đánh </w:t>
      </w:r>
      <w:r w:rsidR="00523E83" w:rsidRPr="00010F83">
        <w:rPr>
          <w:rFonts w:ascii="Arial" w:hAnsi="Arial" w:cs="Arial"/>
          <w:bCs/>
          <w:i/>
        </w:rPr>
        <w:t>giá</w:t>
      </w:r>
      <w:r w:rsidR="000E2F99" w:rsidRPr="00010F83">
        <w:rPr>
          <w:rFonts w:ascii="Arial" w:hAnsi="Arial" w:cs="Arial"/>
          <w:bCs/>
          <w:i/>
        </w:rPr>
        <w:t xml:space="preserve"> lại</w:t>
      </w:r>
      <w:r w:rsidR="000E2F99" w:rsidRPr="00010F83">
        <w:rPr>
          <w:rFonts w:ascii="Arial" w:hAnsi="Arial" w:cs="Arial"/>
          <w:bCs/>
        </w:rPr>
        <w:t>)</w:t>
      </w:r>
    </w:p>
    <w:p w:rsidR="00532AB6" w:rsidRPr="00010F83" w:rsidRDefault="009A306C" w:rsidP="00590853">
      <w:pPr>
        <w:autoSpaceDE w:val="0"/>
        <w:autoSpaceDN w:val="0"/>
        <w:adjustRightInd w:val="0"/>
        <w:spacing w:after="120" w:line="240" w:lineRule="auto"/>
        <w:jc w:val="both"/>
        <w:rPr>
          <w:rFonts w:ascii="Arial" w:hAnsi="Arial" w:cs="Arial"/>
          <w:bCs/>
        </w:rPr>
      </w:pPr>
      <w:r w:rsidRPr="00010F83">
        <w:rPr>
          <w:rFonts w:ascii="Arial" w:hAnsi="Arial" w:cs="Arial"/>
          <w:bCs/>
        </w:rPr>
        <w:t>T</w:t>
      </w:r>
      <w:r w:rsidR="000E2F99" w:rsidRPr="00010F83">
        <w:rPr>
          <w:rFonts w:ascii="Arial" w:hAnsi="Arial" w:cs="Arial"/>
          <w:bCs/>
        </w:rPr>
        <w:t xml:space="preserve">háng 1 năm 2016, </w:t>
      </w:r>
      <w:r w:rsidRPr="00010F83">
        <w:rPr>
          <w:rFonts w:ascii="Arial" w:hAnsi="Arial" w:cs="Arial"/>
          <w:bCs/>
        </w:rPr>
        <w:t>H</w:t>
      </w:r>
      <w:r w:rsidR="000E2F99" w:rsidRPr="00010F83">
        <w:rPr>
          <w:rFonts w:ascii="Arial" w:hAnsi="Arial" w:cs="Arial"/>
          <w:bCs/>
        </w:rPr>
        <w:t xml:space="preserve">ội đồng đã ban hành </w:t>
      </w:r>
      <w:r w:rsidRPr="00010F83">
        <w:rPr>
          <w:rFonts w:ascii="Arial" w:hAnsi="Arial" w:cs="Arial"/>
          <w:bCs/>
        </w:rPr>
        <w:t>sửa đổi</w:t>
      </w:r>
      <w:r w:rsidR="00523E83" w:rsidRPr="00010F83">
        <w:rPr>
          <w:rFonts w:ascii="Arial" w:hAnsi="Arial" w:cs="Arial"/>
          <w:bCs/>
        </w:rPr>
        <w:t xml:space="preserve"> </w:t>
      </w:r>
      <w:r w:rsidR="009141FD" w:rsidRPr="00010F83">
        <w:rPr>
          <w:rFonts w:ascii="Arial" w:hAnsi="Arial" w:cs="Arial"/>
          <w:bCs/>
        </w:rPr>
        <w:t xml:space="preserve">phần </w:t>
      </w:r>
      <w:r w:rsidR="000E2F99" w:rsidRPr="00010F83">
        <w:rPr>
          <w:rFonts w:ascii="Arial" w:hAnsi="Arial" w:cs="Arial"/>
          <w:bCs/>
          <w:i/>
        </w:rPr>
        <w:t xml:space="preserve">Ghi </w:t>
      </w:r>
      <w:r w:rsidR="00523E83" w:rsidRPr="00010F83">
        <w:rPr>
          <w:rFonts w:ascii="Arial" w:hAnsi="Arial" w:cs="Arial"/>
          <w:bCs/>
          <w:i/>
        </w:rPr>
        <w:t>n</w:t>
      </w:r>
      <w:r w:rsidR="000E2F99" w:rsidRPr="00010F83">
        <w:rPr>
          <w:rFonts w:ascii="Arial" w:hAnsi="Arial" w:cs="Arial"/>
          <w:bCs/>
          <w:i/>
        </w:rPr>
        <w:t xml:space="preserve">hận </w:t>
      </w:r>
      <w:r w:rsidR="001B75A5" w:rsidRPr="00010F83">
        <w:rPr>
          <w:rFonts w:ascii="Arial" w:hAnsi="Arial" w:cs="Arial"/>
          <w:bCs/>
          <w:i/>
        </w:rPr>
        <w:t xml:space="preserve">tài </w:t>
      </w:r>
      <w:r w:rsidR="00523E83" w:rsidRPr="00010F83">
        <w:rPr>
          <w:rFonts w:ascii="Arial" w:hAnsi="Arial" w:cs="Arial"/>
          <w:bCs/>
          <w:i/>
        </w:rPr>
        <w:t xml:space="preserve">sản </w:t>
      </w:r>
      <w:r w:rsidR="00731917" w:rsidRPr="00010F83">
        <w:rPr>
          <w:rFonts w:ascii="Arial" w:hAnsi="Arial" w:cs="Arial"/>
          <w:bCs/>
          <w:i/>
        </w:rPr>
        <w:t xml:space="preserve">thuế </w:t>
      </w:r>
      <w:r w:rsidR="00C9413A" w:rsidRPr="00010F83">
        <w:rPr>
          <w:rFonts w:ascii="Arial" w:hAnsi="Arial" w:cs="Arial"/>
          <w:bCs/>
          <w:i/>
        </w:rPr>
        <w:t xml:space="preserve">thu nhập doanh </w:t>
      </w:r>
      <w:r w:rsidR="001B75A5" w:rsidRPr="00010F83">
        <w:rPr>
          <w:rFonts w:ascii="Arial" w:hAnsi="Arial" w:cs="Arial"/>
          <w:bCs/>
          <w:i/>
        </w:rPr>
        <w:t xml:space="preserve">nghiệp </w:t>
      </w:r>
      <w:r w:rsidR="00523E83" w:rsidRPr="00010F83">
        <w:rPr>
          <w:rFonts w:ascii="Arial" w:hAnsi="Arial" w:cs="Arial"/>
          <w:bCs/>
          <w:i/>
        </w:rPr>
        <w:t>hoãn lại</w:t>
      </w:r>
      <w:r w:rsidR="000E2F99" w:rsidRPr="00010F83">
        <w:rPr>
          <w:rFonts w:ascii="Arial" w:hAnsi="Arial" w:cs="Arial"/>
          <w:bCs/>
          <w:i/>
        </w:rPr>
        <w:t xml:space="preserve"> </w:t>
      </w:r>
      <w:r w:rsidR="00532AB6" w:rsidRPr="00010F83">
        <w:rPr>
          <w:rFonts w:ascii="Arial" w:hAnsi="Arial" w:cs="Arial"/>
          <w:bCs/>
          <w:i/>
        </w:rPr>
        <w:t xml:space="preserve">đối với </w:t>
      </w:r>
      <w:r w:rsidR="004A0A4A" w:rsidRPr="00010F83">
        <w:rPr>
          <w:rFonts w:ascii="Arial" w:hAnsi="Arial" w:cs="Arial"/>
          <w:bCs/>
          <w:i/>
        </w:rPr>
        <w:t xml:space="preserve">Các khoản </w:t>
      </w:r>
      <w:r w:rsidR="00532AB6" w:rsidRPr="00010F83">
        <w:rPr>
          <w:rFonts w:ascii="Arial" w:hAnsi="Arial" w:cs="Arial"/>
          <w:bCs/>
          <w:i/>
        </w:rPr>
        <w:t>lỗ chưa thực hiện</w:t>
      </w:r>
      <w:r w:rsidR="000E2F99" w:rsidRPr="00010F83">
        <w:rPr>
          <w:rFonts w:ascii="Arial" w:hAnsi="Arial" w:cs="Arial"/>
          <w:bCs/>
        </w:rPr>
        <w:t xml:space="preserve"> (sửa </w:t>
      </w:r>
      <w:r w:rsidR="00532AB6" w:rsidRPr="00010F83">
        <w:rPr>
          <w:rFonts w:ascii="Arial" w:hAnsi="Arial" w:cs="Arial"/>
          <w:bCs/>
        </w:rPr>
        <w:t xml:space="preserve">đổi </w:t>
      </w:r>
      <w:r w:rsidR="000E2F99" w:rsidRPr="00010F83">
        <w:rPr>
          <w:rFonts w:ascii="Arial" w:hAnsi="Arial" w:cs="Arial"/>
          <w:bCs/>
        </w:rPr>
        <w:t xml:space="preserve">IAS 12) để làm rõ các yêu cầu về ghi nhận </w:t>
      </w:r>
      <w:r w:rsidR="001B75A5" w:rsidRPr="00010F83">
        <w:rPr>
          <w:rFonts w:ascii="Arial" w:hAnsi="Arial" w:cs="Arial"/>
          <w:bCs/>
        </w:rPr>
        <w:t xml:space="preserve">tài </w:t>
      </w:r>
      <w:r w:rsidR="00532AB6" w:rsidRPr="00010F83">
        <w:rPr>
          <w:rFonts w:ascii="Arial" w:hAnsi="Arial" w:cs="Arial"/>
          <w:bCs/>
        </w:rPr>
        <w:t xml:space="preserve">sản </w:t>
      </w:r>
      <w:r w:rsidR="00731917" w:rsidRPr="00010F83">
        <w:rPr>
          <w:rFonts w:ascii="Arial" w:hAnsi="Arial" w:cs="Arial"/>
          <w:bCs/>
        </w:rPr>
        <w:t xml:space="preserve">thuế </w:t>
      </w:r>
      <w:r w:rsidR="00C9413A" w:rsidRPr="00010F83">
        <w:rPr>
          <w:rFonts w:ascii="Arial" w:hAnsi="Arial" w:cs="Arial"/>
          <w:bCs/>
          <w:i/>
        </w:rPr>
        <w:t xml:space="preserve">thu nhập doanh </w:t>
      </w:r>
      <w:r w:rsidR="001B75A5" w:rsidRPr="00010F83">
        <w:rPr>
          <w:rFonts w:ascii="Arial" w:hAnsi="Arial" w:cs="Arial"/>
          <w:bCs/>
          <w:i/>
        </w:rPr>
        <w:t>nghiệp</w:t>
      </w:r>
      <w:r w:rsidR="001B75A5" w:rsidRPr="00010F83">
        <w:rPr>
          <w:rFonts w:ascii="Arial" w:hAnsi="Arial" w:cs="Arial"/>
          <w:bCs/>
        </w:rPr>
        <w:t xml:space="preserve"> </w:t>
      </w:r>
      <w:r w:rsidR="00532AB6" w:rsidRPr="00010F83">
        <w:rPr>
          <w:rFonts w:ascii="Arial" w:hAnsi="Arial" w:cs="Arial"/>
          <w:bCs/>
        </w:rPr>
        <w:t>hoãn lại</w:t>
      </w:r>
      <w:r w:rsidR="000E2F99" w:rsidRPr="00010F83">
        <w:rPr>
          <w:rFonts w:ascii="Arial" w:hAnsi="Arial" w:cs="Arial"/>
          <w:bCs/>
        </w:rPr>
        <w:t xml:space="preserve"> liên quan đến các công cụ nợ được </w:t>
      </w:r>
      <w:r w:rsidRPr="00010F83">
        <w:rPr>
          <w:rFonts w:ascii="Arial" w:hAnsi="Arial" w:cs="Arial"/>
          <w:bCs/>
        </w:rPr>
        <w:t>ghi nhận</w:t>
      </w:r>
      <w:r w:rsidR="000E2F99" w:rsidRPr="00010F83">
        <w:rPr>
          <w:rFonts w:ascii="Arial" w:hAnsi="Arial" w:cs="Arial"/>
          <w:bCs/>
        </w:rPr>
        <w:t xml:space="preserve"> theo giá trị hợp lý. </w:t>
      </w:r>
    </w:p>
    <w:p w:rsidR="00590853" w:rsidRPr="00010F83" w:rsidRDefault="004A0A4A" w:rsidP="00590853">
      <w:pPr>
        <w:autoSpaceDE w:val="0"/>
        <w:autoSpaceDN w:val="0"/>
        <w:adjustRightInd w:val="0"/>
        <w:spacing w:after="120" w:line="240" w:lineRule="auto"/>
        <w:jc w:val="both"/>
        <w:rPr>
          <w:rFonts w:ascii="Arial" w:hAnsi="Arial" w:cs="Arial"/>
          <w:bCs/>
        </w:rPr>
        <w:sectPr w:rsidR="00590853" w:rsidRPr="00010F83">
          <w:headerReference w:type="default" r:id="rId8"/>
          <w:footerReference w:type="default" r:id="rId9"/>
          <w:pgSz w:w="12240" w:h="15840"/>
          <w:pgMar w:top="1440" w:right="1440" w:bottom="1440" w:left="1440" w:header="720" w:footer="720" w:gutter="0"/>
          <w:cols w:space="720"/>
          <w:docGrid w:linePitch="360"/>
        </w:sectPr>
      </w:pPr>
      <w:proofErr w:type="gramStart"/>
      <w:r w:rsidRPr="00010F83">
        <w:rPr>
          <w:rFonts w:ascii="Arial" w:hAnsi="Arial" w:cs="Arial"/>
          <w:bCs/>
        </w:rPr>
        <w:t>Các chuẩn mực khác cũng góp một phần tác động nhỏ đến việc sửa đổi IAS 12</w:t>
      </w:r>
      <w:r w:rsidR="000E2F99" w:rsidRPr="00010F83">
        <w:rPr>
          <w:rFonts w:ascii="Arial" w:hAnsi="Arial" w:cs="Arial"/>
          <w:bCs/>
        </w:rPr>
        <w:t>.</w:t>
      </w:r>
      <w:proofErr w:type="gramEnd"/>
      <w:r w:rsidR="000E2F99" w:rsidRPr="00010F83">
        <w:rPr>
          <w:rFonts w:ascii="Arial" w:hAnsi="Arial" w:cs="Arial"/>
          <w:bCs/>
        </w:rPr>
        <w:t xml:space="preserve"> </w:t>
      </w:r>
      <w:r w:rsidR="00144813" w:rsidRPr="00010F83">
        <w:rPr>
          <w:rFonts w:ascii="Arial" w:hAnsi="Arial" w:cs="Arial"/>
          <w:bCs/>
        </w:rPr>
        <w:t xml:space="preserve">Đó là các </w:t>
      </w:r>
      <w:r w:rsidRPr="00010F83">
        <w:rPr>
          <w:rFonts w:ascii="Arial" w:hAnsi="Arial" w:cs="Arial"/>
          <w:bCs/>
        </w:rPr>
        <w:t>C</w:t>
      </w:r>
      <w:r w:rsidR="00144813" w:rsidRPr="00010F83">
        <w:rPr>
          <w:rFonts w:ascii="Arial" w:hAnsi="Arial" w:cs="Arial"/>
          <w:bCs/>
        </w:rPr>
        <w:t>huẩn mực:</w:t>
      </w:r>
      <w:r w:rsidR="00532AB6" w:rsidRPr="00010F83">
        <w:rPr>
          <w:rFonts w:ascii="Arial" w:hAnsi="Arial" w:cs="Arial"/>
          <w:bCs/>
        </w:rPr>
        <w:t xml:space="preserve"> </w:t>
      </w:r>
      <w:r w:rsidR="000E2F99" w:rsidRPr="00010F83">
        <w:rPr>
          <w:rFonts w:ascii="Arial" w:hAnsi="Arial" w:cs="Arial"/>
          <w:bCs/>
        </w:rPr>
        <w:t xml:space="preserve">IFRS 11- </w:t>
      </w:r>
      <w:r w:rsidR="00532AB6" w:rsidRPr="00010F83">
        <w:rPr>
          <w:rFonts w:ascii="Arial" w:hAnsi="Arial" w:cs="Arial"/>
          <w:bCs/>
          <w:i/>
        </w:rPr>
        <w:t>T</w:t>
      </w:r>
      <w:r w:rsidR="000E2F99" w:rsidRPr="00010F83">
        <w:rPr>
          <w:rFonts w:ascii="Arial" w:hAnsi="Arial" w:cs="Arial"/>
          <w:bCs/>
          <w:i/>
        </w:rPr>
        <w:t xml:space="preserve">hỏa thuận </w:t>
      </w:r>
      <w:r w:rsidR="00532AB6" w:rsidRPr="00010F83">
        <w:rPr>
          <w:rFonts w:ascii="Arial" w:hAnsi="Arial" w:cs="Arial"/>
          <w:bCs/>
          <w:i/>
        </w:rPr>
        <w:t>chung</w:t>
      </w:r>
      <w:r w:rsidR="00144813" w:rsidRPr="00010F83">
        <w:rPr>
          <w:rFonts w:ascii="Arial" w:hAnsi="Arial" w:cs="Arial"/>
          <w:bCs/>
        </w:rPr>
        <w:t xml:space="preserve"> (ban hành tháng 5 năm 2011),</w:t>
      </w:r>
      <w:r w:rsidR="00532AB6" w:rsidRPr="00010F83">
        <w:rPr>
          <w:rFonts w:ascii="Arial" w:hAnsi="Arial" w:cs="Arial"/>
          <w:bCs/>
        </w:rPr>
        <w:t xml:space="preserve"> </w:t>
      </w:r>
      <w:r w:rsidR="00532AB6" w:rsidRPr="00010F83">
        <w:rPr>
          <w:rFonts w:ascii="Arial" w:hAnsi="Arial" w:cs="Arial"/>
          <w:bCs/>
          <w:i/>
        </w:rPr>
        <w:t>T</w:t>
      </w:r>
      <w:r w:rsidR="000E2F99" w:rsidRPr="00010F83">
        <w:rPr>
          <w:rFonts w:ascii="Arial" w:hAnsi="Arial" w:cs="Arial"/>
          <w:bCs/>
          <w:i/>
        </w:rPr>
        <w:t xml:space="preserve">rình bày </w:t>
      </w:r>
      <w:r w:rsidR="00144813" w:rsidRPr="00010F83">
        <w:rPr>
          <w:rFonts w:ascii="Arial" w:hAnsi="Arial" w:cs="Arial"/>
          <w:bCs/>
          <w:i/>
        </w:rPr>
        <w:t>thu nhập toàn diện khác</w:t>
      </w:r>
      <w:r w:rsidR="000E2F99" w:rsidRPr="00010F83">
        <w:rPr>
          <w:rFonts w:ascii="Arial" w:hAnsi="Arial" w:cs="Arial"/>
          <w:bCs/>
        </w:rPr>
        <w:t xml:space="preserve"> (sửa đổi IAS 1</w:t>
      </w:r>
      <w:r w:rsidR="00144813" w:rsidRPr="00010F83">
        <w:rPr>
          <w:rFonts w:ascii="Arial" w:hAnsi="Arial" w:cs="Arial"/>
          <w:bCs/>
        </w:rPr>
        <w:t>, ban hành tháng 6 năm 2011),</w:t>
      </w:r>
      <w:r w:rsidR="00532AB6" w:rsidRPr="00010F83">
        <w:rPr>
          <w:rFonts w:ascii="Arial" w:hAnsi="Arial" w:cs="Arial"/>
          <w:bCs/>
        </w:rPr>
        <w:t xml:space="preserve"> </w:t>
      </w:r>
      <w:r w:rsidR="00532AB6" w:rsidRPr="00010F83">
        <w:rPr>
          <w:rFonts w:ascii="Arial" w:hAnsi="Arial" w:cs="Arial"/>
          <w:bCs/>
          <w:i/>
        </w:rPr>
        <w:t>Đơn vị quản lý quỹ đầu tư</w:t>
      </w:r>
      <w:r w:rsidR="000E2F99" w:rsidRPr="00010F83">
        <w:rPr>
          <w:rFonts w:ascii="Arial" w:hAnsi="Arial" w:cs="Arial"/>
          <w:bCs/>
        </w:rPr>
        <w:t xml:space="preserve"> (sửa đổi IFRS 10, IFRS 12 và IAS 27</w:t>
      </w:r>
      <w:r w:rsidR="00144813" w:rsidRPr="00010F83">
        <w:rPr>
          <w:rFonts w:ascii="Arial" w:hAnsi="Arial" w:cs="Arial"/>
          <w:bCs/>
        </w:rPr>
        <w:t xml:space="preserve">, </w:t>
      </w:r>
      <w:r w:rsidR="000E2F99" w:rsidRPr="00010F83">
        <w:rPr>
          <w:rFonts w:ascii="Arial" w:hAnsi="Arial" w:cs="Arial"/>
          <w:bCs/>
        </w:rPr>
        <w:t xml:space="preserve">ban hành tháng 10 năm 2012), IFRS </w:t>
      </w:r>
      <w:r w:rsidR="00532AB6" w:rsidRPr="00010F83">
        <w:rPr>
          <w:rFonts w:ascii="Arial" w:hAnsi="Arial" w:cs="Arial"/>
          <w:bCs/>
        </w:rPr>
        <w:t>9</w:t>
      </w:r>
      <w:r w:rsidR="000E2F99" w:rsidRPr="00010F83">
        <w:rPr>
          <w:rFonts w:ascii="Arial" w:hAnsi="Arial" w:cs="Arial"/>
          <w:bCs/>
        </w:rPr>
        <w:t xml:space="preserve"> </w:t>
      </w:r>
      <w:r w:rsidR="00532AB6" w:rsidRPr="00010F83">
        <w:rPr>
          <w:rFonts w:ascii="Arial" w:hAnsi="Arial" w:cs="Arial"/>
          <w:bCs/>
          <w:i/>
        </w:rPr>
        <w:t>C</w:t>
      </w:r>
      <w:r w:rsidR="000E2F99" w:rsidRPr="00010F83">
        <w:rPr>
          <w:rFonts w:ascii="Arial" w:hAnsi="Arial" w:cs="Arial"/>
          <w:bCs/>
          <w:i/>
        </w:rPr>
        <w:t>ông cụ tài chính</w:t>
      </w:r>
      <w:r w:rsidR="000E2F99" w:rsidRPr="00010F83">
        <w:rPr>
          <w:rFonts w:ascii="Arial" w:hAnsi="Arial" w:cs="Arial"/>
          <w:bCs/>
        </w:rPr>
        <w:t xml:space="preserve"> (</w:t>
      </w:r>
      <w:r w:rsidR="00532AB6" w:rsidRPr="00010F83">
        <w:rPr>
          <w:rFonts w:ascii="Arial" w:hAnsi="Arial" w:cs="Arial"/>
          <w:bCs/>
        </w:rPr>
        <w:t xml:space="preserve">Kế toán </w:t>
      </w:r>
      <w:r w:rsidR="000E2F99" w:rsidRPr="00010F83">
        <w:rPr>
          <w:rFonts w:ascii="Arial" w:hAnsi="Arial" w:cs="Arial"/>
          <w:bCs/>
        </w:rPr>
        <w:t xml:space="preserve">phòng ngừa rủi ro và </w:t>
      </w:r>
      <w:r w:rsidR="00144813" w:rsidRPr="00010F83">
        <w:rPr>
          <w:rFonts w:ascii="Arial" w:hAnsi="Arial" w:cs="Arial"/>
          <w:bCs/>
        </w:rPr>
        <w:t xml:space="preserve">các </w:t>
      </w:r>
      <w:r w:rsidR="00532AB6" w:rsidRPr="00010F83">
        <w:rPr>
          <w:rFonts w:ascii="Arial" w:hAnsi="Arial" w:cs="Arial"/>
          <w:bCs/>
        </w:rPr>
        <w:t>sửa đổi</w:t>
      </w:r>
      <w:r w:rsidR="00144813" w:rsidRPr="00010F83">
        <w:rPr>
          <w:rFonts w:ascii="Arial" w:hAnsi="Arial" w:cs="Arial"/>
          <w:bCs/>
        </w:rPr>
        <w:t xml:space="preserve"> cho</w:t>
      </w:r>
      <w:r w:rsidR="000E2F99" w:rsidRPr="00010F83">
        <w:rPr>
          <w:rFonts w:ascii="Arial" w:hAnsi="Arial" w:cs="Arial"/>
          <w:bCs/>
        </w:rPr>
        <w:t xml:space="preserve"> IFRS 9, IFRS 7 và IAS 39</w:t>
      </w:r>
      <w:r w:rsidR="00144813" w:rsidRPr="00010F83">
        <w:rPr>
          <w:rFonts w:ascii="Arial" w:hAnsi="Arial" w:cs="Arial"/>
          <w:bCs/>
        </w:rPr>
        <w:t xml:space="preserve">, </w:t>
      </w:r>
      <w:r w:rsidR="000E2F99" w:rsidRPr="00010F83">
        <w:rPr>
          <w:rFonts w:ascii="Arial" w:hAnsi="Arial" w:cs="Arial"/>
          <w:bCs/>
        </w:rPr>
        <w:t xml:space="preserve">ban hành tháng 11 năm 2013), IFRS 15 </w:t>
      </w:r>
      <w:r w:rsidR="00532AB6" w:rsidRPr="00010F83">
        <w:rPr>
          <w:rFonts w:ascii="Arial" w:hAnsi="Arial" w:cs="Arial"/>
          <w:bCs/>
          <w:i/>
        </w:rPr>
        <w:t>D</w:t>
      </w:r>
      <w:r w:rsidR="000E2F99" w:rsidRPr="00010F83">
        <w:rPr>
          <w:rFonts w:ascii="Arial" w:hAnsi="Arial" w:cs="Arial"/>
          <w:bCs/>
          <w:i/>
        </w:rPr>
        <w:t xml:space="preserve">oanh thu từ hợp đồng </w:t>
      </w:r>
      <w:r w:rsidR="00532AB6" w:rsidRPr="00010F83">
        <w:rPr>
          <w:rFonts w:ascii="Arial" w:hAnsi="Arial" w:cs="Arial"/>
          <w:bCs/>
          <w:i/>
        </w:rPr>
        <w:t xml:space="preserve">với </w:t>
      </w:r>
      <w:r w:rsidR="000E2F99" w:rsidRPr="00010F83">
        <w:rPr>
          <w:rFonts w:ascii="Arial" w:hAnsi="Arial" w:cs="Arial"/>
          <w:bCs/>
          <w:i/>
        </w:rPr>
        <w:t>khách hàng</w:t>
      </w:r>
      <w:r w:rsidR="000E2F99" w:rsidRPr="00010F83">
        <w:rPr>
          <w:rFonts w:ascii="Arial" w:hAnsi="Arial" w:cs="Arial"/>
          <w:bCs/>
        </w:rPr>
        <w:t xml:space="preserve"> (ba</w:t>
      </w:r>
      <w:r w:rsidR="005F635A" w:rsidRPr="00010F83">
        <w:rPr>
          <w:rFonts w:ascii="Arial" w:hAnsi="Arial" w:cs="Arial"/>
          <w:bCs/>
        </w:rPr>
        <w:t>n hành tháng 5 năm 2014), IFRS</w:t>
      </w:r>
      <w:r w:rsidR="00532AB6" w:rsidRPr="00010F83">
        <w:rPr>
          <w:rFonts w:ascii="Arial" w:hAnsi="Arial" w:cs="Arial"/>
          <w:bCs/>
        </w:rPr>
        <w:t xml:space="preserve"> 9</w:t>
      </w:r>
      <w:r w:rsidR="000E2F99" w:rsidRPr="00010F83">
        <w:rPr>
          <w:rFonts w:ascii="Arial" w:hAnsi="Arial" w:cs="Arial"/>
          <w:bCs/>
        </w:rPr>
        <w:t xml:space="preserve"> </w:t>
      </w:r>
      <w:r w:rsidR="00532AB6" w:rsidRPr="00010F83">
        <w:rPr>
          <w:rFonts w:ascii="Arial" w:hAnsi="Arial" w:cs="Arial"/>
          <w:bCs/>
          <w:i/>
        </w:rPr>
        <w:t>C</w:t>
      </w:r>
      <w:r w:rsidR="000E2F99" w:rsidRPr="00010F83">
        <w:rPr>
          <w:rFonts w:ascii="Arial" w:hAnsi="Arial" w:cs="Arial"/>
          <w:bCs/>
          <w:i/>
        </w:rPr>
        <w:t>ông cụ tài chính</w:t>
      </w:r>
      <w:r w:rsidR="000E2F99" w:rsidRPr="00010F83">
        <w:rPr>
          <w:rFonts w:ascii="Arial" w:hAnsi="Arial" w:cs="Arial"/>
          <w:bCs/>
        </w:rPr>
        <w:t xml:space="preserve"> (ban hành tháng 7 năm 2014), IFRS 16 </w:t>
      </w:r>
      <w:r w:rsidRPr="00010F83">
        <w:rPr>
          <w:rFonts w:ascii="Arial" w:hAnsi="Arial" w:cs="Arial"/>
          <w:bCs/>
          <w:i/>
        </w:rPr>
        <w:t>Hợp đồng thuê</w:t>
      </w:r>
      <w:r w:rsidR="000E2F99" w:rsidRPr="00010F83">
        <w:rPr>
          <w:rFonts w:ascii="Arial" w:hAnsi="Arial" w:cs="Arial"/>
          <w:bCs/>
        </w:rPr>
        <w:t xml:space="preserve"> (ban hành tháng 1 năm 2016), </w:t>
      </w:r>
      <w:r w:rsidR="00532AB6" w:rsidRPr="00010F83">
        <w:rPr>
          <w:rFonts w:ascii="Arial" w:hAnsi="Arial" w:cs="Arial"/>
          <w:bCs/>
        </w:rPr>
        <w:t xml:space="preserve">tài liệu </w:t>
      </w:r>
      <w:r w:rsidR="00532AB6" w:rsidRPr="00010F83">
        <w:rPr>
          <w:rFonts w:ascii="Arial" w:hAnsi="Arial" w:cs="Arial"/>
          <w:bCs/>
          <w:i/>
        </w:rPr>
        <w:t>Hoàn thiện</w:t>
      </w:r>
      <w:r w:rsidR="000E2F99" w:rsidRPr="00010F83">
        <w:rPr>
          <w:rFonts w:ascii="Arial" w:hAnsi="Arial" w:cs="Arial"/>
          <w:bCs/>
          <w:i/>
        </w:rPr>
        <w:t xml:space="preserve"> </w:t>
      </w:r>
      <w:r w:rsidR="00532AB6" w:rsidRPr="00010F83">
        <w:rPr>
          <w:rFonts w:ascii="Arial" w:hAnsi="Arial" w:cs="Arial"/>
          <w:bCs/>
          <w:i/>
        </w:rPr>
        <w:t xml:space="preserve">thường niên các Chuẩn mực IFRS </w:t>
      </w:r>
      <w:r w:rsidR="000E2F99" w:rsidRPr="00010F83">
        <w:rPr>
          <w:rFonts w:ascii="Arial" w:hAnsi="Arial" w:cs="Arial"/>
          <w:bCs/>
          <w:i/>
        </w:rPr>
        <w:t>k</w:t>
      </w:r>
      <w:r w:rsidR="00532AB6" w:rsidRPr="00010F83">
        <w:rPr>
          <w:rFonts w:ascii="Arial" w:hAnsi="Arial" w:cs="Arial"/>
          <w:bCs/>
          <w:i/>
        </w:rPr>
        <w:t>ỳ</w:t>
      </w:r>
      <w:r w:rsidR="000E2F99" w:rsidRPr="00010F83">
        <w:rPr>
          <w:rFonts w:ascii="Arial" w:hAnsi="Arial" w:cs="Arial"/>
          <w:bCs/>
          <w:i/>
        </w:rPr>
        <w:t xml:space="preserve"> 2015-2017</w:t>
      </w:r>
      <w:r w:rsidR="000E2F99" w:rsidRPr="00010F83">
        <w:rPr>
          <w:rFonts w:ascii="Arial" w:hAnsi="Arial" w:cs="Arial"/>
          <w:bCs/>
        </w:rPr>
        <w:t xml:space="preserve"> (ban hành tháng 12 năm 2017) và </w:t>
      </w:r>
      <w:r w:rsidR="00532AB6" w:rsidRPr="00010F83">
        <w:rPr>
          <w:rFonts w:ascii="Arial" w:hAnsi="Arial" w:cs="Arial"/>
          <w:bCs/>
        </w:rPr>
        <w:t xml:space="preserve">tài liệu </w:t>
      </w:r>
      <w:r w:rsidRPr="00010F83">
        <w:rPr>
          <w:rFonts w:ascii="Arial" w:hAnsi="Arial" w:cs="Arial"/>
          <w:bCs/>
          <w:i/>
        </w:rPr>
        <w:t>Những sửa đổi của các tham chiếu đến khung khái niệm trong Chuẩn mực IFRS</w:t>
      </w:r>
      <w:r w:rsidRPr="00010F83" w:rsidDel="004A0A4A">
        <w:rPr>
          <w:rFonts w:ascii="Arial" w:hAnsi="Arial" w:cs="Arial"/>
          <w:bCs/>
          <w:i/>
        </w:rPr>
        <w:t xml:space="preserve"> </w:t>
      </w:r>
      <w:r w:rsidR="000E2F99" w:rsidRPr="00010F83">
        <w:rPr>
          <w:rFonts w:ascii="Arial" w:hAnsi="Arial" w:cs="Arial"/>
          <w:bCs/>
        </w:rPr>
        <w:t>(ban hành tháng 3 năm 2018)</w:t>
      </w:r>
      <w:r w:rsidR="00D11AEE" w:rsidRPr="00010F83">
        <w:rPr>
          <w:rFonts w:ascii="Arial" w:hAnsi="Arial" w:cs="Arial"/>
          <w:bCs/>
        </w:rPr>
        <w:t>.</w:t>
      </w:r>
    </w:p>
    <w:p w:rsidR="000E2F99" w:rsidRPr="00010F83" w:rsidRDefault="007A68E5" w:rsidP="00590853">
      <w:pPr>
        <w:autoSpaceDE w:val="0"/>
        <w:autoSpaceDN w:val="0"/>
        <w:adjustRightInd w:val="0"/>
        <w:spacing w:after="120" w:line="240" w:lineRule="auto"/>
        <w:jc w:val="both"/>
        <w:rPr>
          <w:rFonts w:ascii="Arial" w:hAnsi="Arial" w:cs="Arial"/>
          <w:b/>
          <w:bCs/>
          <w:sz w:val="24"/>
          <w:szCs w:val="24"/>
        </w:rPr>
      </w:pPr>
      <w:r w:rsidRPr="00010F83">
        <w:rPr>
          <w:rFonts w:ascii="Arial" w:hAnsi="Arial" w:cs="Arial"/>
          <w:b/>
          <w:bCs/>
          <w:sz w:val="24"/>
          <w:szCs w:val="24"/>
        </w:rPr>
        <w:lastRenderedPageBreak/>
        <w:t>NỘI DUNG</w:t>
      </w:r>
    </w:p>
    <w:p w:rsidR="007E05DA" w:rsidRPr="00010F83" w:rsidRDefault="007E05DA" w:rsidP="007E05DA">
      <w:pPr>
        <w:autoSpaceDE w:val="0"/>
        <w:autoSpaceDN w:val="0"/>
        <w:adjustRightInd w:val="0"/>
        <w:spacing w:after="120" w:line="240" w:lineRule="auto"/>
        <w:jc w:val="right"/>
        <w:rPr>
          <w:rFonts w:ascii="Arial" w:hAnsi="Arial" w:cs="Arial"/>
          <w:b/>
          <w:bCs/>
          <w:sz w:val="20"/>
          <w:szCs w:val="20"/>
        </w:rPr>
      </w:pPr>
      <w:proofErr w:type="gramStart"/>
      <w:r w:rsidRPr="00010F83">
        <w:rPr>
          <w:rFonts w:ascii="Arial" w:hAnsi="Arial" w:cs="Arial"/>
          <w:i/>
          <w:sz w:val="20"/>
          <w:szCs w:val="20"/>
        </w:rPr>
        <w:t>từ</w:t>
      </w:r>
      <w:proofErr w:type="gramEnd"/>
      <w:r w:rsidRPr="00010F83">
        <w:rPr>
          <w:rFonts w:ascii="Arial" w:hAnsi="Arial" w:cs="Arial"/>
          <w:i/>
          <w:sz w:val="20"/>
          <w:szCs w:val="20"/>
        </w:rPr>
        <w:t xml:space="preserve"> đoạn</w:t>
      </w:r>
    </w:p>
    <w:p w:rsidR="000E2F99" w:rsidRPr="00010F83" w:rsidRDefault="000E2F99" w:rsidP="00590853">
      <w:pPr>
        <w:autoSpaceDE w:val="0"/>
        <w:autoSpaceDN w:val="0"/>
        <w:adjustRightInd w:val="0"/>
        <w:spacing w:after="120" w:line="240" w:lineRule="auto"/>
        <w:jc w:val="both"/>
        <w:rPr>
          <w:rFonts w:ascii="Arial" w:hAnsi="Arial" w:cs="Arial"/>
          <w:b/>
          <w:sz w:val="24"/>
          <w:szCs w:val="24"/>
        </w:rPr>
      </w:pPr>
      <w:r w:rsidRPr="00010F83">
        <w:rPr>
          <w:rFonts w:ascii="Arial" w:hAnsi="Arial" w:cs="Arial"/>
          <w:b/>
          <w:sz w:val="24"/>
          <w:szCs w:val="24"/>
        </w:rPr>
        <w:t>CHUẨN MỰC KẾ TOÁN SỐ</w:t>
      </w:r>
      <w:r w:rsidR="00590853" w:rsidRPr="00010F83">
        <w:rPr>
          <w:rFonts w:ascii="Arial" w:hAnsi="Arial" w:cs="Arial"/>
          <w:b/>
          <w:sz w:val="24"/>
          <w:szCs w:val="24"/>
        </w:rPr>
        <w:t xml:space="preserve"> 12- THUẾ</w:t>
      </w:r>
      <w:r w:rsidRPr="00010F83">
        <w:rPr>
          <w:rFonts w:ascii="Arial" w:hAnsi="Arial" w:cs="Arial"/>
          <w:b/>
          <w:sz w:val="24"/>
          <w:szCs w:val="24"/>
        </w:rPr>
        <w:t xml:space="preserve"> THU NHẬP </w:t>
      </w:r>
      <w:r w:rsidR="007A68E5" w:rsidRPr="00010F83">
        <w:rPr>
          <w:rFonts w:ascii="Arial" w:hAnsi="Arial" w:cs="Arial"/>
          <w:b/>
          <w:sz w:val="24"/>
          <w:szCs w:val="24"/>
        </w:rPr>
        <w:t>DOANH NGHIỆP</w:t>
      </w:r>
    </w:p>
    <w:p w:rsidR="000E2F99" w:rsidRPr="00010F83" w:rsidRDefault="000E2F99" w:rsidP="007E05DA">
      <w:pPr>
        <w:tabs>
          <w:tab w:val="right" w:pos="9360"/>
        </w:tabs>
        <w:autoSpaceDE w:val="0"/>
        <w:autoSpaceDN w:val="0"/>
        <w:adjustRightInd w:val="0"/>
        <w:spacing w:after="120" w:line="240" w:lineRule="auto"/>
        <w:jc w:val="both"/>
        <w:rPr>
          <w:rFonts w:ascii="Arial" w:hAnsi="Arial" w:cs="Arial"/>
          <w:b/>
          <w:sz w:val="20"/>
          <w:szCs w:val="20"/>
        </w:rPr>
      </w:pPr>
      <w:r w:rsidRPr="00010F83">
        <w:rPr>
          <w:rFonts w:ascii="Arial" w:hAnsi="Arial" w:cs="Arial"/>
          <w:b/>
          <w:sz w:val="20"/>
          <w:szCs w:val="20"/>
        </w:rPr>
        <w:t>MỤC TIÊU</w:t>
      </w:r>
      <w:r w:rsidR="007E05DA" w:rsidRPr="00010F83">
        <w:rPr>
          <w:rFonts w:ascii="Arial" w:hAnsi="Arial" w:cs="Arial"/>
          <w:b/>
          <w:sz w:val="20"/>
          <w:szCs w:val="20"/>
        </w:rPr>
        <w:tab/>
      </w:r>
    </w:p>
    <w:p w:rsidR="000E2F99" w:rsidRPr="00010F83" w:rsidRDefault="000E2F99" w:rsidP="007E05DA">
      <w:pPr>
        <w:tabs>
          <w:tab w:val="right" w:pos="9360"/>
        </w:tabs>
        <w:autoSpaceDE w:val="0"/>
        <w:autoSpaceDN w:val="0"/>
        <w:adjustRightInd w:val="0"/>
        <w:spacing w:after="120" w:line="240" w:lineRule="auto"/>
        <w:jc w:val="both"/>
        <w:rPr>
          <w:rFonts w:ascii="Arial" w:hAnsi="Arial" w:cs="Arial"/>
          <w:b/>
          <w:sz w:val="20"/>
          <w:szCs w:val="20"/>
        </w:rPr>
      </w:pPr>
      <w:r w:rsidRPr="00010F83">
        <w:rPr>
          <w:rFonts w:ascii="Arial" w:hAnsi="Arial" w:cs="Arial"/>
          <w:b/>
          <w:sz w:val="20"/>
          <w:szCs w:val="20"/>
        </w:rPr>
        <w:t>PHẠM VI</w:t>
      </w:r>
      <w:r w:rsidR="007E05DA" w:rsidRPr="00010F83">
        <w:rPr>
          <w:rFonts w:ascii="Arial" w:hAnsi="Arial" w:cs="Arial"/>
          <w:b/>
          <w:sz w:val="20"/>
          <w:szCs w:val="20"/>
        </w:rPr>
        <w:tab/>
        <w:t>1</w:t>
      </w:r>
    </w:p>
    <w:p w:rsidR="000E2F99" w:rsidRPr="00010F83" w:rsidRDefault="000E2F99" w:rsidP="007E05DA">
      <w:pPr>
        <w:tabs>
          <w:tab w:val="right" w:pos="9360"/>
        </w:tabs>
        <w:autoSpaceDE w:val="0"/>
        <w:autoSpaceDN w:val="0"/>
        <w:adjustRightInd w:val="0"/>
        <w:spacing w:after="120" w:line="240" w:lineRule="auto"/>
        <w:jc w:val="both"/>
        <w:rPr>
          <w:rFonts w:ascii="Arial" w:hAnsi="Arial" w:cs="Arial"/>
          <w:b/>
          <w:sz w:val="20"/>
          <w:szCs w:val="20"/>
        </w:rPr>
      </w:pPr>
      <w:r w:rsidRPr="00010F83">
        <w:rPr>
          <w:rFonts w:ascii="Arial" w:hAnsi="Arial" w:cs="Arial"/>
          <w:b/>
          <w:sz w:val="20"/>
          <w:szCs w:val="20"/>
        </w:rPr>
        <w:t xml:space="preserve">ĐỊNH NGHĨA </w:t>
      </w:r>
      <w:r w:rsidR="007E05DA" w:rsidRPr="00010F83">
        <w:rPr>
          <w:rFonts w:ascii="Arial" w:hAnsi="Arial" w:cs="Arial"/>
          <w:b/>
          <w:sz w:val="20"/>
          <w:szCs w:val="20"/>
        </w:rPr>
        <w:tab/>
        <w:t>5</w:t>
      </w:r>
    </w:p>
    <w:p w:rsidR="000E2F99" w:rsidRPr="00010F83" w:rsidRDefault="000E2F99" w:rsidP="007E05DA">
      <w:pPr>
        <w:tabs>
          <w:tab w:val="right" w:pos="9360"/>
        </w:tabs>
        <w:autoSpaceDE w:val="0"/>
        <w:autoSpaceDN w:val="0"/>
        <w:adjustRightInd w:val="0"/>
        <w:spacing w:after="120" w:line="240" w:lineRule="auto"/>
        <w:jc w:val="both"/>
        <w:rPr>
          <w:rFonts w:ascii="Arial" w:hAnsi="Arial" w:cs="Arial"/>
          <w:b/>
          <w:sz w:val="20"/>
          <w:szCs w:val="20"/>
        </w:rPr>
      </w:pPr>
      <w:r w:rsidRPr="00010F83">
        <w:rPr>
          <w:rFonts w:ascii="Arial" w:hAnsi="Arial" w:cs="Arial"/>
          <w:b/>
          <w:sz w:val="20"/>
          <w:szCs w:val="20"/>
        </w:rPr>
        <w:t xml:space="preserve">Cơ sở tính </w:t>
      </w:r>
      <w:r w:rsidR="001B75A5" w:rsidRPr="00010F83">
        <w:rPr>
          <w:rFonts w:ascii="Arial" w:hAnsi="Arial" w:cs="Arial"/>
          <w:b/>
          <w:sz w:val="20"/>
          <w:szCs w:val="20"/>
        </w:rPr>
        <w:t>thuế</w:t>
      </w:r>
      <w:r w:rsidR="007E05DA" w:rsidRPr="00010F83">
        <w:rPr>
          <w:rFonts w:ascii="Arial" w:hAnsi="Arial" w:cs="Arial"/>
          <w:b/>
          <w:sz w:val="20"/>
          <w:szCs w:val="20"/>
        </w:rPr>
        <w:tab/>
        <w:t>7</w:t>
      </w:r>
      <w:r w:rsidR="001B75A5" w:rsidRPr="00010F83">
        <w:rPr>
          <w:rFonts w:ascii="Arial" w:hAnsi="Arial" w:cs="Arial"/>
          <w:b/>
          <w:sz w:val="20"/>
          <w:szCs w:val="20"/>
        </w:rPr>
        <w:t xml:space="preserve"> </w:t>
      </w:r>
    </w:p>
    <w:p w:rsidR="007E05DA" w:rsidRPr="00010F83" w:rsidRDefault="000E2F99" w:rsidP="007E05DA">
      <w:pPr>
        <w:autoSpaceDE w:val="0"/>
        <w:autoSpaceDN w:val="0"/>
        <w:adjustRightInd w:val="0"/>
        <w:spacing w:after="0" w:line="240" w:lineRule="auto"/>
        <w:ind w:right="994"/>
        <w:jc w:val="both"/>
        <w:rPr>
          <w:rFonts w:ascii="Arial" w:hAnsi="Arial" w:cs="Arial"/>
          <w:b/>
          <w:sz w:val="20"/>
          <w:szCs w:val="20"/>
        </w:rPr>
      </w:pPr>
      <w:r w:rsidRPr="00010F83">
        <w:rPr>
          <w:rFonts w:ascii="Arial" w:hAnsi="Arial" w:cs="Arial"/>
          <w:b/>
          <w:sz w:val="20"/>
          <w:szCs w:val="20"/>
        </w:rPr>
        <w:t xml:space="preserve">GHI NHẬN </w:t>
      </w:r>
      <w:r w:rsidR="00590853" w:rsidRPr="00010F83">
        <w:rPr>
          <w:rFonts w:ascii="Arial" w:hAnsi="Arial" w:cs="Arial"/>
          <w:b/>
          <w:sz w:val="20"/>
          <w:szCs w:val="20"/>
        </w:rPr>
        <w:t>THUẾ</w:t>
      </w:r>
      <w:r w:rsidRPr="00010F83">
        <w:rPr>
          <w:rFonts w:ascii="Arial" w:hAnsi="Arial" w:cs="Arial"/>
          <w:b/>
          <w:sz w:val="20"/>
          <w:szCs w:val="20"/>
        </w:rPr>
        <w:t xml:space="preserve"> THU NHẬP </w:t>
      </w:r>
      <w:r w:rsidR="00495F73" w:rsidRPr="00010F83">
        <w:rPr>
          <w:rFonts w:ascii="Arial" w:hAnsi="Arial" w:cs="Arial"/>
          <w:b/>
          <w:sz w:val="20"/>
          <w:szCs w:val="20"/>
        </w:rPr>
        <w:t>DOANH NGHIỆP</w:t>
      </w:r>
      <w:r w:rsidR="007A68E5" w:rsidRPr="00010F83">
        <w:rPr>
          <w:rFonts w:ascii="Arial" w:hAnsi="Arial" w:cs="Arial"/>
          <w:b/>
          <w:sz w:val="20"/>
          <w:szCs w:val="20"/>
        </w:rPr>
        <w:t xml:space="preserve"> </w:t>
      </w:r>
      <w:r w:rsidRPr="00010F83">
        <w:rPr>
          <w:rFonts w:ascii="Arial" w:hAnsi="Arial" w:cs="Arial"/>
          <w:b/>
          <w:sz w:val="20"/>
          <w:szCs w:val="20"/>
        </w:rPr>
        <w:t xml:space="preserve">HIỆN HÀNH PHẢI </w:t>
      </w:r>
      <w:r w:rsidR="00C9413A" w:rsidRPr="00010F83">
        <w:rPr>
          <w:rFonts w:ascii="Arial" w:hAnsi="Arial" w:cs="Arial"/>
          <w:b/>
          <w:sz w:val="20"/>
          <w:szCs w:val="20"/>
        </w:rPr>
        <w:t>NỘP</w:t>
      </w:r>
      <w:r w:rsidRPr="00010F83">
        <w:rPr>
          <w:rFonts w:ascii="Arial" w:hAnsi="Arial" w:cs="Arial"/>
          <w:b/>
          <w:sz w:val="20"/>
          <w:szCs w:val="20"/>
        </w:rPr>
        <w:t xml:space="preserve"> VÀ TÀI SẢN</w:t>
      </w:r>
    </w:p>
    <w:p w:rsidR="000E2F99" w:rsidRPr="00010F83" w:rsidRDefault="00731917" w:rsidP="007E05DA">
      <w:pPr>
        <w:tabs>
          <w:tab w:val="right" w:pos="9360"/>
        </w:tabs>
        <w:autoSpaceDE w:val="0"/>
        <w:autoSpaceDN w:val="0"/>
        <w:adjustRightInd w:val="0"/>
        <w:spacing w:after="120" w:line="240" w:lineRule="auto"/>
        <w:jc w:val="both"/>
        <w:rPr>
          <w:rFonts w:ascii="Arial" w:hAnsi="Arial" w:cs="Arial"/>
          <w:b/>
          <w:sz w:val="20"/>
          <w:szCs w:val="20"/>
        </w:rPr>
      </w:pPr>
      <w:r w:rsidRPr="00010F83">
        <w:rPr>
          <w:rFonts w:ascii="Arial" w:hAnsi="Arial" w:cs="Arial"/>
          <w:b/>
          <w:sz w:val="20"/>
          <w:szCs w:val="20"/>
        </w:rPr>
        <w:t xml:space="preserve">THUẾ </w:t>
      </w:r>
      <w:r w:rsidR="008307CC" w:rsidRPr="00010F83">
        <w:rPr>
          <w:rFonts w:ascii="Arial" w:hAnsi="Arial" w:cs="Arial"/>
          <w:b/>
          <w:sz w:val="20"/>
          <w:szCs w:val="20"/>
        </w:rPr>
        <w:t xml:space="preserve">THU NHẬP DOANH NGHIỆP </w:t>
      </w:r>
      <w:r w:rsidR="00495F73" w:rsidRPr="00010F83">
        <w:rPr>
          <w:rFonts w:ascii="Arial" w:hAnsi="Arial" w:cs="Arial"/>
          <w:b/>
          <w:sz w:val="20"/>
          <w:szCs w:val="20"/>
        </w:rPr>
        <w:t>HIỆN</w:t>
      </w:r>
      <w:r w:rsidR="000E2F99" w:rsidRPr="00010F83">
        <w:rPr>
          <w:rFonts w:ascii="Arial" w:hAnsi="Arial" w:cs="Arial"/>
          <w:b/>
          <w:sz w:val="20"/>
          <w:szCs w:val="20"/>
        </w:rPr>
        <w:t xml:space="preserve"> HÀNH</w:t>
      </w:r>
      <w:r w:rsidR="007E05DA" w:rsidRPr="00010F83">
        <w:rPr>
          <w:rFonts w:ascii="Arial" w:hAnsi="Arial" w:cs="Arial"/>
          <w:b/>
          <w:sz w:val="20"/>
          <w:szCs w:val="20"/>
        </w:rPr>
        <w:tab/>
        <w:t>12</w:t>
      </w:r>
      <w:r w:rsidR="000E2F99" w:rsidRPr="00010F83">
        <w:rPr>
          <w:rFonts w:ascii="Arial" w:hAnsi="Arial" w:cs="Arial"/>
          <w:b/>
          <w:sz w:val="20"/>
          <w:szCs w:val="20"/>
        </w:rPr>
        <w:t xml:space="preserve"> </w:t>
      </w:r>
    </w:p>
    <w:p w:rsidR="007E05DA" w:rsidRPr="00010F83" w:rsidRDefault="000E2F99" w:rsidP="007E05DA">
      <w:pPr>
        <w:autoSpaceDE w:val="0"/>
        <w:autoSpaceDN w:val="0"/>
        <w:adjustRightInd w:val="0"/>
        <w:spacing w:after="0" w:line="240" w:lineRule="auto"/>
        <w:ind w:right="1080"/>
        <w:jc w:val="both"/>
        <w:rPr>
          <w:rFonts w:ascii="Arial" w:hAnsi="Arial" w:cs="Arial"/>
          <w:b/>
          <w:sz w:val="20"/>
          <w:szCs w:val="20"/>
        </w:rPr>
      </w:pPr>
      <w:r w:rsidRPr="00010F83">
        <w:rPr>
          <w:rFonts w:ascii="Arial" w:hAnsi="Arial" w:cs="Arial"/>
          <w:b/>
          <w:sz w:val="20"/>
          <w:szCs w:val="20"/>
        </w:rPr>
        <w:t xml:space="preserve">GHI NHẬN </w:t>
      </w:r>
      <w:r w:rsidR="00731917" w:rsidRPr="00010F83">
        <w:rPr>
          <w:rFonts w:ascii="Arial" w:hAnsi="Arial" w:cs="Arial"/>
          <w:b/>
          <w:sz w:val="20"/>
          <w:szCs w:val="20"/>
        </w:rPr>
        <w:t xml:space="preserve">THUẾ </w:t>
      </w:r>
      <w:r w:rsidR="008307CC" w:rsidRPr="00010F83">
        <w:rPr>
          <w:rFonts w:ascii="Arial" w:hAnsi="Arial" w:cs="Arial"/>
          <w:b/>
          <w:sz w:val="20"/>
          <w:szCs w:val="20"/>
        </w:rPr>
        <w:t xml:space="preserve">THU NHẬP DOANH NGHIỆP </w:t>
      </w:r>
      <w:r w:rsidRPr="00010F83">
        <w:rPr>
          <w:rFonts w:ascii="Arial" w:hAnsi="Arial" w:cs="Arial"/>
          <w:b/>
          <w:sz w:val="20"/>
          <w:szCs w:val="20"/>
        </w:rPr>
        <w:t xml:space="preserve">HOÃN LẠI PHẢI TRẢ VÀ TÀI SẢN </w:t>
      </w:r>
    </w:p>
    <w:p w:rsidR="000E2F99" w:rsidRPr="00010F83" w:rsidRDefault="00731917" w:rsidP="007E05DA">
      <w:pPr>
        <w:tabs>
          <w:tab w:val="right" w:pos="9360"/>
        </w:tabs>
        <w:autoSpaceDE w:val="0"/>
        <w:autoSpaceDN w:val="0"/>
        <w:adjustRightInd w:val="0"/>
        <w:spacing w:after="120" w:line="240" w:lineRule="auto"/>
        <w:jc w:val="both"/>
        <w:rPr>
          <w:rFonts w:ascii="Arial" w:hAnsi="Arial" w:cs="Arial"/>
          <w:b/>
          <w:sz w:val="20"/>
          <w:szCs w:val="20"/>
        </w:rPr>
      </w:pPr>
      <w:r w:rsidRPr="00010F83">
        <w:rPr>
          <w:rFonts w:ascii="Arial" w:hAnsi="Arial" w:cs="Arial"/>
          <w:b/>
          <w:sz w:val="20"/>
          <w:szCs w:val="20"/>
        </w:rPr>
        <w:t xml:space="preserve">THUẾ </w:t>
      </w:r>
      <w:r w:rsidR="008307CC" w:rsidRPr="00010F83">
        <w:rPr>
          <w:rFonts w:ascii="Arial" w:hAnsi="Arial" w:cs="Arial"/>
          <w:b/>
          <w:sz w:val="20"/>
          <w:szCs w:val="20"/>
        </w:rPr>
        <w:t xml:space="preserve">THU NHẬP DOANH NGHIỆP </w:t>
      </w:r>
      <w:r w:rsidR="000E2F99" w:rsidRPr="00010F83">
        <w:rPr>
          <w:rFonts w:ascii="Arial" w:hAnsi="Arial" w:cs="Arial"/>
          <w:b/>
          <w:sz w:val="20"/>
          <w:szCs w:val="20"/>
        </w:rPr>
        <w:t>HOÃN LẠI</w:t>
      </w:r>
      <w:r w:rsidR="007E05DA" w:rsidRPr="00010F83">
        <w:rPr>
          <w:rFonts w:ascii="Arial" w:hAnsi="Arial" w:cs="Arial"/>
          <w:b/>
          <w:sz w:val="20"/>
          <w:szCs w:val="20"/>
        </w:rPr>
        <w:tab/>
        <w:t>15</w:t>
      </w:r>
    </w:p>
    <w:p w:rsidR="000E2F99" w:rsidRPr="00010F83" w:rsidRDefault="007A68E5" w:rsidP="007E05DA">
      <w:pPr>
        <w:tabs>
          <w:tab w:val="right" w:pos="9360"/>
        </w:tabs>
        <w:autoSpaceDE w:val="0"/>
        <w:autoSpaceDN w:val="0"/>
        <w:adjustRightInd w:val="0"/>
        <w:spacing w:after="120" w:line="240" w:lineRule="auto"/>
        <w:jc w:val="both"/>
        <w:rPr>
          <w:rFonts w:ascii="Arial" w:hAnsi="Arial" w:cs="Arial"/>
          <w:b/>
          <w:sz w:val="20"/>
          <w:szCs w:val="20"/>
        </w:rPr>
      </w:pPr>
      <w:r w:rsidRPr="00010F83">
        <w:rPr>
          <w:rFonts w:ascii="Arial" w:hAnsi="Arial" w:cs="Arial"/>
          <w:b/>
          <w:sz w:val="20"/>
          <w:szCs w:val="20"/>
        </w:rPr>
        <w:t>Chênh lệch tạm thờ</w:t>
      </w:r>
      <w:r w:rsidR="00495F73" w:rsidRPr="00010F83">
        <w:rPr>
          <w:rFonts w:ascii="Arial" w:hAnsi="Arial" w:cs="Arial"/>
          <w:b/>
          <w:sz w:val="20"/>
          <w:szCs w:val="20"/>
        </w:rPr>
        <w:t xml:space="preserve">i </w:t>
      </w:r>
      <w:r w:rsidR="004A0A4A" w:rsidRPr="00010F83">
        <w:rPr>
          <w:rFonts w:ascii="Arial" w:hAnsi="Arial" w:cs="Arial"/>
          <w:b/>
          <w:sz w:val="20"/>
          <w:szCs w:val="20"/>
        </w:rPr>
        <w:t xml:space="preserve">phải </w:t>
      </w:r>
      <w:r w:rsidRPr="00010F83">
        <w:rPr>
          <w:rFonts w:ascii="Arial" w:hAnsi="Arial" w:cs="Arial"/>
          <w:b/>
          <w:sz w:val="20"/>
          <w:szCs w:val="20"/>
        </w:rPr>
        <w:t>chịu thuế</w:t>
      </w:r>
      <w:r w:rsidR="007E05DA" w:rsidRPr="00010F83">
        <w:rPr>
          <w:rFonts w:ascii="Arial" w:hAnsi="Arial" w:cs="Arial"/>
          <w:b/>
          <w:sz w:val="20"/>
          <w:szCs w:val="20"/>
        </w:rPr>
        <w:tab/>
        <w:t>15</w:t>
      </w:r>
    </w:p>
    <w:p w:rsidR="007A68E5" w:rsidRPr="00010F83" w:rsidRDefault="000E2F99" w:rsidP="007E05DA">
      <w:pPr>
        <w:tabs>
          <w:tab w:val="right" w:pos="9360"/>
        </w:tabs>
        <w:autoSpaceDE w:val="0"/>
        <w:autoSpaceDN w:val="0"/>
        <w:adjustRightInd w:val="0"/>
        <w:spacing w:after="120" w:line="240" w:lineRule="auto"/>
        <w:jc w:val="both"/>
        <w:rPr>
          <w:rFonts w:ascii="Arial" w:hAnsi="Arial" w:cs="Arial"/>
          <w:b/>
          <w:sz w:val="20"/>
          <w:szCs w:val="20"/>
        </w:rPr>
      </w:pPr>
      <w:r w:rsidRPr="00010F83">
        <w:rPr>
          <w:rFonts w:ascii="Arial" w:hAnsi="Arial" w:cs="Arial"/>
          <w:b/>
          <w:sz w:val="20"/>
          <w:szCs w:val="20"/>
        </w:rPr>
        <w:t>Chênh lệch tạm thời được khấu trừ</w:t>
      </w:r>
      <w:r w:rsidR="0034007A" w:rsidRPr="00010F83">
        <w:rPr>
          <w:rFonts w:ascii="Arial" w:hAnsi="Arial" w:cs="Arial"/>
          <w:b/>
          <w:sz w:val="20"/>
          <w:szCs w:val="20"/>
        </w:rPr>
        <w:tab/>
        <w:t>24</w:t>
      </w:r>
    </w:p>
    <w:p w:rsidR="000E2F99" w:rsidRPr="00010F83" w:rsidRDefault="007A68E5" w:rsidP="0034007A">
      <w:pPr>
        <w:tabs>
          <w:tab w:val="right" w:pos="9360"/>
        </w:tabs>
        <w:autoSpaceDE w:val="0"/>
        <w:autoSpaceDN w:val="0"/>
        <w:adjustRightInd w:val="0"/>
        <w:spacing w:after="120" w:line="240" w:lineRule="auto"/>
        <w:jc w:val="both"/>
        <w:rPr>
          <w:rFonts w:ascii="Arial" w:hAnsi="Arial" w:cs="Arial"/>
          <w:b/>
          <w:sz w:val="20"/>
          <w:szCs w:val="20"/>
        </w:rPr>
      </w:pPr>
      <w:r w:rsidRPr="00010F83">
        <w:rPr>
          <w:rFonts w:ascii="Arial" w:hAnsi="Arial" w:cs="Arial"/>
          <w:b/>
          <w:sz w:val="20"/>
          <w:szCs w:val="20"/>
        </w:rPr>
        <w:t>Lỗ</w:t>
      </w:r>
      <w:r w:rsidR="000E2F99" w:rsidRPr="00010F83">
        <w:rPr>
          <w:rFonts w:ascii="Arial" w:hAnsi="Arial" w:cs="Arial"/>
          <w:b/>
          <w:sz w:val="20"/>
          <w:szCs w:val="20"/>
        </w:rPr>
        <w:t xml:space="preserve"> </w:t>
      </w:r>
      <w:r w:rsidRPr="00010F83">
        <w:rPr>
          <w:rFonts w:ascii="Arial" w:hAnsi="Arial" w:cs="Arial"/>
          <w:b/>
          <w:sz w:val="20"/>
          <w:szCs w:val="20"/>
        </w:rPr>
        <w:t xml:space="preserve">tính </w:t>
      </w:r>
      <w:r w:rsidR="000E2F99" w:rsidRPr="00010F83">
        <w:rPr>
          <w:rFonts w:ascii="Arial" w:hAnsi="Arial" w:cs="Arial"/>
          <w:b/>
          <w:sz w:val="20"/>
          <w:szCs w:val="20"/>
        </w:rPr>
        <w:t xml:space="preserve">thuế chưa sử dụng và </w:t>
      </w:r>
      <w:r w:rsidR="00723FF3" w:rsidRPr="00010F83">
        <w:rPr>
          <w:rFonts w:ascii="Arial" w:hAnsi="Arial" w:cs="Arial"/>
          <w:b/>
          <w:sz w:val="20"/>
          <w:szCs w:val="20"/>
        </w:rPr>
        <w:t>ưu đãi thuế chưa sử dụng</w:t>
      </w:r>
      <w:r w:rsidR="0034007A" w:rsidRPr="00010F83">
        <w:rPr>
          <w:rFonts w:ascii="Arial" w:hAnsi="Arial" w:cs="Arial"/>
          <w:b/>
          <w:sz w:val="20"/>
          <w:szCs w:val="20"/>
        </w:rPr>
        <w:tab/>
        <w:t>34</w:t>
      </w:r>
    </w:p>
    <w:p w:rsidR="000E2F99" w:rsidRPr="00010F83" w:rsidRDefault="000E2F99" w:rsidP="0034007A">
      <w:pPr>
        <w:tabs>
          <w:tab w:val="right" w:pos="9360"/>
        </w:tabs>
        <w:autoSpaceDE w:val="0"/>
        <w:autoSpaceDN w:val="0"/>
        <w:adjustRightInd w:val="0"/>
        <w:spacing w:after="120" w:line="240" w:lineRule="auto"/>
        <w:jc w:val="both"/>
        <w:rPr>
          <w:rFonts w:ascii="Arial" w:hAnsi="Arial" w:cs="Arial"/>
          <w:b/>
          <w:sz w:val="20"/>
          <w:szCs w:val="20"/>
        </w:rPr>
      </w:pPr>
      <w:r w:rsidRPr="00010F83">
        <w:rPr>
          <w:rFonts w:ascii="Arial" w:hAnsi="Arial" w:cs="Arial"/>
          <w:b/>
          <w:sz w:val="20"/>
          <w:szCs w:val="20"/>
        </w:rPr>
        <w:t xml:space="preserve">Đánh giá lại tài sản </w:t>
      </w:r>
      <w:r w:rsidR="00731917" w:rsidRPr="00010F83">
        <w:rPr>
          <w:rFonts w:ascii="Arial" w:hAnsi="Arial" w:cs="Arial"/>
          <w:b/>
          <w:sz w:val="20"/>
          <w:szCs w:val="20"/>
        </w:rPr>
        <w:t xml:space="preserve">thuế </w:t>
      </w:r>
      <w:proofErr w:type="gramStart"/>
      <w:r w:rsidR="00C9413A" w:rsidRPr="00010F83">
        <w:rPr>
          <w:rFonts w:ascii="Arial" w:hAnsi="Arial" w:cs="Arial"/>
          <w:b/>
          <w:sz w:val="20"/>
          <w:szCs w:val="20"/>
        </w:rPr>
        <w:t>thu</w:t>
      </w:r>
      <w:proofErr w:type="gramEnd"/>
      <w:r w:rsidR="00C9413A" w:rsidRPr="00010F83">
        <w:rPr>
          <w:rFonts w:ascii="Arial" w:hAnsi="Arial" w:cs="Arial"/>
          <w:b/>
          <w:sz w:val="20"/>
          <w:szCs w:val="20"/>
        </w:rPr>
        <w:t xml:space="preserve"> nhập doanh </w:t>
      </w:r>
      <w:r w:rsidR="001B75A5" w:rsidRPr="00010F83">
        <w:rPr>
          <w:rFonts w:ascii="Arial" w:hAnsi="Arial" w:cs="Arial"/>
          <w:b/>
          <w:sz w:val="20"/>
          <w:szCs w:val="20"/>
        </w:rPr>
        <w:t xml:space="preserve">nghiệp </w:t>
      </w:r>
      <w:r w:rsidRPr="00010F83">
        <w:rPr>
          <w:rFonts w:ascii="Arial" w:hAnsi="Arial" w:cs="Arial"/>
          <w:b/>
          <w:sz w:val="20"/>
          <w:szCs w:val="20"/>
        </w:rPr>
        <w:t xml:space="preserve">hoãn lại </w:t>
      </w:r>
      <w:r w:rsidR="00495F73" w:rsidRPr="00010F83">
        <w:rPr>
          <w:rFonts w:ascii="Arial" w:hAnsi="Arial" w:cs="Arial"/>
          <w:b/>
          <w:sz w:val="20"/>
          <w:szCs w:val="20"/>
        </w:rPr>
        <w:t>chưa</w:t>
      </w:r>
      <w:r w:rsidRPr="00010F83">
        <w:rPr>
          <w:rFonts w:ascii="Arial" w:hAnsi="Arial" w:cs="Arial"/>
          <w:b/>
          <w:sz w:val="20"/>
          <w:szCs w:val="20"/>
        </w:rPr>
        <w:t xml:space="preserve"> được ghi nhận</w:t>
      </w:r>
      <w:r w:rsidR="0034007A" w:rsidRPr="00010F83">
        <w:rPr>
          <w:rFonts w:ascii="Arial" w:hAnsi="Arial" w:cs="Arial"/>
          <w:b/>
          <w:sz w:val="20"/>
          <w:szCs w:val="20"/>
        </w:rPr>
        <w:tab/>
        <w:t>37</w:t>
      </w:r>
    </w:p>
    <w:p w:rsidR="000E2F99" w:rsidRPr="00010F83" w:rsidRDefault="000E2F99" w:rsidP="0034007A">
      <w:pPr>
        <w:tabs>
          <w:tab w:val="right" w:pos="9360"/>
        </w:tabs>
        <w:autoSpaceDE w:val="0"/>
        <w:autoSpaceDN w:val="0"/>
        <w:adjustRightInd w:val="0"/>
        <w:spacing w:after="120" w:line="240" w:lineRule="auto"/>
        <w:jc w:val="both"/>
        <w:rPr>
          <w:rFonts w:ascii="Arial" w:hAnsi="Arial" w:cs="Arial"/>
          <w:b/>
          <w:sz w:val="20"/>
          <w:szCs w:val="20"/>
        </w:rPr>
      </w:pPr>
      <w:r w:rsidRPr="00010F83">
        <w:rPr>
          <w:rFonts w:ascii="Arial" w:hAnsi="Arial" w:cs="Arial"/>
          <w:b/>
          <w:sz w:val="20"/>
          <w:szCs w:val="20"/>
        </w:rPr>
        <w:t>Đầu tư</w:t>
      </w:r>
      <w:r w:rsidR="00495F73" w:rsidRPr="00010F83">
        <w:rPr>
          <w:rFonts w:ascii="Arial" w:hAnsi="Arial" w:cs="Arial"/>
          <w:b/>
          <w:sz w:val="20"/>
          <w:szCs w:val="20"/>
        </w:rPr>
        <w:t xml:space="preserve"> vào</w:t>
      </w:r>
      <w:r w:rsidRPr="00010F83">
        <w:rPr>
          <w:rFonts w:ascii="Arial" w:hAnsi="Arial" w:cs="Arial"/>
          <w:b/>
          <w:sz w:val="20"/>
          <w:szCs w:val="20"/>
        </w:rPr>
        <w:t xml:space="preserve"> công ty con</w:t>
      </w:r>
      <w:r w:rsidR="00495F73" w:rsidRPr="00010F83">
        <w:rPr>
          <w:rFonts w:ascii="Arial" w:hAnsi="Arial" w:cs="Arial"/>
          <w:b/>
          <w:sz w:val="20"/>
          <w:szCs w:val="20"/>
        </w:rPr>
        <w:t>, chi nhánh</w:t>
      </w:r>
      <w:r w:rsidR="005F03DA" w:rsidRPr="00010F83">
        <w:rPr>
          <w:rFonts w:ascii="Arial" w:hAnsi="Arial" w:cs="Arial"/>
          <w:b/>
          <w:sz w:val="20"/>
          <w:szCs w:val="20"/>
        </w:rPr>
        <w:t xml:space="preserve"> và</w:t>
      </w:r>
      <w:r w:rsidRPr="00010F83">
        <w:rPr>
          <w:rFonts w:ascii="Arial" w:hAnsi="Arial" w:cs="Arial"/>
          <w:b/>
          <w:sz w:val="20"/>
          <w:szCs w:val="20"/>
        </w:rPr>
        <w:t xml:space="preserve"> công ty </w:t>
      </w:r>
      <w:r w:rsidR="007A68E5" w:rsidRPr="00010F83">
        <w:rPr>
          <w:rFonts w:ascii="Arial" w:hAnsi="Arial" w:cs="Arial"/>
          <w:b/>
          <w:sz w:val="20"/>
          <w:szCs w:val="20"/>
        </w:rPr>
        <w:t xml:space="preserve">liên kết và </w:t>
      </w:r>
      <w:r w:rsidR="00682F96" w:rsidRPr="00010F83">
        <w:rPr>
          <w:rFonts w:ascii="Arial" w:hAnsi="Arial" w:cs="Arial"/>
          <w:b/>
          <w:sz w:val="20"/>
          <w:szCs w:val="20"/>
        </w:rPr>
        <w:t>lợi ích</w:t>
      </w:r>
      <w:r w:rsidR="005F03DA" w:rsidRPr="00010F83">
        <w:rPr>
          <w:rFonts w:ascii="Arial" w:hAnsi="Arial" w:cs="Arial"/>
          <w:b/>
          <w:sz w:val="20"/>
          <w:szCs w:val="20"/>
        </w:rPr>
        <w:t xml:space="preserve"> trong </w:t>
      </w:r>
      <w:r w:rsidR="00C9413A" w:rsidRPr="00010F83">
        <w:rPr>
          <w:rFonts w:ascii="Arial" w:hAnsi="Arial" w:cs="Arial"/>
          <w:b/>
          <w:sz w:val="20"/>
          <w:szCs w:val="20"/>
        </w:rPr>
        <w:t>các</w:t>
      </w:r>
      <w:r w:rsidR="007A68E5" w:rsidRPr="00010F83">
        <w:rPr>
          <w:rFonts w:ascii="Arial" w:hAnsi="Arial" w:cs="Arial"/>
          <w:b/>
          <w:sz w:val="20"/>
          <w:szCs w:val="20"/>
        </w:rPr>
        <w:t xml:space="preserve"> thỏa thuận </w:t>
      </w:r>
      <w:proofErr w:type="gramStart"/>
      <w:r w:rsidR="007A68E5" w:rsidRPr="00010F83">
        <w:rPr>
          <w:rFonts w:ascii="Arial" w:hAnsi="Arial" w:cs="Arial"/>
          <w:b/>
          <w:sz w:val="20"/>
          <w:szCs w:val="20"/>
        </w:rPr>
        <w:t>chung</w:t>
      </w:r>
      <w:proofErr w:type="gramEnd"/>
      <w:r w:rsidR="0034007A" w:rsidRPr="00010F83">
        <w:rPr>
          <w:rFonts w:ascii="Arial" w:hAnsi="Arial" w:cs="Arial"/>
          <w:b/>
          <w:sz w:val="20"/>
          <w:szCs w:val="20"/>
        </w:rPr>
        <w:tab/>
        <w:t>38</w:t>
      </w:r>
    </w:p>
    <w:p w:rsidR="000E2F99" w:rsidRPr="00010F83" w:rsidRDefault="007A68E5" w:rsidP="0034007A">
      <w:pPr>
        <w:tabs>
          <w:tab w:val="right" w:pos="9360"/>
        </w:tabs>
        <w:autoSpaceDE w:val="0"/>
        <w:autoSpaceDN w:val="0"/>
        <w:adjustRightInd w:val="0"/>
        <w:spacing w:after="120" w:line="240" w:lineRule="auto"/>
        <w:jc w:val="both"/>
        <w:rPr>
          <w:rFonts w:ascii="Arial" w:hAnsi="Arial" w:cs="Arial"/>
          <w:b/>
          <w:sz w:val="20"/>
          <w:szCs w:val="20"/>
        </w:rPr>
      </w:pPr>
      <w:r w:rsidRPr="00010F83">
        <w:rPr>
          <w:rFonts w:ascii="Arial" w:hAnsi="Arial" w:cs="Arial"/>
          <w:b/>
          <w:sz w:val="20"/>
          <w:szCs w:val="20"/>
        </w:rPr>
        <w:t>XÁC ĐỊNH GIÁ TRỊ</w:t>
      </w:r>
      <w:r w:rsidR="0034007A" w:rsidRPr="00010F83">
        <w:rPr>
          <w:rFonts w:ascii="Arial" w:hAnsi="Arial" w:cs="Arial"/>
          <w:b/>
          <w:sz w:val="20"/>
          <w:szCs w:val="20"/>
        </w:rPr>
        <w:tab/>
        <w:t>46</w:t>
      </w:r>
    </w:p>
    <w:p w:rsidR="000E2F99" w:rsidRPr="00010F83" w:rsidRDefault="000E2F99" w:rsidP="0034007A">
      <w:pPr>
        <w:tabs>
          <w:tab w:val="right" w:pos="9360"/>
        </w:tabs>
        <w:autoSpaceDE w:val="0"/>
        <w:autoSpaceDN w:val="0"/>
        <w:adjustRightInd w:val="0"/>
        <w:spacing w:after="120" w:line="240" w:lineRule="auto"/>
        <w:jc w:val="both"/>
        <w:rPr>
          <w:rFonts w:ascii="Arial" w:hAnsi="Arial" w:cs="Arial"/>
          <w:b/>
          <w:sz w:val="20"/>
          <w:szCs w:val="20"/>
        </w:rPr>
      </w:pPr>
      <w:r w:rsidRPr="00010F83">
        <w:rPr>
          <w:rFonts w:ascii="Arial" w:hAnsi="Arial" w:cs="Arial"/>
          <w:b/>
          <w:sz w:val="20"/>
          <w:szCs w:val="20"/>
        </w:rPr>
        <w:t xml:space="preserve">GHI NHẬN TÀI SẢN </w:t>
      </w:r>
      <w:r w:rsidR="00731917" w:rsidRPr="00010F83">
        <w:rPr>
          <w:rFonts w:ascii="Arial" w:hAnsi="Arial" w:cs="Arial"/>
          <w:b/>
          <w:sz w:val="20"/>
          <w:szCs w:val="20"/>
        </w:rPr>
        <w:t xml:space="preserve">THUẾ </w:t>
      </w:r>
      <w:r w:rsidR="008307CC" w:rsidRPr="00010F83">
        <w:rPr>
          <w:rFonts w:ascii="Arial" w:hAnsi="Arial" w:cs="Arial"/>
          <w:b/>
          <w:sz w:val="20"/>
          <w:szCs w:val="20"/>
        </w:rPr>
        <w:t xml:space="preserve">THU NHẬP DOANH NGHIỆP </w:t>
      </w:r>
      <w:r w:rsidRPr="00010F83">
        <w:rPr>
          <w:rFonts w:ascii="Arial" w:hAnsi="Arial" w:cs="Arial"/>
          <w:b/>
          <w:sz w:val="20"/>
          <w:szCs w:val="20"/>
        </w:rPr>
        <w:t>HOÃN LẠ</w:t>
      </w:r>
      <w:r w:rsidR="00590853" w:rsidRPr="00010F83">
        <w:rPr>
          <w:rFonts w:ascii="Arial" w:hAnsi="Arial" w:cs="Arial"/>
          <w:b/>
          <w:sz w:val="20"/>
          <w:szCs w:val="20"/>
        </w:rPr>
        <w:t>I VÀ HIỆ</w:t>
      </w:r>
      <w:r w:rsidR="00650A23" w:rsidRPr="00010F83">
        <w:rPr>
          <w:rFonts w:ascii="Arial" w:hAnsi="Arial" w:cs="Arial"/>
          <w:b/>
          <w:sz w:val="20"/>
          <w:szCs w:val="20"/>
        </w:rPr>
        <w:t>N</w:t>
      </w:r>
      <w:r w:rsidRPr="00010F83">
        <w:rPr>
          <w:rFonts w:ascii="Arial" w:hAnsi="Arial" w:cs="Arial"/>
          <w:b/>
          <w:sz w:val="20"/>
          <w:szCs w:val="20"/>
        </w:rPr>
        <w:t xml:space="preserve"> HÀNH</w:t>
      </w:r>
      <w:r w:rsidR="0034007A" w:rsidRPr="00010F83">
        <w:rPr>
          <w:rFonts w:ascii="Arial" w:hAnsi="Arial" w:cs="Arial"/>
          <w:b/>
          <w:sz w:val="20"/>
          <w:szCs w:val="20"/>
        </w:rPr>
        <w:tab/>
        <w:t>57</w:t>
      </w:r>
    </w:p>
    <w:p w:rsidR="000E2F99" w:rsidRPr="00010F83" w:rsidRDefault="000E2F99" w:rsidP="0034007A">
      <w:pPr>
        <w:tabs>
          <w:tab w:val="right" w:pos="9360"/>
        </w:tabs>
        <w:autoSpaceDE w:val="0"/>
        <w:autoSpaceDN w:val="0"/>
        <w:adjustRightInd w:val="0"/>
        <w:spacing w:after="120" w:line="240" w:lineRule="auto"/>
        <w:jc w:val="both"/>
        <w:rPr>
          <w:rFonts w:ascii="Arial" w:hAnsi="Arial" w:cs="Arial"/>
          <w:b/>
          <w:sz w:val="20"/>
          <w:szCs w:val="20"/>
        </w:rPr>
      </w:pPr>
      <w:r w:rsidRPr="00010F83">
        <w:rPr>
          <w:rFonts w:ascii="Arial" w:hAnsi="Arial" w:cs="Arial"/>
          <w:b/>
          <w:sz w:val="20"/>
          <w:szCs w:val="20"/>
        </w:rPr>
        <w:t xml:space="preserve">Các khoản mục được ghi nhận vào </w:t>
      </w:r>
      <w:r w:rsidR="00F62F03" w:rsidRPr="00010F83">
        <w:rPr>
          <w:rFonts w:ascii="Arial" w:hAnsi="Arial" w:cs="Arial"/>
          <w:b/>
          <w:sz w:val="20"/>
          <w:szCs w:val="20"/>
        </w:rPr>
        <w:t>Báo cáo kết quả hoạt động kinh doanh</w:t>
      </w:r>
      <w:r w:rsidR="0034007A" w:rsidRPr="00010F83">
        <w:rPr>
          <w:rFonts w:ascii="Arial" w:hAnsi="Arial" w:cs="Arial"/>
          <w:b/>
          <w:sz w:val="20"/>
          <w:szCs w:val="20"/>
        </w:rPr>
        <w:tab/>
        <w:t>58</w:t>
      </w:r>
    </w:p>
    <w:p w:rsidR="000E2F99" w:rsidRPr="00010F83" w:rsidRDefault="000E2F99" w:rsidP="0034007A">
      <w:pPr>
        <w:tabs>
          <w:tab w:val="right" w:pos="9360"/>
        </w:tabs>
        <w:autoSpaceDE w:val="0"/>
        <w:autoSpaceDN w:val="0"/>
        <w:adjustRightInd w:val="0"/>
        <w:spacing w:after="120" w:line="240" w:lineRule="auto"/>
        <w:jc w:val="both"/>
        <w:rPr>
          <w:rFonts w:ascii="Arial" w:hAnsi="Arial" w:cs="Arial"/>
          <w:b/>
          <w:sz w:val="20"/>
          <w:szCs w:val="20"/>
        </w:rPr>
      </w:pPr>
      <w:r w:rsidRPr="00010F83">
        <w:rPr>
          <w:rFonts w:ascii="Arial" w:hAnsi="Arial" w:cs="Arial"/>
          <w:b/>
          <w:sz w:val="20"/>
          <w:szCs w:val="20"/>
        </w:rPr>
        <w:t xml:space="preserve">Các khoản mục được ghi nhận </w:t>
      </w:r>
      <w:r w:rsidR="00682F96" w:rsidRPr="00010F83">
        <w:rPr>
          <w:rFonts w:ascii="Arial" w:hAnsi="Arial" w:cs="Arial"/>
          <w:b/>
          <w:sz w:val="20"/>
          <w:szCs w:val="20"/>
        </w:rPr>
        <w:t>bên ngoài</w:t>
      </w:r>
      <w:r w:rsidRPr="00010F83">
        <w:rPr>
          <w:rFonts w:ascii="Arial" w:hAnsi="Arial" w:cs="Arial"/>
          <w:b/>
          <w:sz w:val="20"/>
          <w:szCs w:val="20"/>
        </w:rPr>
        <w:t xml:space="preserve"> </w:t>
      </w:r>
      <w:r w:rsidR="00F62F03" w:rsidRPr="00010F83">
        <w:rPr>
          <w:rFonts w:ascii="Arial" w:hAnsi="Arial" w:cs="Arial"/>
          <w:b/>
          <w:sz w:val="20"/>
          <w:szCs w:val="20"/>
        </w:rPr>
        <w:t>Báo cáo kết quả hoạt động kinh doanh</w:t>
      </w:r>
      <w:r w:rsidR="0034007A" w:rsidRPr="00010F83">
        <w:rPr>
          <w:rFonts w:ascii="Arial" w:hAnsi="Arial" w:cs="Arial"/>
          <w:b/>
          <w:sz w:val="20"/>
          <w:szCs w:val="20"/>
        </w:rPr>
        <w:tab/>
        <w:t>61A</w:t>
      </w:r>
    </w:p>
    <w:p w:rsidR="000E2F99" w:rsidRPr="00010F83" w:rsidRDefault="000E2F99" w:rsidP="0034007A">
      <w:pPr>
        <w:tabs>
          <w:tab w:val="right" w:pos="9360"/>
        </w:tabs>
        <w:autoSpaceDE w:val="0"/>
        <w:autoSpaceDN w:val="0"/>
        <w:adjustRightInd w:val="0"/>
        <w:spacing w:after="120" w:line="240" w:lineRule="auto"/>
        <w:jc w:val="both"/>
        <w:rPr>
          <w:rFonts w:ascii="Arial" w:hAnsi="Arial" w:cs="Arial"/>
          <w:b/>
          <w:sz w:val="20"/>
          <w:szCs w:val="20"/>
        </w:rPr>
      </w:pPr>
      <w:r w:rsidRPr="00010F83">
        <w:rPr>
          <w:rFonts w:ascii="Arial" w:hAnsi="Arial" w:cs="Arial"/>
          <w:b/>
          <w:sz w:val="20"/>
          <w:szCs w:val="20"/>
        </w:rPr>
        <w:t xml:space="preserve">Thuế </w:t>
      </w:r>
      <w:proofErr w:type="gramStart"/>
      <w:r w:rsidR="00717F40" w:rsidRPr="00010F83">
        <w:rPr>
          <w:rFonts w:ascii="Arial" w:hAnsi="Arial" w:cs="Arial"/>
          <w:b/>
          <w:sz w:val="20"/>
          <w:szCs w:val="20"/>
        </w:rPr>
        <w:t>t</w:t>
      </w:r>
      <w:r w:rsidR="004A0A4A" w:rsidRPr="00010F83">
        <w:rPr>
          <w:rFonts w:ascii="Arial" w:hAnsi="Arial" w:cs="Arial"/>
          <w:b/>
          <w:sz w:val="20"/>
          <w:szCs w:val="20"/>
        </w:rPr>
        <w:t>hu</w:t>
      </w:r>
      <w:proofErr w:type="gramEnd"/>
      <w:r w:rsidR="004A0A4A" w:rsidRPr="00010F83">
        <w:rPr>
          <w:rFonts w:ascii="Arial" w:hAnsi="Arial" w:cs="Arial"/>
          <w:b/>
          <w:sz w:val="20"/>
          <w:szCs w:val="20"/>
        </w:rPr>
        <w:t xml:space="preserve"> nhập </w:t>
      </w:r>
      <w:r w:rsidR="00717F40" w:rsidRPr="00010F83">
        <w:rPr>
          <w:rFonts w:ascii="Arial" w:hAnsi="Arial" w:cs="Arial"/>
          <w:b/>
          <w:sz w:val="20"/>
          <w:szCs w:val="20"/>
        </w:rPr>
        <w:t>d</w:t>
      </w:r>
      <w:r w:rsidR="004A0A4A" w:rsidRPr="00010F83">
        <w:rPr>
          <w:rFonts w:ascii="Arial" w:hAnsi="Arial" w:cs="Arial"/>
          <w:b/>
          <w:sz w:val="20"/>
          <w:szCs w:val="20"/>
        </w:rPr>
        <w:t xml:space="preserve">oanh nghiệp </w:t>
      </w:r>
      <w:r w:rsidRPr="00010F83">
        <w:rPr>
          <w:rFonts w:ascii="Arial" w:hAnsi="Arial" w:cs="Arial"/>
          <w:b/>
          <w:sz w:val="20"/>
          <w:szCs w:val="20"/>
        </w:rPr>
        <w:t xml:space="preserve">hoãn lại phát sinh từ </w:t>
      </w:r>
      <w:r w:rsidR="00C9413A" w:rsidRPr="00010F83">
        <w:rPr>
          <w:rFonts w:ascii="Arial" w:hAnsi="Arial" w:cs="Arial"/>
          <w:b/>
          <w:sz w:val="20"/>
          <w:szCs w:val="20"/>
        </w:rPr>
        <w:t>giao dịch</w:t>
      </w:r>
      <w:r w:rsidR="007A68E5" w:rsidRPr="00010F83">
        <w:rPr>
          <w:rFonts w:ascii="Arial" w:hAnsi="Arial" w:cs="Arial"/>
          <w:b/>
          <w:sz w:val="20"/>
          <w:szCs w:val="20"/>
        </w:rPr>
        <w:t xml:space="preserve"> </w:t>
      </w:r>
      <w:r w:rsidRPr="00010F83">
        <w:rPr>
          <w:rFonts w:ascii="Arial" w:hAnsi="Arial" w:cs="Arial"/>
          <w:b/>
          <w:sz w:val="20"/>
          <w:szCs w:val="20"/>
        </w:rPr>
        <w:t>hợp nhất kinh doanh</w:t>
      </w:r>
      <w:r w:rsidR="0034007A" w:rsidRPr="00010F83">
        <w:rPr>
          <w:rFonts w:ascii="Arial" w:hAnsi="Arial" w:cs="Arial"/>
          <w:b/>
          <w:sz w:val="20"/>
          <w:szCs w:val="20"/>
        </w:rPr>
        <w:tab/>
        <w:t>66</w:t>
      </w:r>
    </w:p>
    <w:p w:rsidR="000E2F99" w:rsidRPr="00010F83" w:rsidRDefault="00691A29" w:rsidP="0034007A">
      <w:pPr>
        <w:tabs>
          <w:tab w:val="right" w:pos="9360"/>
        </w:tabs>
        <w:autoSpaceDE w:val="0"/>
        <w:autoSpaceDN w:val="0"/>
        <w:adjustRightInd w:val="0"/>
        <w:spacing w:after="120" w:line="240" w:lineRule="auto"/>
        <w:jc w:val="both"/>
        <w:rPr>
          <w:rFonts w:ascii="Arial" w:hAnsi="Arial" w:cs="Arial"/>
          <w:b/>
          <w:sz w:val="20"/>
          <w:szCs w:val="20"/>
        </w:rPr>
      </w:pPr>
      <w:r w:rsidRPr="00010F83">
        <w:rPr>
          <w:rFonts w:ascii="Arial" w:hAnsi="Arial" w:cs="Arial"/>
          <w:b/>
          <w:sz w:val="20"/>
          <w:szCs w:val="20"/>
        </w:rPr>
        <w:t xml:space="preserve">Thuế </w:t>
      </w:r>
      <w:proofErr w:type="gramStart"/>
      <w:r w:rsidR="00717F40" w:rsidRPr="00010F83">
        <w:rPr>
          <w:rFonts w:ascii="Arial" w:hAnsi="Arial" w:cs="Arial"/>
          <w:b/>
          <w:sz w:val="20"/>
          <w:szCs w:val="20"/>
        </w:rPr>
        <w:t>t</w:t>
      </w:r>
      <w:r w:rsidR="004A0A4A" w:rsidRPr="00010F83">
        <w:rPr>
          <w:rFonts w:ascii="Arial" w:hAnsi="Arial" w:cs="Arial"/>
          <w:b/>
          <w:sz w:val="20"/>
          <w:szCs w:val="20"/>
        </w:rPr>
        <w:t>hu</w:t>
      </w:r>
      <w:proofErr w:type="gramEnd"/>
      <w:r w:rsidR="004A0A4A" w:rsidRPr="00010F83">
        <w:rPr>
          <w:rFonts w:ascii="Arial" w:hAnsi="Arial" w:cs="Arial"/>
          <w:b/>
          <w:sz w:val="20"/>
          <w:szCs w:val="20"/>
        </w:rPr>
        <w:t xml:space="preserve"> nhập </w:t>
      </w:r>
      <w:r w:rsidR="00717F40" w:rsidRPr="00010F83">
        <w:rPr>
          <w:rFonts w:ascii="Arial" w:hAnsi="Arial" w:cs="Arial"/>
          <w:b/>
          <w:sz w:val="20"/>
          <w:szCs w:val="20"/>
        </w:rPr>
        <w:t>d</w:t>
      </w:r>
      <w:r w:rsidR="004A0A4A" w:rsidRPr="00010F83">
        <w:rPr>
          <w:rFonts w:ascii="Arial" w:hAnsi="Arial" w:cs="Arial"/>
          <w:b/>
          <w:sz w:val="20"/>
          <w:szCs w:val="20"/>
        </w:rPr>
        <w:t xml:space="preserve">oanh nghiệp </w:t>
      </w:r>
      <w:r w:rsidR="000E2F99" w:rsidRPr="00010F83">
        <w:rPr>
          <w:rFonts w:ascii="Arial" w:hAnsi="Arial" w:cs="Arial"/>
          <w:b/>
          <w:sz w:val="20"/>
          <w:szCs w:val="20"/>
        </w:rPr>
        <w:t xml:space="preserve">hoãn lại và hiện hành </w:t>
      </w:r>
      <w:r w:rsidRPr="00010F83">
        <w:rPr>
          <w:rFonts w:ascii="Arial" w:hAnsi="Arial" w:cs="Arial"/>
          <w:b/>
          <w:sz w:val="20"/>
          <w:szCs w:val="20"/>
        </w:rPr>
        <w:t xml:space="preserve">phát sinh </w:t>
      </w:r>
      <w:r w:rsidR="000E2F99" w:rsidRPr="00010F83">
        <w:rPr>
          <w:rFonts w:ascii="Arial" w:hAnsi="Arial" w:cs="Arial"/>
          <w:b/>
          <w:sz w:val="20"/>
          <w:szCs w:val="20"/>
        </w:rPr>
        <w:t xml:space="preserve">từ </w:t>
      </w:r>
      <w:r w:rsidRPr="00010F83">
        <w:rPr>
          <w:rFonts w:ascii="Arial" w:hAnsi="Arial" w:cs="Arial"/>
          <w:b/>
          <w:sz w:val="20"/>
          <w:szCs w:val="20"/>
        </w:rPr>
        <w:t>giao dịch thanh toán trên cơ sở cổ phiếu</w:t>
      </w:r>
      <w:r w:rsidR="0034007A" w:rsidRPr="00010F83">
        <w:rPr>
          <w:rFonts w:ascii="Arial" w:hAnsi="Arial" w:cs="Arial"/>
          <w:b/>
          <w:sz w:val="20"/>
          <w:szCs w:val="20"/>
        </w:rPr>
        <w:tab/>
        <w:t>68A</w:t>
      </w:r>
    </w:p>
    <w:p w:rsidR="000E2F99" w:rsidRPr="00010F83" w:rsidRDefault="000E2F99" w:rsidP="0034007A">
      <w:pPr>
        <w:tabs>
          <w:tab w:val="right" w:pos="9360"/>
        </w:tabs>
        <w:autoSpaceDE w:val="0"/>
        <w:autoSpaceDN w:val="0"/>
        <w:adjustRightInd w:val="0"/>
        <w:spacing w:after="120" w:line="240" w:lineRule="auto"/>
        <w:jc w:val="both"/>
        <w:rPr>
          <w:rFonts w:ascii="Arial" w:hAnsi="Arial" w:cs="Arial"/>
          <w:b/>
          <w:sz w:val="20"/>
          <w:szCs w:val="20"/>
        </w:rPr>
      </w:pPr>
      <w:r w:rsidRPr="00010F83">
        <w:rPr>
          <w:rFonts w:ascii="Arial" w:hAnsi="Arial" w:cs="Arial"/>
          <w:b/>
          <w:sz w:val="20"/>
          <w:szCs w:val="20"/>
        </w:rPr>
        <w:t>TRÌNH BÀY</w:t>
      </w:r>
      <w:r w:rsidR="0034007A" w:rsidRPr="00010F83">
        <w:rPr>
          <w:rFonts w:ascii="Arial" w:hAnsi="Arial" w:cs="Arial"/>
          <w:b/>
          <w:sz w:val="20"/>
          <w:szCs w:val="20"/>
        </w:rPr>
        <w:tab/>
        <w:t>71</w:t>
      </w:r>
    </w:p>
    <w:p w:rsidR="000E2F99" w:rsidRPr="00010F83" w:rsidRDefault="000E2F99" w:rsidP="0034007A">
      <w:pPr>
        <w:tabs>
          <w:tab w:val="right" w:pos="9360"/>
        </w:tabs>
        <w:autoSpaceDE w:val="0"/>
        <w:autoSpaceDN w:val="0"/>
        <w:adjustRightInd w:val="0"/>
        <w:spacing w:after="120" w:line="240" w:lineRule="auto"/>
        <w:jc w:val="both"/>
        <w:rPr>
          <w:rFonts w:ascii="Arial" w:hAnsi="Arial" w:cs="Arial"/>
          <w:b/>
          <w:sz w:val="20"/>
          <w:szCs w:val="20"/>
        </w:rPr>
      </w:pPr>
      <w:r w:rsidRPr="00010F83">
        <w:rPr>
          <w:rFonts w:ascii="Arial" w:hAnsi="Arial" w:cs="Arial"/>
          <w:b/>
          <w:sz w:val="20"/>
          <w:szCs w:val="20"/>
        </w:rPr>
        <w:t>Tài sản thuế và thuế phải trả</w:t>
      </w:r>
      <w:r w:rsidR="0034007A" w:rsidRPr="00010F83">
        <w:rPr>
          <w:rFonts w:ascii="Arial" w:hAnsi="Arial" w:cs="Arial"/>
          <w:b/>
          <w:sz w:val="20"/>
          <w:szCs w:val="20"/>
        </w:rPr>
        <w:tab/>
        <w:t>71</w:t>
      </w:r>
    </w:p>
    <w:p w:rsidR="000E2F99" w:rsidRPr="00010F83" w:rsidRDefault="00691A29" w:rsidP="0034007A">
      <w:pPr>
        <w:tabs>
          <w:tab w:val="right" w:pos="9360"/>
        </w:tabs>
        <w:autoSpaceDE w:val="0"/>
        <w:autoSpaceDN w:val="0"/>
        <w:adjustRightInd w:val="0"/>
        <w:spacing w:after="120" w:line="240" w:lineRule="auto"/>
        <w:jc w:val="both"/>
        <w:rPr>
          <w:rFonts w:ascii="Arial" w:hAnsi="Arial" w:cs="Arial"/>
          <w:b/>
          <w:sz w:val="20"/>
          <w:szCs w:val="20"/>
        </w:rPr>
      </w:pPr>
      <w:r w:rsidRPr="00010F83">
        <w:rPr>
          <w:rFonts w:ascii="Arial" w:hAnsi="Arial" w:cs="Arial"/>
          <w:b/>
          <w:sz w:val="20"/>
          <w:szCs w:val="20"/>
        </w:rPr>
        <w:t xml:space="preserve">Chi phí </w:t>
      </w:r>
      <w:r w:rsidR="00731917" w:rsidRPr="00010F83">
        <w:rPr>
          <w:rFonts w:ascii="Arial" w:hAnsi="Arial" w:cs="Arial"/>
          <w:b/>
          <w:sz w:val="20"/>
          <w:szCs w:val="20"/>
        </w:rPr>
        <w:t xml:space="preserve">thuế </w:t>
      </w:r>
      <w:r w:rsidR="001B75A5" w:rsidRPr="00010F83">
        <w:rPr>
          <w:rFonts w:ascii="Arial" w:hAnsi="Arial" w:cs="Arial"/>
          <w:b/>
          <w:sz w:val="20"/>
          <w:szCs w:val="20"/>
        </w:rPr>
        <w:t>Thu nhập Doanh nghiệp</w:t>
      </w:r>
      <w:r w:rsidR="0034007A" w:rsidRPr="00010F83">
        <w:rPr>
          <w:rFonts w:ascii="Arial" w:hAnsi="Arial" w:cs="Arial"/>
          <w:b/>
          <w:sz w:val="20"/>
          <w:szCs w:val="20"/>
        </w:rPr>
        <w:tab/>
        <w:t>77</w:t>
      </w:r>
    </w:p>
    <w:p w:rsidR="000E2F99" w:rsidRPr="00010F83" w:rsidRDefault="00691A29" w:rsidP="0034007A">
      <w:pPr>
        <w:tabs>
          <w:tab w:val="right" w:pos="9360"/>
        </w:tabs>
        <w:autoSpaceDE w:val="0"/>
        <w:autoSpaceDN w:val="0"/>
        <w:adjustRightInd w:val="0"/>
        <w:spacing w:after="120" w:line="240" w:lineRule="auto"/>
        <w:jc w:val="both"/>
        <w:rPr>
          <w:rFonts w:ascii="Arial" w:hAnsi="Arial" w:cs="Arial"/>
          <w:b/>
          <w:sz w:val="20"/>
          <w:szCs w:val="20"/>
        </w:rPr>
      </w:pPr>
      <w:r w:rsidRPr="00010F83">
        <w:rPr>
          <w:rFonts w:ascii="Arial" w:hAnsi="Arial" w:cs="Arial"/>
          <w:b/>
          <w:sz w:val="20"/>
          <w:szCs w:val="20"/>
        </w:rPr>
        <w:t>THUYẾT MINH</w:t>
      </w:r>
      <w:r w:rsidR="0034007A" w:rsidRPr="00010F83">
        <w:rPr>
          <w:rFonts w:ascii="Arial" w:hAnsi="Arial" w:cs="Arial"/>
          <w:b/>
          <w:sz w:val="20"/>
          <w:szCs w:val="20"/>
        </w:rPr>
        <w:tab/>
        <w:t>79</w:t>
      </w:r>
    </w:p>
    <w:p w:rsidR="000E2F99" w:rsidRPr="00010F83" w:rsidRDefault="00590853" w:rsidP="0034007A">
      <w:pPr>
        <w:tabs>
          <w:tab w:val="right" w:pos="9360"/>
        </w:tabs>
        <w:autoSpaceDE w:val="0"/>
        <w:autoSpaceDN w:val="0"/>
        <w:adjustRightInd w:val="0"/>
        <w:spacing w:after="120" w:line="240" w:lineRule="auto"/>
        <w:jc w:val="both"/>
        <w:rPr>
          <w:rFonts w:ascii="Arial" w:hAnsi="Arial" w:cs="Arial"/>
          <w:b/>
          <w:sz w:val="20"/>
          <w:szCs w:val="20"/>
        </w:rPr>
      </w:pPr>
      <w:r w:rsidRPr="00010F83">
        <w:rPr>
          <w:rFonts w:ascii="Arial" w:hAnsi="Arial" w:cs="Arial"/>
          <w:b/>
          <w:sz w:val="20"/>
          <w:szCs w:val="20"/>
        </w:rPr>
        <w:t>NGÀY HIỆ</w:t>
      </w:r>
      <w:r w:rsidR="000E2F99" w:rsidRPr="00010F83">
        <w:rPr>
          <w:rFonts w:ascii="Arial" w:hAnsi="Arial" w:cs="Arial"/>
          <w:b/>
          <w:sz w:val="20"/>
          <w:szCs w:val="20"/>
        </w:rPr>
        <w:t>U LỰC</w:t>
      </w:r>
      <w:r w:rsidR="0034007A" w:rsidRPr="00010F83">
        <w:rPr>
          <w:rFonts w:ascii="Arial" w:hAnsi="Arial" w:cs="Arial"/>
          <w:b/>
          <w:sz w:val="20"/>
          <w:szCs w:val="20"/>
        </w:rPr>
        <w:tab/>
        <w:t>89</w:t>
      </w:r>
    </w:p>
    <w:p w:rsidR="000E2F99" w:rsidRPr="00010F83" w:rsidRDefault="00691A29" w:rsidP="0034007A">
      <w:pPr>
        <w:tabs>
          <w:tab w:val="right" w:pos="9360"/>
        </w:tabs>
        <w:autoSpaceDE w:val="0"/>
        <w:autoSpaceDN w:val="0"/>
        <w:adjustRightInd w:val="0"/>
        <w:spacing w:after="120" w:line="240" w:lineRule="auto"/>
        <w:jc w:val="both"/>
        <w:rPr>
          <w:rFonts w:ascii="Arial" w:hAnsi="Arial" w:cs="Arial"/>
          <w:b/>
          <w:sz w:val="20"/>
          <w:szCs w:val="20"/>
        </w:rPr>
      </w:pPr>
      <w:r w:rsidRPr="00010F83">
        <w:rPr>
          <w:rFonts w:ascii="Arial" w:hAnsi="Arial" w:cs="Arial"/>
          <w:b/>
          <w:sz w:val="20"/>
          <w:szCs w:val="20"/>
        </w:rPr>
        <w:t>THU HỒI</w:t>
      </w:r>
      <w:r w:rsidR="00650A23" w:rsidRPr="00010F83">
        <w:rPr>
          <w:rFonts w:ascii="Arial" w:hAnsi="Arial" w:cs="Arial"/>
          <w:b/>
          <w:sz w:val="20"/>
          <w:szCs w:val="20"/>
        </w:rPr>
        <w:t xml:space="preserve"> SIC </w:t>
      </w:r>
      <w:r w:rsidR="000E2F99" w:rsidRPr="00010F83">
        <w:rPr>
          <w:rFonts w:ascii="Arial" w:hAnsi="Arial" w:cs="Arial"/>
          <w:b/>
          <w:sz w:val="20"/>
          <w:szCs w:val="20"/>
        </w:rPr>
        <w:t>21</w:t>
      </w:r>
      <w:r w:rsidR="0034007A" w:rsidRPr="00010F83">
        <w:rPr>
          <w:rFonts w:ascii="Arial" w:hAnsi="Arial" w:cs="Arial"/>
          <w:b/>
          <w:sz w:val="20"/>
          <w:szCs w:val="20"/>
        </w:rPr>
        <w:tab/>
        <w:t>99</w:t>
      </w:r>
    </w:p>
    <w:p w:rsidR="000E2F99" w:rsidRPr="00010F83" w:rsidRDefault="000E2F99" w:rsidP="00590853">
      <w:pPr>
        <w:autoSpaceDE w:val="0"/>
        <w:autoSpaceDN w:val="0"/>
        <w:adjustRightInd w:val="0"/>
        <w:spacing w:after="120" w:line="240" w:lineRule="auto"/>
        <w:jc w:val="both"/>
        <w:rPr>
          <w:rFonts w:ascii="Arial" w:hAnsi="Arial" w:cs="Arial"/>
          <w:b/>
          <w:bCs/>
          <w:sz w:val="20"/>
          <w:szCs w:val="20"/>
        </w:rPr>
      </w:pPr>
      <w:r w:rsidRPr="00010F83">
        <w:rPr>
          <w:rFonts w:ascii="Arial" w:hAnsi="Arial" w:cs="Arial"/>
          <w:b/>
          <w:bCs/>
          <w:sz w:val="20"/>
          <w:szCs w:val="20"/>
        </w:rPr>
        <w:t xml:space="preserve">PHÊ DUYỆT </w:t>
      </w:r>
      <w:r w:rsidR="00691A29" w:rsidRPr="00010F83">
        <w:rPr>
          <w:rFonts w:ascii="Arial" w:hAnsi="Arial" w:cs="Arial"/>
          <w:b/>
          <w:bCs/>
          <w:sz w:val="20"/>
          <w:szCs w:val="20"/>
        </w:rPr>
        <w:t xml:space="preserve">CỦA HỘI ĐỒNG ĐỐI VỚI </w:t>
      </w:r>
      <w:r w:rsidR="004A0A4A" w:rsidRPr="00010F83">
        <w:rPr>
          <w:rFonts w:ascii="Arial" w:hAnsi="Arial" w:cs="Arial"/>
          <w:b/>
          <w:bCs/>
          <w:sz w:val="20"/>
          <w:szCs w:val="20"/>
        </w:rPr>
        <w:t xml:space="preserve">PHẦN </w:t>
      </w:r>
      <w:r w:rsidR="00731917" w:rsidRPr="00010F83">
        <w:rPr>
          <w:rFonts w:ascii="Arial" w:hAnsi="Arial" w:cs="Arial"/>
          <w:b/>
          <w:bCs/>
          <w:i/>
          <w:sz w:val="20"/>
          <w:szCs w:val="20"/>
        </w:rPr>
        <w:t xml:space="preserve">THUẾ </w:t>
      </w:r>
      <w:r w:rsidR="008307CC" w:rsidRPr="00010F83">
        <w:rPr>
          <w:rFonts w:ascii="Arial" w:hAnsi="Arial" w:cs="Arial"/>
          <w:b/>
          <w:bCs/>
          <w:i/>
          <w:sz w:val="20"/>
          <w:szCs w:val="20"/>
        </w:rPr>
        <w:t xml:space="preserve">THU NHẬP DOANH NGHIỆP </w:t>
      </w:r>
      <w:r w:rsidRPr="00010F83">
        <w:rPr>
          <w:rFonts w:ascii="Arial" w:hAnsi="Arial" w:cs="Arial"/>
          <w:b/>
          <w:bCs/>
          <w:i/>
          <w:sz w:val="20"/>
          <w:szCs w:val="20"/>
        </w:rPr>
        <w:t>HOÃN LẠI: THU HỒI TÀI SẢN CƠ SỞ</w:t>
      </w:r>
      <w:r w:rsidRPr="00010F83">
        <w:rPr>
          <w:rFonts w:ascii="Arial" w:hAnsi="Arial" w:cs="Arial"/>
          <w:b/>
          <w:bCs/>
          <w:sz w:val="20"/>
          <w:szCs w:val="20"/>
        </w:rPr>
        <w:t xml:space="preserve"> (sửa đổi IAS 12) </w:t>
      </w:r>
      <w:r w:rsidR="00691A29" w:rsidRPr="00010F83">
        <w:rPr>
          <w:rFonts w:ascii="Arial" w:hAnsi="Arial" w:cs="Arial"/>
          <w:b/>
          <w:bCs/>
          <w:sz w:val="20"/>
          <w:szCs w:val="20"/>
        </w:rPr>
        <w:t>BAN</w:t>
      </w:r>
      <w:r w:rsidRPr="00010F83">
        <w:rPr>
          <w:rFonts w:ascii="Arial" w:hAnsi="Arial" w:cs="Arial"/>
          <w:b/>
          <w:bCs/>
          <w:sz w:val="20"/>
          <w:szCs w:val="20"/>
        </w:rPr>
        <w:t xml:space="preserve"> HÀNH THÁNG 12 NĂM 2010</w:t>
      </w:r>
    </w:p>
    <w:p w:rsidR="000E2F99" w:rsidRPr="00010F83" w:rsidRDefault="007B64CF" w:rsidP="00590853">
      <w:pPr>
        <w:autoSpaceDE w:val="0"/>
        <w:autoSpaceDN w:val="0"/>
        <w:adjustRightInd w:val="0"/>
        <w:spacing w:after="120" w:line="240" w:lineRule="auto"/>
        <w:jc w:val="both"/>
        <w:rPr>
          <w:rFonts w:ascii="Arial" w:hAnsi="Arial" w:cs="Arial"/>
          <w:b/>
          <w:bCs/>
          <w:sz w:val="20"/>
          <w:szCs w:val="20"/>
        </w:rPr>
      </w:pPr>
      <w:r w:rsidRPr="00010F83">
        <w:rPr>
          <w:rFonts w:ascii="Arial" w:hAnsi="Arial" w:cs="Arial"/>
          <w:b/>
          <w:bCs/>
          <w:noProof/>
          <w:sz w:val="20"/>
          <w:szCs w:val="20"/>
        </w:rPr>
        <w:pict>
          <v:shapetype id="_x0000_t202" coordsize="21600,21600" o:spt="202" path="m,l,21600r21600,l21600,xe">
            <v:stroke joinstyle="miter"/>
            <v:path gradientshapeok="t" o:connecttype="rect"/>
          </v:shapetype>
          <v:shape id="Text Box 2" o:spid="_x0000_s1026" type="#_x0000_t202" style="position:absolute;left:0;text-align:left;margin-left:-6.75pt;margin-top:36.45pt;width:483pt;height:34.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">
            <v:textbox>
              <w:txbxContent>
                <w:p w:rsidR="00FF1999" w:rsidRPr="0034007A" w:rsidRDefault="00FF1999" w:rsidP="00590853">
                  <w:pPr>
                    <w:autoSpaceDE w:val="0"/>
                    <w:autoSpaceDN w:val="0"/>
                    <w:adjustRightInd w:val="0"/>
                    <w:spacing w:after="120" w:line="240" w:lineRule="auto"/>
                    <w:jc w:val="both"/>
                    <w:rPr>
                      <w:rFonts w:ascii="Arial" w:hAnsi="Arial" w:cs="Arial"/>
                      <w:b/>
                      <w:bCs/>
                      <w:color w:val="767171" w:themeColor="background2" w:themeShade="80"/>
                    </w:rPr>
                  </w:pPr>
                  <w:r w:rsidRPr="0034007A">
                    <w:rPr>
                      <w:rFonts w:ascii="Arial" w:hAnsi="Arial" w:cs="Arial"/>
                      <w:b/>
                      <w:bCs/>
                      <w:color w:val="767171" w:themeColor="background2" w:themeShade="80"/>
                    </w:rPr>
                    <w:t>ĐỐI VỚI CÁC HƯỚNG DẪN ĐÍNH KÈM LIỆT KÊ BÊN DƯỚI, XEM PHẦN B CỦA ẤN BẢN NÀY</w:t>
                  </w:r>
                </w:p>
                <w:p w:rsidR="00FF1999" w:rsidRPr="0034007A" w:rsidRDefault="00FF1999">
                  <w:pPr>
                    <w:rPr>
                      <w:color w:val="767171" w:themeColor="background2" w:themeShade="80"/>
                    </w:rPr>
                  </w:pPr>
                </w:p>
              </w:txbxContent>
            </v:textbox>
            <w10:wrap type="square" anchorx="margin"/>
          </v:shape>
        </w:pict>
      </w:r>
      <w:r w:rsidR="00691A29" w:rsidRPr="00010F83">
        <w:rPr>
          <w:rFonts w:ascii="Arial" w:hAnsi="Arial" w:cs="Arial"/>
          <w:b/>
          <w:bCs/>
          <w:sz w:val="20"/>
          <w:szCs w:val="20"/>
        </w:rPr>
        <w:t>PHÊ DUYỆT CỦA HỘI ĐỒNG ĐỐI VỚI</w:t>
      </w:r>
      <w:r w:rsidR="000E2F99" w:rsidRPr="00010F83">
        <w:rPr>
          <w:rFonts w:ascii="Arial" w:hAnsi="Arial" w:cs="Arial"/>
          <w:b/>
          <w:bCs/>
          <w:sz w:val="20"/>
          <w:szCs w:val="20"/>
        </w:rPr>
        <w:t xml:space="preserve"> </w:t>
      </w:r>
      <w:r w:rsidR="004A0A4A" w:rsidRPr="00010F83">
        <w:rPr>
          <w:rFonts w:ascii="Arial" w:hAnsi="Arial" w:cs="Arial"/>
          <w:b/>
          <w:bCs/>
          <w:sz w:val="20"/>
          <w:szCs w:val="20"/>
        </w:rPr>
        <w:t xml:space="preserve">PHẦN </w:t>
      </w:r>
      <w:r w:rsidR="000E2F99" w:rsidRPr="00010F83">
        <w:rPr>
          <w:rFonts w:ascii="Arial" w:hAnsi="Arial" w:cs="Arial"/>
          <w:b/>
          <w:bCs/>
          <w:i/>
          <w:sz w:val="20"/>
          <w:szCs w:val="20"/>
        </w:rPr>
        <w:t xml:space="preserve">GHI NHẬN TÀI SẢN </w:t>
      </w:r>
      <w:r w:rsidR="00731917" w:rsidRPr="00010F83">
        <w:rPr>
          <w:rFonts w:ascii="Arial" w:hAnsi="Arial" w:cs="Arial"/>
          <w:b/>
          <w:bCs/>
          <w:i/>
          <w:sz w:val="20"/>
          <w:szCs w:val="20"/>
        </w:rPr>
        <w:t xml:space="preserve">THUẾ </w:t>
      </w:r>
      <w:r w:rsidR="008307CC" w:rsidRPr="00010F83">
        <w:rPr>
          <w:rFonts w:ascii="Arial" w:hAnsi="Arial" w:cs="Arial"/>
          <w:b/>
          <w:bCs/>
          <w:i/>
          <w:sz w:val="20"/>
          <w:szCs w:val="20"/>
        </w:rPr>
        <w:t xml:space="preserve">THU NHẬP DOANH NGHIỆP </w:t>
      </w:r>
      <w:r w:rsidR="000E2F99" w:rsidRPr="00010F83">
        <w:rPr>
          <w:rFonts w:ascii="Arial" w:hAnsi="Arial" w:cs="Arial"/>
          <w:b/>
          <w:bCs/>
          <w:i/>
          <w:sz w:val="20"/>
          <w:szCs w:val="20"/>
        </w:rPr>
        <w:t>HOÃN LẠI CHO LỖ CHƯA THỰC HIỆN</w:t>
      </w:r>
      <w:r w:rsidR="000E2F99" w:rsidRPr="00010F83">
        <w:rPr>
          <w:rFonts w:ascii="Arial" w:hAnsi="Arial" w:cs="Arial"/>
          <w:b/>
          <w:bCs/>
          <w:sz w:val="20"/>
          <w:szCs w:val="20"/>
        </w:rPr>
        <w:t xml:space="preserve"> (SỬA ĐỔI IAS 12) </w:t>
      </w:r>
      <w:r w:rsidR="00691A29" w:rsidRPr="00010F83">
        <w:rPr>
          <w:rFonts w:ascii="Arial" w:hAnsi="Arial" w:cs="Arial"/>
          <w:b/>
          <w:bCs/>
          <w:sz w:val="20"/>
          <w:szCs w:val="20"/>
        </w:rPr>
        <w:t>BAN</w:t>
      </w:r>
      <w:r w:rsidR="000E2F99" w:rsidRPr="00010F83">
        <w:rPr>
          <w:rFonts w:ascii="Arial" w:hAnsi="Arial" w:cs="Arial"/>
          <w:b/>
          <w:bCs/>
          <w:sz w:val="20"/>
          <w:szCs w:val="20"/>
        </w:rPr>
        <w:t xml:space="preserve"> HÀNH THÁNG 1 NĂM 2016</w:t>
      </w:r>
    </w:p>
    <w:p w:rsidR="00691A29" w:rsidRPr="00010F83" w:rsidRDefault="007B64CF" w:rsidP="00590853">
      <w:pPr>
        <w:autoSpaceDE w:val="0"/>
        <w:autoSpaceDN w:val="0"/>
        <w:adjustRightInd w:val="0"/>
        <w:spacing w:after="120" w:line="240" w:lineRule="auto"/>
        <w:jc w:val="both"/>
        <w:rPr>
          <w:rFonts w:ascii="Arial" w:hAnsi="Arial" w:cs="Arial"/>
          <w:b/>
          <w:bCs/>
          <w:color w:val="767171" w:themeColor="background2" w:themeShade="80"/>
          <w:sz w:val="20"/>
          <w:szCs w:val="20"/>
        </w:rPr>
      </w:pPr>
      <w:r w:rsidRPr="00010F83">
        <w:rPr>
          <w:rFonts w:ascii="Arial" w:hAnsi="Arial" w:cs="Arial"/>
          <w:b/>
          <w:bCs/>
          <w:noProof/>
          <w:color w:val="767171" w:themeColor="background2" w:themeShade="80"/>
          <w:sz w:val="20"/>
          <w:szCs w:val="20"/>
        </w:rPr>
        <w:pict>
          <v:shape id="_x0000_s1027" type="#_x0000_t202" style="position:absolute;left:0;text-align:left;margin-left:0;margin-top:66.15pt;width:483pt;height:21.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">
            <v:textbox>
              <w:txbxContent>
                <w:p w:rsidR="00FF1999" w:rsidRPr="0034007A" w:rsidRDefault="00FF1999" w:rsidP="006442CE">
                  <w:pPr>
                    <w:autoSpaceDE w:val="0"/>
                    <w:autoSpaceDN w:val="0"/>
                    <w:adjustRightInd w:val="0"/>
                    <w:spacing w:after="120" w:line="240" w:lineRule="auto"/>
                    <w:jc w:val="both"/>
                    <w:rPr>
                      <w:rFonts w:ascii="Arial" w:hAnsi="Arial" w:cs="Arial"/>
                      <w:b/>
                      <w:bCs/>
                      <w:color w:val="767171" w:themeColor="background2" w:themeShade="80"/>
                    </w:rPr>
                  </w:pPr>
                  <w:r w:rsidRPr="0034007A">
                    <w:rPr>
                      <w:rFonts w:ascii="Arial" w:hAnsi="Arial" w:cs="Arial"/>
                      <w:b/>
                      <w:bCs/>
                      <w:color w:val="767171" w:themeColor="background2" w:themeShade="80"/>
                    </w:rPr>
                    <w:t>ĐỐI VỚI CƠ SỞ KẾT LUẬN, XEM PHẦN C CỦA ẤN BẢN NÀY</w:t>
                  </w:r>
                </w:p>
              </w:txbxContent>
            </v:textbox>
            <w10:wrap type="square" anchorx="margin"/>
          </v:shape>
        </w:pict>
      </w:r>
      <w:r w:rsidR="00691A29" w:rsidRPr="00010F83">
        <w:rPr>
          <w:rFonts w:ascii="Arial" w:hAnsi="Arial" w:cs="Arial"/>
          <w:b/>
          <w:bCs/>
          <w:color w:val="767171" w:themeColor="background2" w:themeShade="80"/>
          <w:sz w:val="20"/>
          <w:szCs w:val="20"/>
        </w:rPr>
        <w:t>VÍ DỤ MINH HỌA</w:t>
      </w:r>
    </w:p>
    <w:p w:rsidR="0034007A" w:rsidRPr="00010F83" w:rsidRDefault="00691A29" w:rsidP="00590853">
      <w:pPr>
        <w:autoSpaceDE w:val="0"/>
        <w:autoSpaceDN w:val="0"/>
        <w:adjustRightInd w:val="0"/>
        <w:spacing w:after="120" w:line="240" w:lineRule="auto"/>
        <w:jc w:val="both"/>
        <w:rPr>
          <w:rFonts w:ascii="Arial" w:hAnsi="Arial" w:cs="Arial"/>
          <w:b/>
          <w:bCs/>
          <w:color w:val="767171" w:themeColor="background2" w:themeShade="80"/>
        </w:rPr>
        <w:sectPr w:rsidR="0034007A" w:rsidRPr="00010F83" w:rsidSect="0034007A">
          <w:pgSz w:w="12240" w:h="15840"/>
          <w:pgMar w:top="1260" w:right="1440" w:bottom="1080" w:left="1440" w:header="720" w:footer="360" w:gutter="0"/>
          <w:cols w:space="720"/>
          <w:docGrid w:linePitch="360"/>
        </w:sectPr>
      </w:pPr>
      <w:r w:rsidRPr="00010F83">
        <w:rPr>
          <w:rFonts w:ascii="Arial" w:hAnsi="Arial" w:cs="Arial"/>
          <w:b/>
          <w:bCs/>
          <w:color w:val="767171" w:themeColor="background2" w:themeShade="80"/>
          <w:sz w:val="20"/>
          <w:szCs w:val="20"/>
        </w:rPr>
        <w:t>CƠ SỞ KẾT LUẬN</w:t>
      </w:r>
    </w:p>
    <w:p w:rsidR="006442CE" w:rsidRPr="00010F83" w:rsidRDefault="007B64CF" w:rsidP="00590853">
      <w:pPr>
        <w:autoSpaceDE w:val="0"/>
        <w:autoSpaceDN w:val="0"/>
        <w:adjustRightInd w:val="0"/>
        <w:spacing w:after="120" w:line="240" w:lineRule="auto"/>
        <w:jc w:val="both"/>
        <w:rPr>
          <w:rFonts w:ascii="Arial" w:hAnsi="Arial" w:cs="Arial"/>
          <w:bCs/>
        </w:rPr>
      </w:pPr>
      <w:r w:rsidRPr="00010F83">
        <w:rPr>
          <w:rFonts w:ascii="Arial" w:hAnsi="Arial" w:cs="Arial"/>
          <w:b/>
          <w:bCs/>
          <w:noProof/>
        </w:rPr>
        <w:lastRenderedPageBreak/>
        <w:pict>
          <v:shape id="_x0000_s1028" type="#_x0000_t202" style="position:absolute;left:0;text-align:left;margin-left:0;margin-top:0;width:477pt;height:98pt;z-index:251663360;visibility:visible;mso-wrap-style:square;mso-width-percent:0;mso-height-percent:0;mso-wrap-distance-left:9pt;mso-wrap-distance-top:3.6pt;mso-wrap-distance-right:9pt;mso-wrap-distance-bottom:3.6pt;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">
            <v:textbox>
              <w:txbxContent>
                <w:p w:rsidR="00FF1999" w:rsidRDefault="00FF1999" w:rsidP="006442CE">
                  <w:pPr>
                    <w:autoSpaceDE w:val="0"/>
                    <w:autoSpaceDN w:val="0"/>
                    <w:adjustRightInd w:val="0"/>
                    <w:spacing w:after="120" w:line="240" w:lineRule="auto"/>
                    <w:jc w:val="both"/>
                    <w:rPr>
                      <w:rFonts w:ascii="Arial" w:hAnsi="Arial" w:cs="Arial"/>
                      <w:bCs/>
                    </w:rPr>
                  </w:pPr>
                  <w:r w:rsidRPr="00590853">
                    <w:rPr>
                      <w:rFonts w:ascii="Arial" w:hAnsi="Arial" w:cs="Arial"/>
                      <w:bCs/>
                    </w:rPr>
                    <w:t xml:space="preserve">Chuẩn mực kế toán số 12 </w:t>
                  </w:r>
                  <w:r w:rsidRPr="00590853">
                    <w:rPr>
                      <w:rFonts w:ascii="Arial" w:hAnsi="Arial" w:cs="Arial"/>
                      <w:bCs/>
                      <w:i/>
                    </w:rPr>
                    <w:t xml:space="preserve">thuế </w:t>
                  </w:r>
                  <w:proofErr w:type="gramStart"/>
                  <w:r>
                    <w:rPr>
                      <w:rFonts w:ascii="Arial" w:hAnsi="Arial" w:cs="Arial"/>
                      <w:bCs/>
                      <w:i/>
                    </w:rPr>
                    <w:t>thu</w:t>
                  </w:r>
                  <w:proofErr w:type="gramEnd"/>
                  <w:r>
                    <w:rPr>
                      <w:rFonts w:ascii="Arial" w:hAnsi="Arial" w:cs="Arial"/>
                      <w:bCs/>
                      <w:i/>
                    </w:rPr>
                    <w:t xml:space="preserve"> nhập doanh nghiệp</w:t>
                  </w:r>
                  <w:r w:rsidRPr="00590853">
                    <w:rPr>
                      <w:rFonts w:ascii="Arial" w:hAnsi="Arial" w:cs="Arial"/>
                      <w:bCs/>
                    </w:rPr>
                    <w:t xml:space="preserve"> (IAS 12) được nêu trong các đoạn từ 1 - 99. </w:t>
                  </w:r>
                  <w:proofErr w:type="gramStart"/>
                  <w:r w:rsidRPr="00590853">
                    <w:rPr>
                      <w:rFonts w:ascii="Arial" w:hAnsi="Arial" w:cs="Arial"/>
                      <w:bCs/>
                    </w:rPr>
                    <w:t>Tất cả các đoạn có hiệu lực như nhau; IASB vẫn giữ định dạng IASC của Chuẩn mực khi thông qua.</w:t>
                  </w:r>
                  <w:proofErr w:type="gramEnd"/>
                  <w:r w:rsidRPr="00590853">
                    <w:rPr>
                      <w:rFonts w:ascii="Arial" w:hAnsi="Arial" w:cs="Arial"/>
                      <w:bCs/>
                    </w:rPr>
                    <w:t xml:space="preserve"> IAS 12 cần được đọc </w:t>
                  </w:r>
                  <w:r w:rsidRPr="004A0A4A">
                    <w:rPr>
                      <w:rFonts w:ascii="Arial" w:hAnsi="Arial" w:cs="Arial"/>
                      <w:bCs/>
                    </w:rPr>
                    <w:t xml:space="preserve">trong bối cảnh liên hệ chặt chẽ đến các </w:t>
                  </w:r>
                  <w:r w:rsidRPr="00590853">
                    <w:rPr>
                      <w:rFonts w:ascii="Arial" w:hAnsi="Arial" w:cs="Arial"/>
                      <w:bCs/>
                    </w:rPr>
                    <w:t xml:space="preserve">mục tiêu và cơ sở kết luận của Chuẩn mực, </w:t>
                  </w:r>
                  <w:r w:rsidRPr="00C9413A">
                    <w:rPr>
                      <w:rFonts w:ascii="Arial" w:hAnsi="Arial" w:cs="Arial"/>
                      <w:bCs/>
                      <w:i/>
                    </w:rPr>
                    <w:t>Lời Nói Đầu cho các Chuẩn mực IFRS</w:t>
                  </w:r>
                  <w:r w:rsidRPr="00590853">
                    <w:rPr>
                      <w:rFonts w:ascii="Arial" w:hAnsi="Arial" w:cs="Arial"/>
                      <w:bCs/>
                    </w:rPr>
                    <w:t xml:space="preserve"> và </w:t>
                  </w:r>
                  <w:r w:rsidRPr="00C9413A">
                    <w:rPr>
                      <w:rFonts w:ascii="Arial" w:hAnsi="Arial" w:cs="Arial"/>
                      <w:bCs/>
                      <w:i/>
                    </w:rPr>
                    <w:t>Khung Khái Niệm cho Báo Cáo Tài Chính</w:t>
                  </w:r>
                  <w:r w:rsidRPr="00590853">
                    <w:rPr>
                      <w:rFonts w:ascii="Arial" w:hAnsi="Arial" w:cs="Arial"/>
                      <w:bCs/>
                    </w:rPr>
                    <w:t xml:space="preserve">. IAS 8 </w:t>
                  </w:r>
                  <w:r w:rsidRPr="00590853">
                    <w:rPr>
                      <w:rFonts w:ascii="Arial" w:hAnsi="Arial" w:cs="Arial"/>
                      <w:bCs/>
                      <w:i/>
                    </w:rPr>
                    <w:t>Chính sách kế toán</w:t>
                  </w:r>
                  <w:r w:rsidRPr="00590853">
                    <w:rPr>
                      <w:rFonts w:ascii="Arial" w:hAnsi="Arial" w:cs="Arial"/>
                      <w:bCs/>
                    </w:rPr>
                    <w:t xml:space="preserve">, </w:t>
                  </w:r>
                  <w:r w:rsidRPr="00590853">
                    <w:rPr>
                      <w:rFonts w:ascii="Arial" w:hAnsi="Arial" w:cs="Arial"/>
                      <w:bCs/>
                      <w:i/>
                    </w:rPr>
                    <w:t xml:space="preserve">thay đổi ước tính kế toán và </w:t>
                  </w:r>
                  <w:r>
                    <w:rPr>
                      <w:rFonts w:ascii="Arial" w:hAnsi="Arial" w:cs="Arial"/>
                      <w:bCs/>
                      <w:i/>
                    </w:rPr>
                    <w:t xml:space="preserve">các </w:t>
                  </w:r>
                  <w:r w:rsidRPr="00590853">
                    <w:rPr>
                      <w:rFonts w:ascii="Arial" w:hAnsi="Arial" w:cs="Arial"/>
                      <w:bCs/>
                      <w:i/>
                    </w:rPr>
                    <w:t>sai sót</w:t>
                  </w:r>
                  <w:r w:rsidRPr="00590853">
                    <w:rPr>
                      <w:rFonts w:ascii="Arial" w:hAnsi="Arial" w:cs="Arial"/>
                      <w:bCs/>
                    </w:rPr>
                    <w:t xml:space="preserve"> </w:t>
                  </w:r>
                  <w:r w:rsidRPr="004A0A4A">
                    <w:rPr>
                      <w:rFonts w:ascii="Arial" w:hAnsi="Arial" w:cs="Arial"/>
                      <w:bCs/>
                    </w:rPr>
                    <w:t xml:space="preserve">sẽ được vận dụng để </w:t>
                  </w:r>
                  <w:r w:rsidRPr="00590853">
                    <w:rPr>
                      <w:rFonts w:ascii="Arial" w:hAnsi="Arial" w:cs="Arial"/>
                      <w:bCs/>
                    </w:rPr>
                    <w:t xml:space="preserve">đưa ra cơ sở cho việc lựa chọn và áp dụng </w:t>
                  </w:r>
                  <w:r>
                    <w:rPr>
                      <w:rFonts w:ascii="Arial" w:hAnsi="Arial" w:cs="Arial"/>
                      <w:bCs/>
                    </w:rPr>
                    <w:t xml:space="preserve">các </w:t>
                  </w:r>
                  <w:r w:rsidRPr="00590853">
                    <w:rPr>
                      <w:rFonts w:ascii="Arial" w:hAnsi="Arial" w:cs="Arial"/>
                      <w:bCs/>
                    </w:rPr>
                    <w:t>chính sách kế toán trong trường hợp không có hướng dẫn rõ ràng.</w:t>
                  </w:r>
                </w:p>
                <w:p w:rsidR="00FF1999" w:rsidRDefault="00FF1999" w:rsidP="006442CE">
                  <w:pPr>
                    <w:jc w:val="both"/>
                  </w:pPr>
                </w:p>
              </w:txbxContent>
            </v:textbox>
            <w10:wrap type="square" anchorx="margin" anchory="margin"/>
          </v:shape>
        </w:pict>
      </w:r>
      <w:r w:rsidR="006442CE" w:rsidRPr="00010F83">
        <w:rPr>
          <w:rFonts w:ascii="Arial" w:hAnsi="Arial" w:cs="Arial"/>
          <w:bCs/>
        </w:rPr>
        <w:t xml:space="preserve"> </w:t>
      </w:r>
    </w:p>
    <w:p w:rsidR="006442CE" w:rsidRPr="00010F83" w:rsidRDefault="006442CE" w:rsidP="00590853">
      <w:pPr>
        <w:autoSpaceDE w:val="0"/>
        <w:autoSpaceDN w:val="0"/>
        <w:adjustRightInd w:val="0"/>
        <w:spacing w:after="120" w:line="240" w:lineRule="auto"/>
        <w:jc w:val="both"/>
        <w:rPr>
          <w:rFonts w:ascii="Arial" w:hAnsi="Arial" w:cs="Arial"/>
          <w:bCs/>
        </w:rPr>
      </w:pPr>
    </w:p>
    <w:p w:rsidR="000E2F99" w:rsidRPr="00010F83" w:rsidRDefault="000E2F99" w:rsidP="00590853">
      <w:pPr>
        <w:autoSpaceDE w:val="0"/>
        <w:autoSpaceDN w:val="0"/>
        <w:adjustRightInd w:val="0"/>
        <w:spacing w:after="120" w:line="240" w:lineRule="auto"/>
        <w:jc w:val="both"/>
        <w:rPr>
          <w:rFonts w:ascii="Arial" w:hAnsi="Arial" w:cs="Arial"/>
          <w:b/>
          <w:bCs/>
        </w:rPr>
      </w:pPr>
      <w:r w:rsidRPr="00010F83">
        <w:rPr>
          <w:rFonts w:ascii="Arial" w:hAnsi="Arial" w:cs="Arial"/>
          <w:b/>
          <w:bCs/>
        </w:rPr>
        <w:br w:type="page"/>
      </w:r>
    </w:p>
    <w:p w:rsidR="00094A86" w:rsidRPr="00010F83" w:rsidRDefault="00441881" w:rsidP="00590853">
      <w:pPr>
        <w:autoSpaceDE w:val="0"/>
        <w:autoSpaceDN w:val="0"/>
        <w:adjustRightInd w:val="0"/>
        <w:spacing w:after="120" w:line="240" w:lineRule="auto"/>
        <w:jc w:val="both"/>
        <w:rPr>
          <w:rFonts w:ascii="Arial" w:hAnsi="Arial" w:cs="Arial"/>
          <w:b/>
          <w:bCs/>
          <w:sz w:val="28"/>
          <w:szCs w:val="28"/>
        </w:rPr>
      </w:pPr>
      <w:r w:rsidRPr="00010F83">
        <w:rPr>
          <w:rFonts w:ascii="Arial" w:hAnsi="Arial" w:cs="Arial"/>
          <w:b/>
          <w:bCs/>
          <w:sz w:val="28"/>
          <w:szCs w:val="28"/>
        </w:rPr>
        <w:lastRenderedPageBreak/>
        <w:t>Chuẩn Mực Kế Toán Số 12</w:t>
      </w:r>
    </w:p>
    <w:p w:rsidR="000E2F99" w:rsidRPr="00010F83" w:rsidRDefault="00731917" w:rsidP="00590853">
      <w:pPr>
        <w:autoSpaceDE w:val="0"/>
        <w:autoSpaceDN w:val="0"/>
        <w:adjustRightInd w:val="0"/>
        <w:spacing w:after="120" w:line="240" w:lineRule="auto"/>
        <w:jc w:val="both"/>
        <w:rPr>
          <w:rFonts w:ascii="Arial" w:hAnsi="Arial" w:cs="Arial"/>
          <w:b/>
          <w:bCs/>
          <w:sz w:val="30"/>
          <w:szCs w:val="30"/>
        </w:rPr>
      </w:pPr>
      <w:r w:rsidRPr="00010F83">
        <w:rPr>
          <w:rFonts w:ascii="Arial" w:hAnsi="Arial" w:cs="Arial"/>
          <w:b/>
          <w:bCs/>
          <w:sz w:val="30"/>
          <w:szCs w:val="30"/>
        </w:rPr>
        <w:t xml:space="preserve">THUẾ </w:t>
      </w:r>
      <w:r w:rsidR="008307CC" w:rsidRPr="00010F83">
        <w:rPr>
          <w:rFonts w:ascii="Arial" w:hAnsi="Arial" w:cs="Arial"/>
          <w:b/>
          <w:bCs/>
          <w:sz w:val="30"/>
          <w:szCs w:val="30"/>
        </w:rPr>
        <w:t xml:space="preserve">THU NHẬP DOANH NGHIỆP </w:t>
      </w:r>
    </w:p>
    <w:p w:rsidR="000E2F99" w:rsidRPr="00010F83" w:rsidRDefault="000E2F99" w:rsidP="00590853">
      <w:pPr>
        <w:autoSpaceDE w:val="0"/>
        <w:autoSpaceDN w:val="0"/>
        <w:adjustRightInd w:val="0"/>
        <w:spacing w:after="120" w:line="240" w:lineRule="auto"/>
        <w:jc w:val="both"/>
        <w:rPr>
          <w:rFonts w:ascii="Arial" w:hAnsi="Arial" w:cs="Arial"/>
          <w:b/>
          <w:bCs/>
        </w:rPr>
      </w:pPr>
    </w:p>
    <w:p w:rsidR="000E2F99" w:rsidRPr="00010F83" w:rsidRDefault="007B64CF" w:rsidP="00590853">
      <w:pPr>
        <w:autoSpaceDE w:val="0"/>
        <w:autoSpaceDN w:val="0"/>
        <w:adjustRightInd w:val="0"/>
        <w:spacing w:after="120" w:line="240" w:lineRule="auto"/>
        <w:jc w:val="both"/>
        <w:rPr>
          <w:rFonts w:ascii="Arial" w:hAnsi="Arial" w:cs="Arial"/>
          <w:b/>
          <w:bCs/>
          <w:sz w:val="24"/>
          <w:szCs w:val="24"/>
        </w:rPr>
      </w:pPr>
      <w:r w:rsidRPr="00010F83">
        <w:rPr>
          <w:rFonts w:ascii="Arial" w:hAnsi="Arial" w:cs="Arial"/>
          <w:b/>
          <w:bCs/>
          <w:noProof/>
          <w:sz w:val="24"/>
          <w:szCs w:val="24"/>
        </w:rPr>
        <w:pict>
          <v:line id="Straight Connector 3" o:spid="_x0000_s1041"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2.25pt,19.6pt" to="465.7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" strokecolor="black [3200]" strokeweight=".5pt">
            <v:stroke joinstyle="miter"/>
          </v:line>
        </w:pict>
      </w:r>
      <w:r w:rsidR="00441881" w:rsidRPr="00010F83">
        <w:rPr>
          <w:rFonts w:ascii="Arial" w:hAnsi="Arial" w:cs="Arial"/>
          <w:b/>
          <w:bCs/>
          <w:sz w:val="24"/>
          <w:szCs w:val="24"/>
        </w:rPr>
        <w:t>Mục tiêu</w:t>
      </w:r>
    </w:p>
    <w:p w:rsidR="000E2F99" w:rsidRPr="00010F83" w:rsidRDefault="000E2F99" w:rsidP="006442CE">
      <w:pPr>
        <w:autoSpaceDE w:val="0"/>
        <w:autoSpaceDN w:val="0"/>
        <w:adjustRightInd w:val="0"/>
        <w:spacing w:before="240" w:after="120" w:line="240" w:lineRule="auto"/>
        <w:jc w:val="both"/>
        <w:rPr>
          <w:rFonts w:ascii="Arial" w:hAnsi="Arial" w:cs="Arial"/>
          <w:bCs/>
        </w:rPr>
      </w:pPr>
      <w:r w:rsidRPr="00010F83">
        <w:rPr>
          <w:rFonts w:ascii="Arial" w:hAnsi="Arial" w:cs="Arial"/>
          <w:bCs/>
        </w:rPr>
        <w:t xml:space="preserve">Mục tiêu của </w:t>
      </w:r>
      <w:r w:rsidR="00094A86" w:rsidRPr="00010F83">
        <w:rPr>
          <w:rFonts w:ascii="Arial" w:hAnsi="Arial" w:cs="Arial"/>
          <w:bCs/>
        </w:rPr>
        <w:t>Chuẩn mực</w:t>
      </w:r>
      <w:r w:rsidRPr="00010F83">
        <w:rPr>
          <w:rFonts w:ascii="Arial" w:hAnsi="Arial" w:cs="Arial"/>
          <w:bCs/>
        </w:rPr>
        <w:t xml:space="preserve"> này là </w:t>
      </w:r>
      <w:r w:rsidR="003A1CB1" w:rsidRPr="00010F83">
        <w:rPr>
          <w:rFonts w:ascii="Arial" w:hAnsi="Arial" w:cs="Arial"/>
          <w:bCs/>
        </w:rPr>
        <w:t>đưa ra</w:t>
      </w:r>
      <w:r w:rsidR="00094A86" w:rsidRPr="00010F83">
        <w:rPr>
          <w:rFonts w:ascii="Arial" w:hAnsi="Arial" w:cs="Arial"/>
          <w:bCs/>
        </w:rPr>
        <w:t xml:space="preserve"> </w:t>
      </w:r>
      <w:r w:rsidRPr="00010F83">
        <w:rPr>
          <w:rFonts w:ascii="Arial" w:hAnsi="Arial" w:cs="Arial"/>
          <w:bCs/>
        </w:rPr>
        <w:t xml:space="preserve">quy định việc </w:t>
      </w:r>
      <w:r w:rsidR="003A1CB1" w:rsidRPr="00010F83">
        <w:rPr>
          <w:rFonts w:ascii="Arial" w:hAnsi="Arial" w:cs="Arial"/>
          <w:bCs/>
        </w:rPr>
        <w:t>hạch toán</w:t>
      </w:r>
      <w:r w:rsidRPr="00010F83">
        <w:rPr>
          <w:rFonts w:ascii="Arial" w:hAnsi="Arial" w:cs="Arial"/>
          <w:bCs/>
        </w:rPr>
        <w:t xml:space="preserve"> kế toán </w:t>
      </w:r>
      <w:r w:rsidR="00094A86" w:rsidRPr="00010F83">
        <w:rPr>
          <w:rFonts w:ascii="Arial" w:hAnsi="Arial" w:cs="Arial"/>
          <w:bCs/>
        </w:rPr>
        <w:t xml:space="preserve">đối với </w:t>
      </w:r>
      <w:r w:rsidR="00731917" w:rsidRPr="00010F83">
        <w:rPr>
          <w:rFonts w:ascii="Arial" w:hAnsi="Arial" w:cs="Arial"/>
          <w:bCs/>
        </w:rPr>
        <w:t xml:space="preserve">thuế </w:t>
      </w:r>
      <w:proofErr w:type="gramStart"/>
      <w:r w:rsidR="00B2021B" w:rsidRPr="00010F83">
        <w:rPr>
          <w:rFonts w:ascii="Arial" w:hAnsi="Arial" w:cs="Arial"/>
          <w:bCs/>
        </w:rPr>
        <w:t>thu</w:t>
      </w:r>
      <w:proofErr w:type="gramEnd"/>
      <w:r w:rsidR="00B2021B" w:rsidRPr="00010F83">
        <w:rPr>
          <w:rFonts w:ascii="Arial" w:hAnsi="Arial" w:cs="Arial"/>
          <w:bCs/>
        </w:rPr>
        <w:t xml:space="preserve"> nhập </w:t>
      </w:r>
      <w:r w:rsidR="0014711B" w:rsidRPr="00010F83">
        <w:rPr>
          <w:rFonts w:ascii="Arial" w:hAnsi="Arial" w:cs="Arial"/>
          <w:bCs/>
        </w:rPr>
        <w:t xml:space="preserve">doanh </w:t>
      </w:r>
      <w:r w:rsidR="00B2021B" w:rsidRPr="00010F83">
        <w:rPr>
          <w:rFonts w:ascii="Arial" w:hAnsi="Arial" w:cs="Arial"/>
          <w:bCs/>
        </w:rPr>
        <w:t>nghiệp</w:t>
      </w:r>
      <w:r w:rsidRPr="00010F83">
        <w:rPr>
          <w:rFonts w:ascii="Arial" w:hAnsi="Arial" w:cs="Arial"/>
          <w:bCs/>
        </w:rPr>
        <w:t xml:space="preserve">. Vấn đề chính trong </w:t>
      </w:r>
      <w:r w:rsidR="00583ECF" w:rsidRPr="00010F83">
        <w:rPr>
          <w:rFonts w:ascii="Arial" w:hAnsi="Arial" w:cs="Arial"/>
          <w:bCs/>
        </w:rPr>
        <w:t xml:space="preserve">Hạch toán </w:t>
      </w:r>
      <w:r w:rsidR="004A0A4A" w:rsidRPr="00010F83">
        <w:rPr>
          <w:rFonts w:ascii="Arial" w:hAnsi="Arial" w:cs="Arial"/>
          <w:bCs/>
        </w:rPr>
        <w:t xml:space="preserve">Kế toán </w:t>
      </w:r>
      <w:r w:rsidR="00717F40" w:rsidRPr="00010F83">
        <w:rPr>
          <w:rFonts w:ascii="Arial" w:hAnsi="Arial" w:cs="Arial"/>
          <w:bCs/>
        </w:rPr>
        <w:t>t</w:t>
      </w:r>
      <w:r w:rsidR="004A0A4A" w:rsidRPr="00010F83">
        <w:rPr>
          <w:rFonts w:ascii="Arial" w:hAnsi="Arial" w:cs="Arial"/>
          <w:bCs/>
        </w:rPr>
        <w:t xml:space="preserve">huế </w:t>
      </w:r>
      <w:proofErr w:type="gramStart"/>
      <w:r w:rsidR="00717F40" w:rsidRPr="00010F83">
        <w:rPr>
          <w:rFonts w:ascii="Arial" w:hAnsi="Arial" w:cs="Arial"/>
          <w:bCs/>
        </w:rPr>
        <w:t>t</w:t>
      </w:r>
      <w:r w:rsidR="004A0A4A" w:rsidRPr="00010F83">
        <w:rPr>
          <w:rFonts w:ascii="Arial" w:hAnsi="Arial" w:cs="Arial"/>
          <w:bCs/>
        </w:rPr>
        <w:t>hu</w:t>
      </w:r>
      <w:proofErr w:type="gramEnd"/>
      <w:r w:rsidR="004A0A4A" w:rsidRPr="00010F83">
        <w:rPr>
          <w:rFonts w:ascii="Arial" w:hAnsi="Arial" w:cs="Arial"/>
          <w:bCs/>
        </w:rPr>
        <w:t xml:space="preserve"> nhập </w:t>
      </w:r>
      <w:r w:rsidR="00717F40" w:rsidRPr="00010F83">
        <w:rPr>
          <w:rFonts w:ascii="Arial" w:hAnsi="Arial" w:cs="Arial"/>
          <w:bCs/>
        </w:rPr>
        <w:t>d</w:t>
      </w:r>
      <w:r w:rsidR="004A0A4A" w:rsidRPr="00010F83">
        <w:rPr>
          <w:rFonts w:ascii="Arial" w:hAnsi="Arial" w:cs="Arial"/>
          <w:bCs/>
        </w:rPr>
        <w:t xml:space="preserve">oanh nghiệp </w:t>
      </w:r>
      <w:r w:rsidRPr="00010F83">
        <w:rPr>
          <w:rFonts w:ascii="Arial" w:hAnsi="Arial" w:cs="Arial"/>
          <w:bCs/>
        </w:rPr>
        <w:t xml:space="preserve">là </w:t>
      </w:r>
      <w:r w:rsidR="00C743A4" w:rsidRPr="00010F83">
        <w:rPr>
          <w:rFonts w:ascii="Arial" w:hAnsi="Arial" w:cs="Arial"/>
          <w:bCs/>
        </w:rPr>
        <w:t>cách</w:t>
      </w:r>
      <w:r w:rsidRPr="00010F83">
        <w:rPr>
          <w:rFonts w:ascii="Arial" w:hAnsi="Arial" w:cs="Arial"/>
          <w:bCs/>
        </w:rPr>
        <w:t xml:space="preserve"> hạ</w:t>
      </w:r>
      <w:r w:rsidR="00C743A4" w:rsidRPr="00010F83">
        <w:rPr>
          <w:rFonts w:ascii="Arial" w:hAnsi="Arial" w:cs="Arial"/>
          <w:bCs/>
        </w:rPr>
        <w:t xml:space="preserve">ch toán </w:t>
      </w:r>
      <w:r w:rsidR="00094A86" w:rsidRPr="00010F83">
        <w:rPr>
          <w:rFonts w:ascii="Arial" w:hAnsi="Arial" w:cs="Arial"/>
          <w:bCs/>
        </w:rPr>
        <w:t>các ảnh hưởng</w:t>
      </w:r>
      <w:r w:rsidRPr="00010F83">
        <w:rPr>
          <w:rFonts w:ascii="Arial" w:hAnsi="Arial" w:cs="Arial"/>
          <w:bCs/>
        </w:rPr>
        <w:t xml:space="preserve"> thuế trong hiện tại và tương lai của</w:t>
      </w:r>
      <w:r w:rsidR="00C743A4" w:rsidRPr="00010F83">
        <w:rPr>
          <w:rFonts w:ascii="Arial" w:hAnsi="Arial" w:cs="Arial"/>
          <w:bCs/>
        </w:rPr>
        <w:t>:</w:t>
      </w:r>
    </w:p>
    <w:p w:rsidR="0021590E" w:rsidRPr="00010F83" w:rsidRDefault="00094A86" w:rsidP="00590853">
      <w:pPr>
        <w:pStyle w:val="ListParagraph"/>
        <w:numPr>
          <w:ilvl w:val="0"/>
          <w:numId w:val="5"/>
        </w:numPr>
        <w:autoSpaceDE w:val="0"/>
        <w:autoSpaceDN w:val="0"/>
        <w:adjustRightInd w:val="0"/>
        <w:spacing w:after="120"/>
        <w:jc w:val="both"/>
        <w:rPr>
          <w:rFonts w:ascii="Arial" w:hAnsi="Arial" w:cs="Arial"/>
          <w:bCs/>
          <w:sz w:val="22"/>
          <w:szCs w:val="22"/>
        </w:rPr>
      </w:pPr>
      <w:r w:rsidRPr="00010F83">
        <w:rPr>
          <w:rFonts w:ascii="Arial" w:hAnsi="Arial" w:cs="Arial"/>
          <w:bCs/>
          <w:sz w:val="22"/>
          <w:szCs w:val="22"/>
        </w:rPr>
        <w:t>việc thu hồi (</w:t>
      </w:r>
      <w:r w:rsidR="001B6860" w:rsidRPr="00010F83">
        <w:rPr>
          <w:rFonts w:ascii="Arial" w:hAnsi="Arial" w:cs="Arial"/>
          <w:bCs/>
          <w:sz w:val="22"/>
          <w:szCs w:val="22"/>
        </w:rPr>
        <w:t xml:space="preserve">hoặc </w:t>
      </w:r>
      <w:r w:rsidRPr="00010F83">
        <w:rPr>
          <w:rFonts w:ascii="Arial" w:hAnsi="Arial" w:cs="Arial"/>
          <w:bCs/>
          <w:sz w:val="22"/>
          <w:szCs w:val="22"/>
        </w:rPr>
        <w:t xml:space="preserve">thanh toán) trong tương lai </w:t>
      </w:r>
      <w:r w:rsidR="001B6860" w:rsidRPr="00010F83">
        <w:rPr>
          <w:rFonts w:ascii="Arial" w:hAnsi="Arial" w:cs="Arial"/>
          <w:bCs/>
          <w:sz w:val="22"/>
          <w:szCs w:val="22"/>
        </w:rPr>
        <w:t xml:space="preserve">đối với </w:t>
      </w:r>
      <w:r w:rsidRPr="00010F83">
        <w:rPr>
          <w:rFonts w:ascii="Arial" w:hAnsi="Arial" w:cs="Arial"/>
          <w:bCs/>
          <w:sz w:val="22"/>
          <w:szCs w:val="22"/>
        </w:rPr>
        <w:t>giá trị ghi sổ của các khoản mục tài sản (nợ phải trả) đ</w:t>
      </w:r>
      <w:r w:rsidR="00C743A4" w:rsidRPr="00010F83">
        <w:rPr>
          <w:rFonts w:ascii="Arial" w:hAnsi="Arial" w:cs="Arial"/>
          <w:bCs/>
          <w:sz w:val="22"/>
          <w:szCs w:val="22"/>
        </w:rPr>
        <w:t>ang</w:t>
      </w:r>
      <w:r w:rsidRPr="00010F83">
        <w:rPr>
          <w:rFonts w:ascii="Arial" w:hAnsi="Arial" w:cs="Arial"/>
          <w:bCs/>
          <w:sz w:val="22"/>
          <w:szCs w:val="22"/>
        </w:rPr>
        <w:t xml:space="preserve"> được ghi nhận trong </w:t>
      </w:r>
      <w:r w:rsidR="001B6860" w:rsidRPr="00010F83">
        <w:rPr>
          <w:rFonts w:ascii="Arial" w:hAnsi="Arial" w:cs="Arial"/>
          <w:bCs/>
          <w:sz w:val="22"/>
          <w:szCs w:val="22"/>
        </w:rPr>
        <w:t>Bảng cân đối kế toán</w:t>
      </w:r>
      <w:r w:rsidRPr="00010F83">
        <w:rPr>
          <w:rFonts w:ascii="Arial" w:hAnsi="Arial" w:cs="Arial"/>
          <w:bCs/>
          <w:sz w:val="22"/>
          <w:szCs w:val="22"/>
        </w:rPr>
        <w:t xml:space="preserve"> của đơn vị; và</w:t>
      </w:r>
    </w:p>
    <w:p w:rsidR="000E2F99" w:rsidRPr="00010F83" w:rsidRDefault="00094A86" w:rsidP="00590853">
      <w:pPr>
        <w:pStyle w:val="ListParagraph"/>
        <w:numPr>
          <w:ilvl w:val="0"/>
          <w:numId w:val="5"/>
        </w:numPr>
        <w:autoSpaceDE w:val="0"/>
        <w:autoSpaceDN w:val="0"/>
        <w:adjustRightInd w:val="0"/>
        <w:spacing w:after="120"/>
        <w:jc w:val="both"/>
        <w:rPr>
          <w:rFonts w:ascii="Arial" w:hAnsi="Arial" w:cs="Arial"/>
          <w:bCs/>
          <w:sz w:val="22"/>
          <w:szCs w:val="22"/>
        </w:rPr>
      </w:pPr>
      <w:proofErr w:type="gramStart"/>
      <w:r w:rsidRPr="00010F83">
        <w:rPr>
          <w:rFonts w:ascii="Arial" w:hAnsi="Arial" w:cs="Arial"/>
          <w:bCs/>
          <w:sz w:val="22"/>
          <w:szCs w:val="22"/>
        </w:rPr>
        <w:t>các</w:t>
      </w:r>
      <w:proofErr w:type="gramEnd"/>
      <w:r w:rsidRPr="00010F83">
        <w:rPr>
          <w:rFonts w:ascii="Arial" w:hAnsi="Arial" w:cs="Arial"/>
          <w:bCs/>
          <w:sz w:val="22"/>
          <w:szCs w:val="22"/>
        </w:rPr>
        <w:t xml:space="preserve"> giao dịch và sự kiện khác trong kỳ hiện tại đã được ghi nhận trong báo cáo tài chính của đơn vị.</w:t>
      </w:r>
    </w:p>
    <w:p w:rsidR="000E2F99" w:rsidRPr="00010F83" w:rsidRDefault="001B6860" w:rsidP="00590853">
      <w:pPr>
        <w:autoSpaceDE w:val="0"/>
        <w:autoSpaceDN w:val="0"/>
        <w:adjustRightInd w:val="0"/>
        <w:spacing w:after="120" w:line="240" w:lineRule="auto"/>
        <w:jc w:val="both"/>
        <w:rPr>
          <w:rFonts w:ascii="Arial" w:hAnsi="Arial" w:cs="Arial"/>
          <w:bCs/>
        </w:rPr>
      </w:pPr>
      <w:r w:rsidRPr="00010F83">
        <w:rPr>
          <w:rFonts w:ascii="Arial" w:hAnsi="Arial" w:cs="Arial"/>
          <w:bCs/>
        </w:rPr>
        <w:t>Về nguyên tắc, v</w:t>
      </w:r>
      <w:r w:rsidR="00265992" w:rsidRPr="00010F83">
        <w:rPr>
          <w:rFonts w:ascii="Arial" w:hAnsi="Arial" w:cs="Arial"/>
          <w:bCs/>
        </w:rPr>
        <w:t>iệc một đơn vị g</w:t>
      </w:r>
      <w:r w:rsidR="00094A86" w:rsidRPr="00010F83">
        <w:rPr>
          <w:rFonts w:ascii="Arial" w:hAnsi="Arial" w:cs="Arial"/>
          <w:bCs/>
        </w:rPr>
        <w:t xml:space="preserve">hi nhận một tài sản hay nợ phải trả </w:t>
      </w:r>
      <w:r w:rsidR="00265992" w:rsidRPr="00010F83">
        <w:rPr>
          <w:rFonts w:ascii="Arial" w:hAnsi="Arial" w:cs="Arial"/>
          <w:bCs/>
        </w:rPr>
        <w:t xml:space="preserve">tất yếu </w:t>
      </w:r>
      <w:r w:rsidRPr="00010F83">
        <w:rPr>
          <w:rFonts w:ascii="Arial" w:hAnsi="Arial" w:cs="Arial"/>
          <w:bCs/>
        </w:rPr>
        <w:t>dẫn đến</w:t>
      </w:r>
      <w:r w:rsidR="00265992" w:rsidRPr="00010F83">
        <w:rPr>
          <w:rFonts w:ascii="Arial" w:hAnsi="Arial" w:cs="Arial"/>
          <w:bCs/>
        </w:rPr>
        <w:t xml:space="preserve"> việc dự kiến</w:t>
      </w:r>
      <w:r w:rsidR="00094A86" w:rsidRPr="00010F83">
        <w:rPr>
          <w:rFonts w:ascii="Arial" w:hAnsi="Arial" w:cs="Arial"/>
          <w:bCs/>
        </w:rPr>
        <w:t xml:space="preserve"> </w:t>
      </w:r>
      <w:proofErr w:type="gramStart"/>
      <w:r w:rsidR="00094A86" w:rsidRPr="00010F83">
        <w:rPr>
          <w:rFonts w:ascii="Arial" w:hAnsi="Arial" w:cs="Arial"/>
          <w:bCs/>
        </w:rPr>
        <w:t>thu</w:t>
      </w:r>
      <w:proofErr w:type="gramEnd"/>
      <w:r w:rsidR="00094A86" w:rsidRPr="00010F83">
        <w:rPr>
          <w:rFonts w:ascii="Arial" w:hAnsi="Arial" w:cs="Arial"/>
          <w:bCs/>
        </w:rPr>
        <w:t xml:space="preserve"> hồi hay thanh toán giá trị ghi sổ của tài sản hay khoản nợ phải trả đó. </w:t>
      </w:r>
      <w:r w:rsidR="001C2AC4" w:rsidRPr="00010F83">
        <w:rPr>
          <w:rFonts w:ascii="Arial" w:hAnsi="Arial" w:cs="Arial"/>
          <w:bCs/>
        </w:rPr>
        <w:t>N</w:t>
      </w:r>
      <w:r w:rsidR="00094A86" w:rsidRPr="00010F83">
        <w:rPr>
          <w:rFonts w:ascii="Arial" w:hAnsi="Arial" w:cs="Arial"/>
          <w:bCs/>
        </w:rPr>
        <w:t xml:space="preserve">ếu </w:t>
      </w:r>
      <w:r w:rsidR="00265992" w:rsidRPr="00010F83">
        <w:rPr>
          <w:rFonts w:ascii="Arial" w:hAnsi="Arial" w:cs="Arial"/>
          <w:bCs/>
        </w:rPr>
        <w:t>việc</w:t>
      </w:r>
      <w:r w:rsidR="00094A86" w:rsidRPr="00010F83">
        <w:rPr>
          <w:rFonts w:ascii="Arial" w:hAnsi="Arial" w:cs="Arial"/>
          <w:bCs/>
        </w:rPr>
        <w:t xml:space="preserve"> thu hồi hay thanh toán giá trị ghi sổ </w:t>
      </w:r>
      <w:r w:rsidR="00265992" w:rsidRPr="00010F83">
        <w:rPr>
          <w:rFonts w:ascii="Arial" w:hAnsi="Arial" w:cs="Arial"/>
          <w:bCs/>
        </w:rPr>
        <w:t xml:space="preserve">của các khoản tài sản hay nợ phải trả này </w:t>
      </w:r>
      <w:r w:rsidR="00094A86" w:rsidRPr="00010F83">
        <w:rPr>
          <w:rFonts w:ascii="Arial" w:hAnsi="Arial" w:cs="Arial"/>
          <w:bCs/>
        </w:rPr>
        <w:t xml:space="preserve">làm </w:t>
      </w:r>
      <w:r w:rsidR="00AD2FEE" w:rsidRPr="00010F83">
        <w:rPr>
          <w:rFonts w:ascii="Arial" w:hAnsi="Arial" w:cs="Arial"/>
          <w:bCs/>
        </w:rPr>
        <w:t xml:space="preserve">có khả năng </w:t>
      </w:r>
      <w:r w:rsidR="00094A86" w:rsidRPr="00010F83">
        <w:rPr>
          <w:rFonts w:ascii="Arial" w:hAnsi="Arial" w:cs="Arial"/>
          <w:bCs/>
        </w:rPr>
        <w:t xml:space="preserve">cho số thuế đơn vị phải </w:t>
      </w:r>
      <w:r w:rsidR="00C9413A" w:rsidRPr="00010F83">
        <w:rPr>
          <w:rFonts w:ascii="Arial" w:hAnsi="Arial" w:cs="Arial"/>
          <w:bCs/>
        </w:rPr>
        <w:t xml:space="preserve">nộp </w:t>
      </w:r>
      <w:r w:rsidR="00094A86" w:rsidRPr="00010F83">
        <w:rPr>
          <w:rFonts w:ascii="Arial" w:hAnsi="Arial" w:cs="Arial"/>
          <w:bCs/>
        </w:rPr>
        <w:t>trong tương lai lớn hơn (</w:t>
      </w:r>
      <w:r w:rsidR="00265992" w:rsidRPr="00010F83">
        <w:rPr>
          <w:rFonts w:ascii="Arial" w:hAnsi="Arial" w:cs="Arial"/>
          <w:bCs/>
        </w:rPr>
        <w:t xml:space="preserve">hay </w:t>
      </w:r>
      <w:r w:rsidR="00094A86" w:rsidRPr="00010F83">
        <w:rPr>
          <w:rFonts w:ascii="Arial" w:hAnsi="Arial" w:cs="Arial"/>
          <w:bCs/>
        </w:rPr>
        <w:t xml:space="preserve">nhỏ hơn) so với số thuế phải </w:t>
      </w:r>
      <w:r w:rsidR="00C9413A" w:rsidRPr="00010F83">
        <w:rPr>
          <w:rFonts w:ascii="Arial" w:hAnsi="Arial" w:cs="Arial"/>
          <w:bCs/>
        </w:rPr>
        <w:t xml:space="preserve">nộp </w:t>
      </w:r>
      <w:r w:rsidR="00094A86" w:rsidRPr="00010F83">
        <w:rPr>
          <w:rFonts w:ascii="Arial" w:hAnsi="Arial" w:cs="Arial"/>
          <w:bCs/>
        </w:rPr>
        <w:t xml:space="preserve">trong trường hợp </w:t>
      </w:r>
      <w:r w:rsidR="00265992" w:rsidRPr="00010F83">
        <w:rPr>
          <w:rFonts w:ascii="Arial" w:hAnsi="Arial" w:cs="Arial"/>
          <w:bCs/>
        </w:rPr>
        <w:t>việc</w:t>
      </w:r>
      <w:r w:rsidR="00094A86" w:rsidRPr="00010F83">
        <w:rPr>
          <w:rFonts w:ascii="Arial" w:hAnsi="Arial" w:cs="Arial"/>
          <w:bCs/>
        </w:rPr>
        <w:t xml:space="preserve"> thu hồi hoặc thanh toán không </w:t>
      </w:r>
      <w:r w:rsidR="00265992" w:rsidRPr="00010F83">
        <w:rPr>
          <w:rFonts w:ascii="Arial" w:hAnsi="Arial" w:cs="Arial"/>
          <w:bCs/>
        </w:rPr>
        <w:t>có bất kỳ tác động gì với số thuế phải nộp trong tương lai</w:t>
      </w:r>
      <w:r w:rsidR="001C2AC4" w:rsidRPr="00010F83">
        <w:rPr>
          <w:rFonts w:ascii="Arial" w:hAnsi="Arial" w:cs="Arial"/>
          <w:bCs/>
        </w:rPr>
        <w:t>,</w:t>
      </w:r>
      <w:r w:rsidR="00094A86" w:rsidRPr="00010F83">
        <w:rPr>
          <w:rFonts w:ascii="Arial" w:hAnsi="Arial" w:cs="Arial"/>
          <w:bCs/>
        </w:rPr>
        <w:t xml:space="preserve"> thì chuẩn mực này yêu cầu đơn vị phải ghi nhậ</w:t>
      </w:r>
      <w:r w:rsidR="00265992" w:rsidRPr="00010F83">
        <w:rPr>
          <w:rFonts w:ascii="Arial" w:hAnsi="Arial" w:cs="Arial"/>
          <w:bCs/>
        </w:rPr>
        <w:t>n</w:t>
      </w:r>
      <w:r w:rsidR="00094A86" w:rsidRPr="00010F83">
        <w:rPr>
          <w:rFonts w:ascii="Arial" w:hAnsi="Arial" w:cs="Arial"/>
          <w:bCs/>
        </w:rPr>
        <w:t xml:space="preserve"> </w:t>
      </w:r>
      <w:r w:rsidR="00731917" w:rsidRPr="00010F83">
        <w:rPr>
          <w:rFonts w:ascii="Arial" w:hAnsi="Arial" w:cs="Arial"/>
          <w:bCs/>
        </w:rPr>
        <w:t xml:space="preserve">thuế </w:t>
      </w:r>
      <w:r w:rsidR="0014711B" w:rsidRPr="00010F83">
        <w:rPr>
          <w:rFonts w:ascii="Arial" w:hAnsi="Arial" w:cs="Arial"/>
          <w:bCs/>
        </w:rPr>
        <w:t xml:space="preserve">thu nhập doanh nghiệp </w:t>
      </w:r>
      <w:r w:rsidR="00094A86" w:rsidRPr="00010F83">
        <w:rPr>
          <w:rFonts w:ascii="Arial" w:hAnsi="Arial" w:cs="Arial"/>
          <w:bCs/>
        </w:rPr>
        <w:t xml:space="preserve">hoãn lại phải trả (tài sản </w:t>
      </w:r>
      <w:r w:rsidR="00731917" w:rsidRPr="00010F83">
        <w:rPr>
          <w:rFonts w:ascii="Arial" w:hAnsi="Arial" w:cs="Arial"/>
          <w:bCs/>
        </w:rPr>
        <w:t xml:space="preserve">thuế </w:t>
      </w:r>
      <w:r w:rsidR="0014711B" w:rsidRPr="00010F83">
        <w:rPr>
          <w:rFonts w:ascii="Arial" w:hAnsi="Arial" w:cs="Arial"/>
          <w:bCs/>
        </w:rPr>
        <w:t>thu nhập doanh nghiệp</w:t>
      </w:r>
      <w:r w:rsidR="008307CC" w:rsidRPr="00010F83">
        <w:rPr>
          <w:rFonts w:ascii="Arial" w:hAnsi="Arial" w:cs="Arial"/>
          <w:bCs/>
        </w:rPr>
        <w:t xml:space="preserve"> </w:t>
      </w:r>
      <w:r w:rsidR="00094A86" w:rsidRPr="00010F83">
        <w:rPr>
          <w:rFonts w:ascii="Arial" w:hAnsi="Arial" w:cs="Arial"/>
          <w:bCs/>
        </w:rPr>
        <w:t xml:space="preserve">hoãn lại), </w:t>
      </w:r>
      <w:r w:rsidR="00265992" w:rsidRPr="00010F83">
        <w:rPr>
          <w:rFonts w:ascii="Arial" w:hAnsi="Arial" w:cs="Arial"/>
          <w:bCs/>
        </w:rPr>
        <w:t>trừ một số trường hợp ngoại lệ</w:t>
      </w:r>
      <w:r w:rsidR="00094A86" w:rsidRPr="00010F83">
        <w:rPr>
          <w:rFonts w:ascii="Arial" w:hAnsi="Arial" w:cs="Arial"/>
          <w:bCs/>
        </w:rPr>
        <w:t>.</w:t>
      </w:r>
      <w:r w:rsidR="000E2F99" w:rsidRPr="00010F83">
        <w:rPr>
          <w:rFonts w:ascii="Arial" w:hAnsi="Arial" w:cs="Arial"/>
          <w:bCs/>
        </w:rPr>
        <w:t xml:space="preserve"> </w:t>
      </w:r>
    </w:p>
    <w:p w:rsidR="000E2F99" w:rsidRPr="00010F83" w:rsidRDefault="00726457" w:rsidP="00590853">
      <w:pPr>
        <w:autoSpaceDE w:val="0"/>
        <w:autoSpaceDN w:val="0"/>
        <w:adjustRightInd w:val="0"/>
        <w:spacing w:after="120" w:line="240" w:lineRule="auto"/>
        <w:jc w:val="both"/>
        <w:rPr>
          <w:rFonts w:ascii="Arial" w:hAnsi="Arial" w:cs="Arial"/>
          <w:bCs/>
        </w:rPr>
      </w:pPr>
      <w:r w:rsidRPr="00010F83">
        <w:rPr>
          <w:rFonts w:ascii="Arial" w:hAnsi="Arial" w:cs="Arial"/>
          <w:bCs/>
        </w:rPr>
        <w:t xml:space="preserve">Chuẩn mực này yêu cầu đơn vị phải hạch toán các ảnh hưởng về thuế của các giao dịch và các sự kiện khác </w:t>
      </w:r>
      <w:proofErr w:type="gramStart"/>
      <w:r w:rsidRPr="00010F83">
        <w:rPr>
          <w:rFonts w:ascii="Arial" w:hAnsi="Arial" w:cs="Arial"/>
          <w:bCs/>
        </w:rPr>
        <w:t>theo</w:t>
      </w:r>
      <w:proofErr w:type="gramEnd"/>
      <w:r w:rsidRPr="00010F83">
        <w:rPr>
          <w:rFonts w:ascii="Arial" w:hAnsi="Arial" w:cs="Arial"/>
          <w:bCs/>
        </w:rPr>
        <w:t xml:space="preserve"> cùng phương pháp hạch toán cho chính các giao dịch và các sự kiện đó. </w:t>
      </w:r>
      <w:r w:rsidR="00CC6EFE" w:rsidRPr="00010F83">
        <w:rPr>
          <w:rFonts w:ascii="Arial" w:hAnsi="Arial" w:cs="Arial"/>
          <w:bCs/>
        </w:rPr>
        <w:t xml:space="preserve">Do đó, đối với </w:t>
      </w:r>
      <w:r w:rsidRPr="00010F83">
        <w:rPr>
          <w:rFonts w:ascii="Arial" w:hAnsi="Arial" w:cs="Arial"/>
          <w:bCs/>
        </w:rPr>
        <w:t>các giao dịch và các sự kiệ</w:t>
      </w:r>
      <w:r w:rsidR="002B5861" w:rsidRPr="00010F83">
        <w:rPr>
          <w:rFonts w:ascii="Arial" w:hAnsi="Arial" w:cs="Arial"/>
          <w:bCs/>
        </w:rPr>
        <w:t>n</w:t>
      </w:r>
      <w:r w:rsidRPr="00010F83">
        <w:rPr>
          <w:rFonts w:ascii="Arial" w:hAnsi="Arial" w:cs="Arial"/>
          <w:bCs/>
        </w:rPr>
        <w:t xml:space="preserve"> được ghi nhận trong </w:t>
      </w:r>
      <w:r w:rsidR="00AD2FEE" w:rsidRPr="00010F83">
        <w:rPr>
          <w:rFonts w:ascii="Arial" w:hAnsi="Arial" w:cs="Arial"/>
          <w:bCs/>
        </w:rPr>
        <w:t>B</w:t>
      </w:r>
      <w:r w:rsidR="00311385" w:rsidRPr="00010F83">
        <w:rPr>
          <w:rFonts w:ascii="Arial" w:hAnsi="Arial" w:cs="Arial"/>
          <w:bCs/>
        </w:rPr>
        <w:t xml:space="preserve">áo cáo </w:t>
      </w:r>
      <w:r w:rsidR="00AD2FEE" w:rsidRPr="00010F83">
        <w:rPr>
          <w:rFonts w:ascii="Arial" w:hAnsi="Arial" w:cs="Arial"/>
          <w:bCs/>
        </w:rPr>
        <w:t>kết quả hoạt động kinh doanh</w:t>
      </w:r>
      <w:r w:rsidRPr="00010F83">
        <w:rPr>
          <w:rFonts w:ascii="Arial" w:hAnsi="Arial" w:cs="Arial"/>
          <w:bCs/>
        </w:rPr>
        <w:t xml:space="preserve"> thì các ảnh hưởng về thuế có liên quan cũng </w:t>
      </w:r>
      <w:r w:rsidR="00AD2FEE" w:rsidRPr="00010F83">
        <w:rPr>
          <w:rFonts w:ascii="Arial" w:hAnsi="Arial" w:cs="Arial"/>
          <w:bCs/>
        </w:rPr>
        <w:t xml:space="preserve">cần </w:t>
      </w:r>
      <w:r w:rsidRPr="00010F83">
        <w:rPr>
          <w:rFonts w:ascii="Arial" w:hAnsi="Arial" w:cs="Arial"/>
          <w:bCs/>
        </w:rPr>
        <w:t xml:space="preserve">được ghi nhận vào </w:t>
      </w:r>
      <w:r w:rsidR="00AD2FEE" w:rsidRPr="00010F83">
        <w:rPr>
          <w:rFonts w:ascii="Arial" w:hAnsi="Arial" w:cs="Arial"/>
          <w:bCs/>
        </w:rPr>
        <w:t>Báo cáo kết quả hoạt động kinh doanh</w:t>
      </w:r>
      <w:r w:rsidRPr="00010F83">
        <w:rPr>
          <w:rFonts w:ascii="Arial" w:hAnsi="Arial" w:cs="Arial"/>
          <w:bCs/>
        </w:rPr>
        <w:t xml:space="preserve">.  </w:t>
      </w:r>
      <w:r w:rsidR="00CC6EFE" w:rsidRPr="00010F83">
        <w:rPr>
          <w:rFonts w:ascii="Arial" w:hAnsi="Arial" w:cs="Arial"/>
          <w:bCs/>
        </w:rPr>
        <w:t xml:space="preserve">Đối với </w:t>
      </w:r>
      <w:r w:rsidRPr="00010F83">
        <w:rPr>
          <w:rFonts w:ascii="Arial" w:hAnsi="Arial" w:cs="Arial"/>
          <w:bCs/>
        </w:rPr>
        <w:t xml:space="preserve">các giao dịch và các sự kiện </w:t>
      </w:r>
      <w:r w:rsidR="00CC6EFE" w:rsidRPr="00010F83">
        <w:rPr>
          <w:rFonts w:ascii="Arial" w:hAnsi="Arial" w:cs="Arial"/>
          <w:bCs/>
        </w:rPr>
        <w:t xml:space="preserve">khác không </w:t>
      </w:r>
      <w:r w:rsidRPr="00010F83">
        <w:rPr>
          <w:rFonts w:ascii="Arial" w:hAnsi="Arial" w:cs="Arial"/>
          <w:bCs/>
        </w:rPr>
        <w:t xml:space="preserve">được ghi nhận </w:t>
      </w:r>
      <w:r w:rsidR="00CC6EFE" w:rsidRPr="00010F83">
        <w:rPr>
          <w:rFonts w:ascii="Arial" w:hAnsi="Arial" w:cs="Arial"/>
          <w:bCs/>
        </w:rPr>
        <w:t xml:space="preserve">vào </w:t>
      </w:r>
      <w:r w:rsidR="00AD2FEE" w:rsidRPr="00010F83">
        <w:rPr>
          <w:rFonts w:ascii="Arial" w:hAnsi="Arial" w:cs="Arial"/>
          <w:bCs/>
        </w:rPr>
        <w:t>Báo cáo kết quả hoạt động kinh doanh</w:t>
      </w:r>
      <w:r w:rsidRPr="00010F83">
        <w:rPr>
          <w:rFonts w:ascii="Arial" w:hAnsi="Arial" w:cs="Arial"/>
          <w:bCs/>
        </w:rPr>
        <w:t xml:space="preserve"> (</w:t>
      </w:r>
      <w:r w:rsidR="00CC6EFE" w:rsidRPr="00010F83">
        <w:rPr>
          <w:rFonts w:ascii="Arial" w:hAnsi="Arial" w:cs="Arial"/>
          <w:bCs/>
        </w:rPr>
        <w:t xml:space="preserve">tức là </w:t>
      </w:r>
      <w:r w:rsidRPr="00010F83">
        <w:rPr>
          <w:rFonts w:ascii="Arial" w:hAnsi="Arial" w:cs="Arial"/>
          <w:bCs/>
        </w:rPr>
        <w:t xml:space="preserve">ghi nhận </w:t>
      </w:r>
      <w:r w:rsidR="00CC6EFE" w:rsidRPr="00010F83">
        <w:rPr>
          <w:rFonts w:ascii="Arial" w:hAnsi="Arial" w:cs="Arial"/>
          <w:bCs/>
        </w:rPr>
        <w:t>vào</w:t>
      </w:r>
      <w:r w:rsidRPr="00010F83">
        <w:rPr>
          <w:rFonts w:ascii="Arial" w:hAnsi="Arial" w:cs="Arial"/>
          <w:bCs/>
        </w:rPr>
        <w:t xml:space="preserve"> thu nhập toàn diện khác hoặc ghi nhận trực tiếp vào vốn chủ sở hữu) thì các ảnh hưởng về thuế có liên quan cũng </w:t>
      </w:r>
      <w:r w:rsidR="00CC6EFE" w:rsidRPr="00010F83">
        <w:rPr>
          <w:rFonts w:ascii="Arial" w:hAnsi="Arial" w:cs="Arial"/>
          <w:bCs/>
        </w:rPr>
        <w:t xml:space="preserve">không </w:t>
      </w:r>
      <w:r w:rsidRPr="00010F83">
        <w:rPr>
          <w:rFonts w:ascii="Arial" w:hAnsi="Arial" w:cs="Arial"/>
          <w:bCs/>
        </w:rPr>
        <w:t xml:space="preserve">được ghi nhận </w:t>
      </w:r>
      <w:r w:rsidR="00CC6EFE" w:rsidRPr="00010F83">
        <w:rPr>
          <w:rFonts w:ascii="Arial" w:hAnsi="Arial" w:cs="Arial"/>
          <w:bCs/>
        </w:rPr>
        <w:t xml:space="preserve">vào </w:t>
      </w:r>
      <w:r w:rsidR="00AD2FEE" w:rsidRPr="00010F83">
        <w:rPr>
          <w:rFonts w:ascii="Arial" w:hAnsi="Arial" w:cs="Arial"/>
          <w:bCs/>
        </w:rPr>
        <w:t>Báo cáo kết quả hoạt động kinh doanh</w:t>
      </w:r>
      <w:r w:rsidR="00AD2FEE" w:rsidRPr="00010F83" w:rsidDel="00AD2FEE">
        <w:rPr>
          <w:rFonts w:ascii="Arial" w:hAnsi="Arial" w:cs="Arial"/>
          <w:bCs/>
        </w:rPr>
        <w:t xml:space="preserve"> </w:t>
      </w:r>
      <w:r w:rsidRPr="00010F83">
        <w:rPr>
          <w:rFonts w:ascii="Arial" w:hAnsi="Arial" w:cs="Arial"/>
          <w:bCs/>
        </w:rPr>
        <w:t>(</w:t>
      </w:r>
      <w:r w:rsidR="00CC6EFE" w:rsidRPr="00010F83">
        <w:rPr>
          <w:rFonts w:ascii="Arial" w:hAnsi="Arial" w:cs="Arial"/>
          <w:bCs/>
        </w:rPr>
        <w:t xml:space="preserve">mà </w:t>
      </w:r>
      <w:r w:rsidR="00AD2FEE" w:rsidRPr="00010F83">
        <w:rPr>
          <w:rFonts w:ascii="Arial" w:hAnsi="Arial" w:cs="Arial"/>
          <w:bCs/>
        </w:rPr>
        <w:t xml:space="preserve">phải </w:t>
      </w:r>
      <w:r w:rsidRPr="00010F83">
        <w:rPr>
          <w:rFonts w:ascii="Arial" w:hAnsi="Arial" w:cs="Arial"/>
          <w:bCs/>
        </w:rPr>
        <w:t xml:space="preserve">ghi nhận </w:t>
      </w:r>
      <w:r w:rsidR="00CC6EFE" w:rsidRPr="00010F83">
        <w:rPr>
          <w:rFonts w:ascii="Arial" w:hAnsi="Arial" w:cs="Arial"/>
          <w:bCs/>
        </w:rPr>
        <w:t>vào</w:t>
      </w:r>
      <w:r w:rsidRPr="00010F83">
        <w:rPr>
          <w:rFonts w:ascii="Arial" w:hAnsi="Arial" w:cs="Arial"/>
          <w:bCs/>
        </w:rPr>
        <w:t xml:space="preserve"> thu nhập toàn diện khác hoặc ghi nhận trực tiếp vào vốn chủ sở hữu). Tương tự, việc ghi nhận tài sản </w:t>
      </w:r>
      <w:r w:rsidR="00731917" w:rsidRPr="00010F83">
        <w:rPr>
          <w:rFonts w:ascii="Arial" w:hAnsi="Arial" w:cs="Arial"/>
          <w:bCs/>
        </w:rPr>
        <w:t xml:space="preserve">thuế </w:t>
      </w:r>
      <w:r w:rsidR="0014711B" w:rsidRPr="00010F83">
        <w:rPr>
          <w:rFonts w:ascii="Arial" w:hAnsi="Arial" w:cs="Arial"/>
          <w:bCs/>
        </w:rPr>
        <w:t xml:space="preserve">thu nhập doanh nghiệp </w:t>
      </w:r>
      <w:r w:rsidRPr="00010F83">
        <w:rPr>
          <w:rFonts w:ascii="Arial" w:hAnsi="Arial" w:cs="Arial"/>
          <w:bCs/>
        </w:rPr>
        <w:t xml:space="preserve">hoãn lại và </w:t>
      </w:r>
      <w:r w:rsidR="00AD2FEE" w:rsidRPr="00010F83">
        <w:rPr>
          <w:rFonts w:ascii="Arial" w:hAnsi="Arial" w:cs="Arial"/>
          <w:bCs/>
        </w:rPr>
        <w:t xml:space="preserve">nghĩa vụ </w:t>
      </w:r>
      <w:r w:rsidR="00731917" w:rsidRPr="00010F83">
        <w:rPr>
          <w:rFonts w:ascii="Arial" w:hAnsi="Arial" w:cs="Arial"/>
          <w:bCs/>
        </w:rPr>
        <w:t xml:space="preserve">thuế </w:t>
      </w:r>
      <w:r w:rsidR="0014711B" w:rsidRPr="00010F83">
        <w:rPr>
          <w:rFonts w:ascii="Arial" w:hAnsi="Arial" w:cs="Arial"/>
          <w:bCs/>
        </w:rPr>
        <w:t>thu nhập doanh nghiệp</w:t>
      </w:r>
      <w:r w:rsidR="008307CC" w:rsidRPr="00010F83">
        <w:rPr>
          <w:rFonts w:ascii="Arial" w:hAnsi="Arial" w:cs="Arial"/>
          <w:bCs/>
        </w:rPr>
        <w:t xml:space="preserve"> </w:t>
      </w:r>
      <w:r w:rsidRPr="00010F83">
        <w:rPr>
          <w:rFonts w:ascii="Arial" w:hAnsi="Arial" w:cs="Arial"/>
          <w:bCs/>
        </w:rPr>
        <w:t xml:space="preserve">hoãn lại phải trả trong </w:t>
      </w:r>
      <w:r w:rsidR="00CC6EFE" w:rsidRPr="00010F83">
        <w:rPr>
          <w:rFonts w:ascii="Arial" w:hAnsi="Arial" w:cs="Arial"/>
          <w:bCs/>
        </w:rPr>
        <w:t xml:space="preserve">một giao dịch </w:t>
      </w:r>
      <w:r w:rsidRPr="00010F83">
        <w:rPr>
          <w:rFonts w:ascii="Arial" w:hAnsi="Arial" w:cs="Arial"/>
          <w:bCs/>
        </w:rPr>
        <w:t xml:space="preserve">hợp nhất kinh doanh sẽ ảnh hưởng đến </w:t>
      </w:r>
      <w:r w:rsidR="00CC6EFE" w:rsidRPr="00010F83">
        <w:rPr>
          <w:rFonts w:ascii="Arial" w:hAnsi="Arial" w:cs="Arial"/>
          <w:bCs/>
        </w:rPr>
        <w:t xml:space="preserve">khoản </w:t>
      </w:r>
      <w:r w:rsidRPr="00010F83">
        <w:rPr>
          <w:rFonts w:ascii="Arial" w:hAnsi="Arial" w:cs="Arial"/>
          <w:bCs/>
        </w:rPr>
        <w:t xml:space="preserve">lợi thế thương mại phát sinh từ </w:t>
      </w:r>
      <w:r w:rsidR="0085482F" w:rsidRPr="00010F83">
        <w:rPr>
          <w:rFonts w:ascii="Arial" w:hAnsi="Arial" w:cs="Arial"/>
          <w:bCs/>
        </w:rPr>
        <w:t>giao dịch</w:t>
      </w:r>
      <w:r w:rsidRPr="00010F83">
        <w:rPr>
          <w:rFonts w:ascii="Arial" w:hAnsi="Arial" w:cs="Arial"/>
          <w:bCs/>
        </w:rPr>
        <w:t xml:space="preserve"> hợp nhất kinh doanh </w:t>
      </w:r>
      <w:r w:rsidR="00CC6EFE" w:rsidRPr="00010F83">
        <w:rPr>
          <w:rFonts w:ascii="Arial" w:hAnsi="Arial" w:cs="Arial"/>
          <w:bCs/>
        </w:rPr>
        <w:t xml:space="preserve">đó </w:t>
      </w:r>
      <w:r w:rsidRPr="00010F83">
        <w:rPr>
          <w:rFonts w:ascii="Arial" w:hAnsi="Arial" w:cs="Arial"/>
          <w:bCs/>
        </w:rPr>
        <w:t xml:space="preserve">hay </w:t>
      </w:r>
      <w:r w:rsidR="00CC6EFE" w:rsidRPr="00010F83">
        <w:rPr>
          <w:rFonts w:ascii="Arial" w:hAnsi="Arial" w:cs="Arial"/>
          <w:bCs/>
        </w:rPr>
        <w:t xml:space="preserve">khoản </w:t>
      </w:r>
      <w:r w:rsidRPr="00010F83">
        <w:rPr>
          <w:rFonts w:ascii="Arial" w:hAnsi="Arial" w:cs="Arial"/>
          <w:bCs/>
        </w:rPr>
        <w:t xml:space="preserve">lãi do mua </w:t>
      </w:r>
      <w:r w:rsidR="00AD2FEE" w:rsidRPr="00010F83">
        <w:rPr>
          <w:rFonts w:ascii="Arial" w:hAnsi="Arial" w:cs="Arial"/>
          <w:bCs/>
        </w:rPr>
        <w:t xml:space="preserve">với giá tốt </w:t>
      </w:r>
      <w:r w:rsidRPr="00010F83">
        <w:rPr>
          <w:rFonts w:ascii="Arial" w:hAnsi="Arial" w:cs="Arial"/>
          <w:bCs/>
        </w:rPr>
        <w:t>đã ghi nhận.</w:t>
      </w:r>
    </w:p>
    <w:p w:rsidR="000E2F99" w:rsidRPr="00010F83" w:rsidRDefault="00CC6EFE" w:rsidP="00590853">
      <w:pPr>
        <w:autoSpaceDE w:val="0"/>
        <w:autoSpaceDN w:val="0"/>
        <w:adjustRightInd w:val="0"/>
        <w:spacing w:after="120" w:line="240" w:lineRule="auto"/>
        <w:jc w:val="both"/>
        <w:rPr>
          <w:rFonts w:ascii="Arial" w:hAnsi="Arial" w:cs="Arial"/>
          <w:bCs/>
        </w:rPr>
      </w:pPr>
      <w:r w:rsidRPr="00010F83">
        <w:rPr>
          <w:rFonts w:ascii="Arial" w:hAnsi="Arial" w:cs="Arial"/>
          <w:bCs/>
        </w:rPr>
        <w:t xml:space="preserve">Chuẩn mực này </w:t>
      </w:r>
      <w:r w:rsidR="00AD2FEE" w:rsidRPr="00010F83">
        <w:rPr>
          <w:rFonts w:ascii="Arial" w:hAnsi="Arial" w:cs="Arial"/>
          <w:bCs/>
        </w:rPr>
        <w:t xml:space="preserve">còn </w:t>
      </w:r>
      <w:r w:rsidR="0085482F" w:rsidRPr="00010F83">
        <w:rPr>
          <w:rFonts w:ascii="Arial" w:hAnsi="Arial" w:cs="Arial"/>
          <w:bCs/>
        </w:rPr>
        <w:t>hướng dẫn</w:t>
      </w:r>
      <w:r w:rsidRPr="00010F83">
        <w:rPr>
          <w:rFonts w:ascii="Arial" w:hAnsi="Arial" w:cs="Arial"/>
          <w:bCs/>
        </w:rPr>
        <w:t xml:space="preserve"> việc ghi nhận tài sản </w:t>
      </w:r>
      <w:r w:rsidR="00731917" w:rsidRPr="00010F83">
        <w:rPr>
          <w:rFonts w:ascii="Arial" w:hAnsi="Arial" w:cs="Arial"/>
          <w:bCs/>
        </w:rPr>
        <w:t xml:space="preserve">thuế </w:t>
      </w:r>
      <w:r w:rsidR="0014711B" w:rsidRPr="00010F83">
        <w:rPr>
          <w:rFonts w:ascii="Arial" w:hAnsi="Arial" w:cs="Arial"/>
          <w:bCs/>
        </w:rPr>
        <w:t xml:space="preserve">thu nhập doanh nghiệp </w:t>
      </w:r>
      <w:r w:rsidRPr="00010F83">
        <w:rPr>
          <w:rFonts w:ascii="Arial" w:hAnsi="Arial" w:cs="Arial"/>
          <w:bCs/>
        </w:rPr>
        <w:t xml:space="preserve">hoãn lại </w:t>
      </w:r>
      <w:r w:rsidR="00AD2FEE" w:rsidRPr="00010F83">
        <w:rPr>
          <w:rFonts w:ascii="Arial" w:hAnsi="Arial" w:cs="Arial"/>
          <w:bCs/>
        </w:rPr>
        <w:t xml:space="preserve">phát sinh từ </w:t>
      </w:r>
      <w:r w:rsidRPr="00010F83">
        <w:rPr>
          <w:rFonts w:ascii="Arial" w:hAnsi="Arial" w:cs="Arial"/>
          <w:bCs/>
        </w:rPr>
        <w:t>các khoản lỗ tính thuế hoặ</w:t>
      </w:r>
      <w:r w:rsidR="0085482F" w:rsidRPr="00010F83">
        <w:rPr>
          <w:rFonts w:ascii="Arial" w:hAnsi="Arial" w:cs="Arial"/>
          <w:bCs/>
        </w:rPr>
        <w:t>c</w:t>
      </w:r>
      <w:r w:rsidRPr="00010F83">
        <w:rPr>
          <w:rFonts w:ascii="Arial" w:hAnsi="Arial" w:cs="Arial"/>
          <w:bCs/>
        </w:rPr>
        <w:t xml:space="preserve"> các </w:t>
      </w:r>
      <w:r w:rsidR="00AD2FEE" w:rsidRPr="00010F83">
        <w:rPr>
          <w:rFonts w:ascii="Arial" w:hAnsi="Arial" w:cs="Arial"/>
          <w:bCs/>
        </w:rPr>
        <w:t>khoản khấu trừ</w:t>
      </w:r>
      <w:r w:rsidR="00723FF3" w:rsidRPr="00010F83">
        <w:rPr>
          <w:rFonts w:ascii="Arial" w:hAnsi="Arial" w:cs="Arial"/>
          <w:bCs/>
        </w:rPr>
        <w:t xml:space="preserve"> thuế chưa sử dụng</w:t>
      </w:r>
      <w:r w:rsidRPr="00010F83">
        <w:rPr>
          <w:rFonts w:ascii="Arial" w:hAnsi="Arial" w:cs="Arial"/>
          <w:bCs/>
        </w:rPr>
        <w:t xml:space="preserve">, việc trình bày </w:t>
      </w:r>
      <w:r w:rsidR="00731917" w:rsidRPr="00010F83">
        <w:rPr>
          <w:rFonts w:ascii="Arial" w:hAnsi="Arial" w:cs="Arial"/>
          <w:bCs/>
        </w:rPr>
        <w:t xml:space="preserve">thuế </w:t>
      </w:r>
      <w:r w:rsidR="0014711B" w:rsidRPr="00010F83">
        <w:rPr>
          <w:rFonts w:ascii="Arial" w:hAnsi="Arial" w:cs="Arial"/>
          <w:bCs/>
        </w:rPr>
        <w:t>thu nhập doanh nghiệp</w:t>
      </w:r>
      <w:r w:rsidR="008307CC" w:rsidRPr="00010F83">
        <w:rPr>
          <w:rFonts w:ascii="Arial" w:hAnsi="Arial" w:cs="Arial"/>
          <w:bCs/>
        </w:rPr>
        <w:t xml:space="preserve"> </w:t>
      </w:r>
      <w:r w:rsidRPr="00010F83">
        <w:rPr>
          <w:rFonts w:ascii="Arial" w:hAnsi="Arial" w:cs="Arial"/>
          <w:bCs/>
        </w:rPr>
        <w:t xml:space="preserve">trong báo cáo tài chính và việc thuyết minh các thông tin liên quan tới </w:t>
      </w:r>
      <w:r w:rsidR="00731917" w:rsidRPr="00010F83">
        <w:rPr>
          <w:rFonts w:ascii="Arial" w:hAnsi="Arial" w:cs="Arial"/>
          <w:bCs/>
        </w:rPr>
        <w:t xml:space="preserve">thuế </w:t>
      </w:r>
      <w:r w:rsidR="0014711B" w:rsidRPr="00010F83">
        <w:rPr>
          <w:rFonts w:ascii="Arial" w:hAnsi="Arial" w:cs="Arial"/>
          <w:bCs/>
        </w:rPr>
        <w:t>thu nhập doanh nghiệp</w:t>
      </w:r>
      <w:r w:rsidRPr="00010F83">
        <w:rPr>
          <w:rFonts w:ascii="Arial" w:hAnsi="Arial" w:cs="Arial"/>
          <w:bCs/>
        </w:rPr>
        <w:t>.</w:t>
      </w:r>
    </w:p>
    <w:p w:rsidR="000E2F99" w:rsidRPr="00010F83" w:rsidRDefault="000E2F99" w:rsidP="00590853">
      <w:pPr>
        <w:autoSpaceDE w:val="0"/>
        <w:autoSpaceDN w:val="0"/>
        <w:adjustRightInd w:val="0"/>
        <w:spacing w:after="120" w:line="240" w:lineRule="auto"/>
        <w:jc w:val="both"/>
        <w:rPr>
          <w:rFonts w:ascii="Arial" w:hAnsi="Arial" w:cs="Arial"/>
          <w:bCs/>
        </w:rPr>
      </w:pPr>
    </w:p>
    <w:p w:rsidR="000E2F99" w:rsidRPr="00010F83" w:rsidRDefault="00441881" w:rsidP="00590853">
      <w:pPr>
        <w:autoSpaceDE w:val="0"/>
        <w:autoSpaceDN w:val="0"/>
        <w:adjustRightInd w:val="0"/>
        <w:spacing w:after="120" w:line="240" w:lineRule="auto"/>
        <w:jc w:val="both"/>
        <w:rPr>
          <w:rFonts w:ascii="Arial" w:hAnsi="Arial" w:cs="Arial"/>
          <w:b/>
          <w:bCs/>
          <w:sz w:val="24"/>
          <w:szCs w:val="24"/>
        </w:rPr>
      </w:pPr>
      <w:r w:rsidRPr="00010F83">
        <w:rPr>
          <w:rFonts w:ascii="Arial" w:hAnsi="Arial" w:cs="Arial"/>
          <w:b/>
          <w:bCs/>
          <w:sz w:val="24"/>
          <w:szCs w:val="24"/>
        </w:rPr>
        <w:t xml:space="preserve">Phạm </w:t>
      </w:r>
      <w:proofErr w:type="gramStart"/>
      <w:r w:rsidRPr="00010F83">
        <w:rPr>
          <w:rFonts w:ascii="Arial" w:hAnsi="Arial" w:cs="Arial"/>
          <w:b/>
          <w:bCs/>
          <w:sz w:val="24"/>
          <w:szCs w:val="24"/>
        </w:rPr>
        <w:t>vi</w:t>
      </w:r>
      <w:proofErr w:type="gramEnd"/>
    </w:p>
    <w:p w:rsidR="000E2F99" w:rsidRPr="00010F83" w:rsidRDefault="007B64CF" w:rsidP="006442CE">
      <w:pPr>
        <w:autoSpaceDE w:val="0"/>
        <w:autoSpaceDN w:val="0"/>
        <w:adjustRightInd w:val="0"/>
        <w:spacing w:before="240" w:after="120" w:line="240" w:lineRule="auto"/>
        <w:jc w:val="both"/>
        <w:rPr>
          <w:rFonts w:ascii="Arial" w:hAnsi="Arial" w:cs="Arial"/>
          <w:b/>
          <w:bCs/>
        </w:rPr>
      </w:pPr>
      <w:r w:rsidRPr="00010F83">
        <w:rPr>
          <w:rFonts w:ascii="Arial" w:hAnsi="Arial" w:cs="Arial"/>
          <w:b/>
          <w:bCs/>
          <w:noProof/>
        </w:rPr>
        <w:pict>
          <v:line id="Straight Connector 4" o:spid="_x0000_s1040"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" strokecolor="black [3200]" strokeweight=".5pt">
            <v:stroke joinstyle="miter"/>
          </v:line>
        </w:pict>
      </w:r>
      <w:r w:rsidR="000E2F99" w:rsidRPr="00010F83">
        <w:rPr>
          <w:rFonts w:ascii="Arial" w:hAnsi="Arial" w:cs="Arial"/>
          <w:bCs/>
        </w:rPr>
        <w:t>1</w:t>
      </w:r>
      <w:r w:rsidR="000E2F99" w:rsidRPr="00010F83">
        <w:rPr>
          <w:rFonts w:ascii="Arial" w:hAnsi="Arial" w:cs="Arial"/>
          <w:bCs/>
        </w:rPr>
        <w:tab/>
      </w:r>
      <w:r w:rsidR="00B516D3" w:rsidRPr="00010F83">
        <w:rPr>
          <w:rFonts w:ascii="Arial" w:hAnsi="Arial" w:cs="Arial"/>
          <w:b/>
          <w:bCs/>
        </w:rPr>
        <w:t xml:space="preserve">Chuẩn mực này áp dụng </w:t>
      </w:r>
      <w:r w:rsidR="00AD2FEE" w:rsidRPr="00010F83">
        <w:rPr>
          <w:rFonts w:ascii="Arial" w:hAnsi="Arial" w:cs="Arial"/>
          <w:b/>
          <w:bCs/>
        </w:rPr>
        <w:t xml:space="preserve">cho việc </w:t>
      </w:r>
      <w:r w:rsidR="00583ECF" w:rsidRPr="00010F83">
        <w:rPr>
          <w:rFonts w:ascii="Arial" w:hAnsi="Arial" w:cs="Arial"/>
          <w:b/>
          <w:bCs/>
        </w:rPr>
        <w:t>Hạch toán K</w:t>
      </w:r>
      <w:r w:rsidR="00AD2FEE" w:rsidRPr="00010F83">
        <w:rPr>
          <w:rFonts w:ascii="Arial" w:hAnsi="Arial" w:cs="Arial"/>
          <w:b/>
          <w:bCs/>
        </w:rPr>
        <w:t xml:space="preserve">ế toán </w:t>
      </w:r>
      <w:r w:rsidR="00717F40" w:rsidRPr="00010F83">
        <w:rPr>
          <w:rFonts w:ascii="Arial" w:hAnsi="Arial" w:cs="Arial"/>
          <w:b/>
          <w:bCs/>
        </w:rPr>
        <w:t>t</w:t>
      </w:r>
      <w:r w:rsidR="00AD2FEE" w:rsidRPr="00010F83">
        <w:rPr>
          <w:rFonts w:ascii="Arial" w:hAnsi="Arial" w:cs="Arial"/>
          <w:b/>
          <w:bCs/>
        </w:rPr>
        <w:t xml:space="preserve">huế </w:t>
      </w:r>
      <w:proofErr w:type="gramStart"/>
      <w:r w:rsidR="00717F40" w:rsidRPr="00010F83">
        <w:rPr>
          <w:rFonts w:ascii="Arial" w:hAnsi="Arial" w:cs="Arial"/>
          <w:b/>
          <w:bCs/>
        </w:rPr>
        <w:t>t</w:t>
      </w:r>
      <w:r w:rsidR="00AD2FEE" w:rsidRPr="00010F83">
        <w:rPr>
          <w:rFonts w:ascii="Arial" w:hAnsi="Arial" w:cs="Arial"/>
          <w:b/>
          <w:bCs/>
        </w:rPr>
        <w:t>hu</w:t>
      </w:r>
      <w:proofErr w:type="gramEnd"/>
      <w:r w:rsidR="00AD2FEE" w:rsidRPr="00010F83">
        <w:rPr>
          <w:rFonts w:ascii="Arial" w:hAnsi="Arial" w:cs="Arial"/>
          <w:b/>
          <w:bCs/>
        </w:rPr>
        <w:t xml:space="preserve"> nhập </w:t>
      </w:r>
      <w:r w:rsidR="00717F40" w:rsidRPr="00010F83">
        <w:rPr>
          <w:rFonts w:ascii="Arial" w:hAnsi="Arial" w:cs="Arial"/>
          <w:b/>
          <w:bCs/>
        </w:rPr>
        <w:t>d</w:t>
      </w:r>
      <w:r w:rsidR="00AD2FEE" w:rsidRPr="00010F83">
        <w:rPr>
          <w:rFonts w:ascii="Arial" w:hAnsi="Arial" w:cs="Arial"/>
          <w:b/>
          <w:bCs/>
        </w:rPr>
        <w:t>oanh nghiệp</w:t>
      </w:r>
    </w:p>
    <w:p w:rsidR="000E2F99" w:rsidRPr="00010F83" w:rsidRDefault="000E2F99" w:rsidP="006442CE">
      <w:pPr>
        <w:autoSpaceDE w:val="0"/>
        <w:autoSpaceDN w:val="0"/>
        <w:adjustRightInd w:val="0"/>
        <w:spacing w:after="120" w:line="240" w:lineRule="auto"/>
        <w:ind w:left="720" w:hanging="720"/>
        <w:jc w:val="both"/>
        <w:rPr>
          <w:rFonts w:ascii="Arial" w:hAnsi="Arial" w:cs="Arial"/>
          <w:bCs/>
        </w:rPr>
      </w:pPr>
      <w:r w:rsidRPr="00010F83">
        <w:rPr>
          <w:rFonts w:ascii="Arial" w:hAnsi="Arial" w:cs="Arial"/>
          <w:bCs/>
        </w:rPr>
        <w:t>2</w:t>
      </w:r>
      <w:r w:rsidRPr="00010F83">
        <w:rPr>
          <w:rFonts w:ascii="Arial" w:hAnsi="Arial" w:cs="Arial"/>
          <w:bCs/>
        </w:rPr>
        <w:tab/>
      </w:r>
      <w:r w:rsidR="00B516D3" w:rsidRPr="00010F83">
        <w:rPr>
          <w:rFonts w:ascii="Arial" w:hAnsi="Arial" w:cs="Arial"/>
          <w:bCs/>
        </w:rPr>
        <w:t xml:space="preserve">Cho mục đích của chuẩn mực này, </w:t>
      </w:r>
      <w:r w:rsidR="00731917" w:rsidRPr="00010F83">
        <w:rPr>
          <w:rFonts w:ascii="Arial" w:hAnsi="Arial" w:cs="Arial"/>
          <w:bCs/>
        </w:rPr>
        <w:t xml:space="preserve">thuế </w:t>
      </w:r>
      <w:proofErr w:type="gramStart"/>
      <w:r w:rsidR="0014711B" w:rsidRPr="00010F83">
        <w:rPr>
          <w:rFonts w:ascii="Arial" w:hAnsi="Arial" w:cs="Arial"/>
          <w:bCs/>
        </w:rPr>
        <w:t>thu</w:t>
      </w:r>
      <w:proofErr w:type="gramEnd"/>
      <w:r w:rsidR="0014711B" w:rsidRPr="00010F83">
        <w:rPr>
          <w:rFonts w:ascii="Arial" w:hAnsi="Arial" w:cs="Arial"/>
          <w:bCs/>
        </w:rPr>
        <w:t xml:space="preserve"> nhập doanh nghiệp </w:t>
      </w:r>
      <w:r w:rsidR="00B516D3" w:rsidRPr="00010F83">
        <w:rPr>
          <w:rFonts w:ascii="Arial" w:hAnsi="Arial" w:cs="Arial"/>
          <w:bCs/>
        </w:rPr>
        <w:t xml:space="preserve">bao gồm tất cả thuế </w:t>
      </w:r>
      <w:r w:rsidR="0085482F" w:rsidRPr="00010F83">
        <w:rPr>
          <w:rFonts w:ascii="Arial" w:hAnsi="Arial" w:cs="Arial"/>
          <w:bCs/>
        </w:rPr>
        <w:t>trong</w:t>
      </w:r>
      <w:r w:rsidR="00B516D3" w:rsidRPr="00010F83">
        <w:rPr>
          <w:rFonts w:ascii="Arial" w:hAnsi="Arial" w:cs="Arial"/>
          <w:bCs/>
        </w:rPr>
        <w:t xml:space="preserve"> và ngoài</w:t>
      </w:r>
      <w:r w:rsidR="0085482F" w:rsidRPr="00010F83">
        <w:rPr>
          <w:rFonts w:ascii="Arial" w:hAnsi="Arial" w:cs="Arial"/>
          <w:bCs/>
        </w:rPr>
        <w:t xml:space="preserve"> nước</w:t>
      </w:r>
      <w:r w:rsidR="00B516D3" w:rsidRPr="00010F83">
        <w:rPr>
          <w:rFonts w:ascii="Arial" w:hAnsi="Arial" w:cs="Arial"/>
          <w:bCs/>
        </w:rPr>
        <w:t xml:space="preserve"> </w:t>
      </w:r>
      <w:r w:rsidR="00717F40" w:rsidRPr="00010F83">
        <w:rPr>
          <w:rFonts w:ascii="Arial" w:hAnsi="Arial" w:cs="Arial"/>
          <w:bCs/>
        </w:rPr>
        <w:t>áp dụng đối với</w:t>
      </w:r>
      <w:r w:rsidR="00B516D3" w:rsidRPr="00010F83">
        <w:rPr>
          <w:rFonts w:ascii="Arial" w:hAnsi="Arial" w:cs="Arial"/>
          <w:bCs/>
        </w:rPr>
        <w:t xml:space="preserve"> thu nhập chịu thuế. </w:t>
      </w:r>
      <w:r w:rsidR="00731917" w:rsidRPr="00010F83">
        <w:rPr>
          <w:rFonts w:ascii="Arial" w:hAnsi="Arial" w:cs="Arial"/>
          <w:bCs/>
        </w:rPr>
        <w:t xml:space="preserve">Thuế </w:t>
      </w:r>
      <w:r w:rsidR="0014711B" w:rsidRPr="00010F83">
        <w:rPr>
          <w:rFonts w:ascii="Arial" w:hAnsi="Arial" w:cs="Arial"/>
          <w:bCs/>
        </w:rPr>
        <w:t xml:space="preserve">thu nhập doanh nghiệp </w:t>
      </w:r>
      <w:r w:rsidR="00B516D3" w:rsidRPr="00010F83">
        <w:rPr>
          <w:rFonts w:ascii="Arial" w:hAnsi="Arial" w:cs="Arial"/>
          <w:bCs/>
        </w:rPr>
        <w:t xml:space="preserve">cũng bao gồm các loại thuế </w:t>
      </w:r>
      <w:r w:rsidR="00717F40" w:rsidRPr="00010F83">
        <w:rPr>
          <w:rFonts w:ascii="Arial" w:hAnsi="Arial" w:cs="Arial"/>
          <w:bCs/>
        </w:rPr>
        <w:t>phải trả</w:t>
      </w:r>
      <w:r w:rsidR="00B516D3" w:rsidRPr="00010F83">
        <w:rPr>
          <w:rFonts w:ascii="Arial" w:hAnsi="Arial" w:cs="Arial"/>
          <w:bCs/>
        </w:rPr>
        <w:t xml:space="preserve"> bởi các công ty con, công ty liên kết hoặc </w:t>
      </w:r>
      <w:r w:rsidR="0085482F" w:rsidRPr="00010F83">
        <w:rPr>
          <w:rFonts w:ascii="Arial" w:hAnsi="Arial" w:cs="Arial"/>
          <w:bCs/>
        </w:rPr>
        <w:t>liên doanh</w:t>
      </w:r>
      <w:r w:rsidR="00B516D3" w:rsidRPr="00010F83">
        <w:rPr>
          <w:rFonts w:ascii="Arial" w:hAnsi="Arial" w:cs="Arial"/>
          <w:bCs/>
        </w:rPr>
        <w:t xml:space="preserve"> tính trên các khoản phân phối lợi nhuận cho đơn vị báo cáo, ví dụ như </w:t>
      </w:r>
      <w:r w:rsidR="00717F40" w:rsidRPr="00010F83">
        <w:rPr>
          <w:rFonts w:ascii="Arial" w:hAnsi="Arial" w:cs="Arial"/>
          <w:bCs/>
        </w:rPr>
        <w:t xml:space="preserve">các khoản </w:t>
      </w:r>
      <w:r w:rsidR="00B516D3" w:rsidRPr="00010F83">
        <w:rPr>
          <w:rFonts w:ascii="Arial" w:hAnsi="Arial" w:cs="Arial"/>
          <w:bCs/>
        </w:rPr>
        <w:t>thuế</w:t>
      </w:r>
      <w:r w:rsidR="00717F40" w:rsidRPr="00010F83">
        <w:rPr>
          <w:rFonts w:ascii="Arial" w:hAnsi="Arial" w:cs="Arial"/>
          <w:bCs/>
        </w:rPr>
        <w:t xml:space="preserve"> khấu trừ tại nguồn (chẳng hạn thuế nhà thầu)</w:t>
      </w:r>
      <w:r w:rsidR="00B516D3" w:rsidRPr="00010F83">
        <w:rPr>
          <w:rFonts w:ascii="Arial" w:hAnsi="Arial" w:cs="Arial"/>
          <w:bCs/>
        </w:rPr>
        <w:t>.</w:t>
      </w:r>
    </w:p>
    <w:p w:rsidR="000E2F99" w:rsidRPr="00010F83" w:rsidRDefault="000E2F99" w:rsidP="00590853">
      <w:pPr>
        <w:autoSpaceDE w:val="0"/>
        <w:autoSpaceDN w:val="0"/>
        <w:adjustRightInd w:val="0"/>
        <w:spacing w:after="120" w:line="240" w:lineRule="auto"/>
        <w:jc w:val="both"/>
        <w:rPr>
          <w:rFonts w:ascii="Arial" w:hAnsi="Arial" w:cs="Arial"/>
          <w:bCs/>
        </w:rPr>
      </w:pPr>
      <w:r w:rsidRPr="00010F83">
        <w:rPr>
          <w:rFonts w:ascii="Arial" w:hAnsi="Arial" w:cs="Arial"/>
          <w:bCs/>
        </w:rPr>
        <w:t>3</w:t>
      </w:r>
      <w:r w:rsidRPr="00010F83">
        <w:rPr>
          <w:rFonts w:ascii="Arial" w:hAnsi="Arial" w:cs="Arial"/>
          <w:bCs/>
        </w:rPr>
        <w:tab/>
      </w:r>
      <w:r w:rsidR="0085482F" w:rsidRPr="00010F83">
        <w:rPr>
          <w:rFonts w:ascii="Arial" w:hAnsi="Arial" w:cs="Arial"/>
          <w:bCs/>
        </w:rPr>
        <w:t>[</w:t>
      </w:r>
      <w:r w:rsidR="0021590E" w:rsidRPr="00010F83">
        <w:rPr>
          <w:rFonts w:ascii="Arial" w:hAnsi="Arial" w:cs="Arial"/>
          <w:bCs/>
        </w:rPr>
        <w:t>Bỏ đoạn này</w:t>
      </w:r>
      <w:r w:rsidR="0085482F" w:rsidRPr="00010F83">
        <w:rPr>
          <w:rFonts w:ascii="Arial" w:hAnsi="Arial" w:cs="Arial"/>
          <w:bCs/>
        </w:rPr>
        <w:t>]</w:t>
      </w:r>
    </w:p>
    <w:p w:rsidR="006442CE" w:rsidRPr="00010F83" w:rsidRDefault="006442CE">
      <w:pPr>
        <w:rPr>
          <w:rFonts w:ascii="Arial" w:hAnsi="Arial" w:cs="Arial"/>
          <w:bCs/>
        </w:rPr>
      </w:pPr>
      <w:r w:rsidRPr="00010F83">
        <w:rPr>
          <w:rFonts w:ascii="Arial" w:hAnsi="Arial" w:cs="Arial"/>
          <w:bCs/>
        </w:rPr>
        <w:br w:type="page"/>
      </w:r>
    </w:p>
    <w:p w:rsidR="00F278D3" w:rsidRPr="00010F83" w:rsidRDefault="00F278D3" w:rsidP="006442CE">
      <w:pPr>
        <w:autoSpaceDE w:val="0"/>
        <w:autoSpaceDN w:val="0"/>
        <w:adjustRightInd w:val="0"/>
        <w:spacing w:after="120" w:line="240" w:lineRule="auto"/>
        <w:ind w:left="720" w:hanging="720"/>
        <w:jc w:val="both"/>
        <w:rPr>
          <w:rFonts w:ascii="Arial" w:hAnsi="Arial" w:cs="Arial"/>
          <w:bCs/>
        </w:rPr>
      </w:pPr>
      <w:r w:rsidRPr="00010F83">
        <w:rPr>
          <w:rFonts w:ascii="Arial" w:hAnsi="Arial" w:cs="Arial"/>
          <w:bCs/>
        </w:rPr>
        <w:lastRenderedPageBreak/>
        <w:t>4</w:t>
      </w:r>
      <w:r w:rsidRPr="00010F83">
        <w:rPr>
          <w:rFonts w:ascii="Arial" w:hAnsi="Arial" w:cs="Arial"/>
          <w:bCs/>
        </w:rPr>
        <w:tab/>
      </w:r>
      <w:r w:rsidR="00B516D3" w:rsidRPr="00010F83">
        <w:rPr>
          <w:rFonts w:ascii="Arial" w:hAnsi="Arial" w:cs="Arial"/>
          <w:bCs/>
        </w:rPr>
        <w:t xml:space="preserve">Chuẩn mực này không </w:t>
      </w:r>
      <w:r w:rsidR="00B52688" w:rsidRPr="00010F83">
        <w:rPr>
          <w:rFonts w:ascii="Arial" w:hAnsi="Arial" w:cs="Arial"/>
          <w:bCs/>
        </w:rPr>
        <w:t>hướng dẫn</w:t>
      </w:r>
      <w:r w:rsidR="00B516D3" w:rsidRPr="00010F83">
        <w:rPr>
          <w:rFonts w:ascii="Arial" w:hAnsi="Arial" w:cs="Arial"/>
          <w:bCs/>
        </w:rPr>
        <w:t xml:space="preserve"> phương pháp kế</w:t>
      </w:r>
      <w:r w:rsidR="00B52688" w:rsidRPr="00010F83">
        <w:rPr>
          <w:rFonts w:ascii="Arial" w:hAnsi="Arial" w:cs="Arial"/>
          <w:bCs/>
        </w:rPr>
        <w:t xml:space="preserve"> toán</w:t>
      </w:r>
      <w:r w:rsidR="00B516D3" w:rsidRPr="00010F83">
        <w:rPr>
          <w:rFonts w:ascii="Arial" w:hAnsi="Arial" w:cs="Arial"/>
          <w:bCs/>
        </w:rPr>
        <w:t xml:space="preserve"> các khoản trợ cấp của Chính phủ (xem IAS 20 </w:t>
      </w:r>
      <w:r w:rsidR="00717F40" w:rsidRPr="00010F83">
        <w:rPr>
          <w:rFonts w:ascii="Arial" w:hAnsi="Arial" w:cs="Arial"/>
          <w:bCs/>
          <w:i/>
        </w:rPr>
        <w:t xml:space="preserve">Kế toán các khoản trợ cấp của Chính phủ và công bố thông tin về sự hỗ trợ của Chính phủ </w:t>
      </w:r>
      <w:r w:rsidR="00B516D3" w:rsidRPr="00010F83">
        <w:rPr>
          <w:rFonts w:ascii="Arial" w:hAnsi="Arial" w:cs="Arial"/>
          <w:bCs/>
        </w:rPr>
        <w:t>và thuyết minh thông tin về các khoả</w:t>
      </w:r>
      <w:r w:rsidR="00B52688" w:rsidRPr="00010F83">
        <w:rPr>
          <w:rFonts w:ascii="Arial" w:hAnsi="Arial" w:cs="Arial"/>
          <w:bCs/>
        </w:rPr>
        <w:t>n</w:t>
      </w:r>
      <w:r w:rsidR="00B516D3" w:rsidRPr="00010F83">
        <w:rPr>
          <w:rFonts w:ascii="Arial" w:hAnsi="Arial" w:cs="Arial"/>
          <w:bCs/>
        </w:rPr>
        <w:t xml:space="preserve"> trợ</w:t>
      </w:r>
      <w:r w:rsidR="0014711B" w:rsidRPr="00010F83">
        <w:rPr>
          <w:rFonts w:ascii="Arial" w:hAnsi="Arial" w:cs="Arial"/>
          <w:bCs/>
        </w:rPr>
        <w:t xml:space="preserve"> </w:t>
      </w:r>
      <w:r w:rsidR="00B52688" w:rsidRPr="00010F83">
        <w:rPr>
          <w:rFonts w:ascii="Arial" w:hAnsi="Arial" w:cs="Arial"/>
          <w:bCs/>
        </w:rPr>
        <w:t xml:space="preserve">cấp </w:t>
      </w:r>
      <w:r w:rsidR="00B516D3" w:rsidRPr="00010F83">
        <w:rPr>
          <w:rFonts w:ascii="Arial" w:hAnsi="Arial" w:cs="Arial"/>
          <w:bCs/>
        </w:rPr>
        <w:t xml:space="preserve">của Chính phủ) hay ưu đãi thuế </w:t>
      </w:r>
      <w:r w:rsidR="00717F40" w:rsidRPr="00010F83">
        <w:rPr>
          <w:rFonts w:ascii="Arial" w:hAnsi="Arial" w:cs="Arial"/>
          <w:bCs/>
        </w:rPr>
        <w:t xml:space="preserve">đối với </w:t>
      </w:r>
      <w:r w:rsidR="00B516D3" w:rsidRPr="00010F83">
        <w:rPr>
          <w:rFonts w:ascii="Arial" w:hAnsi="Arial" w:cs="Arial"/>
          <w:bCs/>
        </w:rPr>
        <w:t xml:space="preserve">đầu tư. Tuy nhiên, </w:t>
      </w:r>
      <w:r w:rsidR="00717F40" w:rsidRPr="00010F83">
        <w:rPr>
          <w:rFonts w:ascii="Arial" w:hAnsi="Arial" w:cs="Arial"/>
          <w:bCs/>
        </w:rPr>
        <w:t>C</w:t>
      </w:r>
      <w:r w:rsidR="00B516D3" w:rsidRPr="00010F83">
        <w:rPr>
          <w:rFonts w:ascii="Arial" w:hAnsi="Arial" w:cs="Arial"/>
          <w:bCs/>
        </w:rPr>
        <w:t xml:space="preserve">huẩn mực này </w:t>
      </w:r>
      <w:r w:rsidR="00B52688" w:rsidRPr="00010F83">
        <w:rPr>
          <w:rFonts w:ascii="Arial" w:hAnsi="Arial" w:cs="Arial"/>
          <w:bCs/>
        </w:rPr>
        <w:t>hướng dẫn</w:t>
      </w:r>
      <w:r w:rsidR="00B516D3" w:rsidRPr="00010F83">
        <w:rPr>
          <w:rFonts w:ascii="Arial" w:hAnsi="Arial" w:cs="Arial"/>
          <w:bCs/>
        </w:rPr>
        <w:t xml:space="preserve"> </w:t>
      </w:r>
      <w:r w:rsidR="0022530F" w:rsidRPr="00010F83">
        <w:rPr>
          <w:rFonts w:ascii="Arial" w:hAnsi="Arial" w:cs="Arial"/>
          <w:bCs/>
        </w:rPr>
        <w:t xml:space="preserve">hạch toán </w:t>
      </w:r>
      <w:r w:rsidR="00B516D3" w:rsidRPr="00010F83">
        <w:rPr>
          <w:rFonts w:ascii="Arial" w:hAnsi="Arial" w:cs="Arial"/>
          <w:bCs/>
        </w:rPr>
        <w:t xml:space="preserve">kế toán </w:t>
      </w:r>
      <w:r w:rsidR="0022530F" w:rsidRPr="00010F83">
        <w:rPr>
          <w:rFonts w:ascii="Arial" w:hAnsi="Arial" w:cs="Arial"/>
          <w:bCs/>
        </w:rPr>
        <w:t xml:space="preserve">đối với </w:t>
      </w:r>
      <w:r w:rsidR="00B516D3" w:rsidRPr="00010F83">
        <w:rPr>
          <w:rFonts w:ascii="Arial" w:hAnsi="Arial" w:cs="Arial"/>
          <w:bCs/>
        </w:rPr>
        <w:t xml:space="preserve">các khoản chênh lệch tạm thời có thể phát sinh từ </w:t>
      </w:r>
      <w:r w:rsidR="00717F40" w:rsidRPr="00010F83">
        <w:rPr>
          <w:rFonts w:ascii="Arial" w:hAnsi="Arial" w:cs="Arial"/>
          <w:bCs/>
        </w:rPr>
        <w:t xml:space="preserve">các khoản trợ cấp của Chính phủ hoặc ưu đãi thuế đối với đầu </w:t>
      </w:r>
      <w:proofErr w:type="gramStart"/>
      <w:r w:rsidR="00717F40" w:rsidRPr="00010F83">
        <w:rPr>
          <w:rFonts w:ascii="Arial" w:hAnsi="Arial" w:cs="Arial"/>
          <w:bCs/>
        </w:rPr>
        <w:t>tư</w:t>
      </w:r>
      <w:proofErr w:type="gramEnd"/>
      <w:r w:rsidR="00B516D3" w:rsidRPr="00010F83">
        <w:rPr>
          <w:rFonts w:ascii="Arial" w:hAnsi="Arial" w:cs="Arial"/>
          <w:bCs/>
        </w:rPr>
        <w:t>.</w:t>
      </w:r>
    </w:p>
    <w:p w:rsidR="00F278D3" w:rsidRPr="00010F83" w:rsidRDefault="00441881" w:rsidP="00217728">
      <w:pPr>
        <w:autoSpaceDE w:val="0"/>
        <w:autoSpaceDN w:val="0"/>
        <w:adjustRightInd w:val="0"/>
        <w:spacing w:before="240" w:after="120" w:line="240" w:lineRule="auto"/>
        <w:jc w:val="both"/>
        <w:rPr>
          <w:rFonts w:ascii="Arial" w:hAnsi="Arial" w:cs="Arial"/>
          <w:b/>
          <w:bCs/>
          <w:sz w:val="24"/>
          <w:szCs w:val="24"/>
        </w:rPr>
      </w:pPr>
      <w:r w:rsidRPr="00010F83">
        <w:rPr>
          <w:rFonts w:ascii="Arial" w:hAnsi="Arial" w:cs="Arial"/>
          <w:b/>
          <w:bCs/>
          <w:sz w:val="24"/>
          <w:szCs w:val="24"/>
        </w:rPr>
        <w:t>Định nghĩa</w:t>
      </w:r>
    </w:p>
    <w:p w:rsidR="00F278D3" w:rsidRPr="00010F83" w:rsidRDefault="007B64CF" w:rsidP="006442CE">
      <w:pPr>
        <w:autoSpaceDE w:val="0"/>
        <w:autoSpaceDN w:val="0"/>
        <w:adjustRightInd w:val="0"/>
        <w:spacing w:before="240" w:after="120" w:line="240" w:lineRule="auto"/>
        <w:ind w:left="720" w:hanging="720"/>
        <w:jc w:val="both"/>
        <w:rPr>
          <w:rFonts w:ascii="Arial" w:hAnsi="Arial" w:cs="Arial"/>
          <w:b/>
          <w:bCs/>
        </w:rPr>
      </w:pPr>
      <w:r w:rsidRPr="00010F83">
        <w:rPr>
          <w:rFonts w:ascii="Arial" w:hAnsi="Arial" w:cs="Arial"/>
          <w:b/>
          <w:bCs/>
          <w:noProof/>
        </w:rPr>
        <w:pict>
          <v:line id="Straight Connector 5" o:spid="_x0000_s1039"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0,-.05pt" to="46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" strokecolor="black [3200]" strokeweight=".5pt">
            <v:stroke joinstyle="miter"/>
          </v:line>
        </w:pict>
      </w:r>
      <w:r w:rsidR="00F278D3" w:rsidRPr="00010F83">
        <w:rPr>
          <w:rFonts w:ascii="Arial" w:hAnsi="Arial" w:cs="Arial"/>
          <w:b/>
          <w:bCs/>
        </w:rPr>
        <w:t>5</w:t>
      </w:r>
      <w:r w:rsidR="00F278D3" w:rsidRPr="00010F83">
        <w:rPr>
          <w:rFonts w:ascii="Arial" w:hAnsi="Arial" w:cs="Arial"/>
          <w:bCs/>
        </w:rPr>
        <w:tab/>
      </w:r>
      <w:r w:rsidR="0022530F" w:rsidRPr="00010F83">
        <w:rPr>
          <w:rFonts w:ascii="Arial" w:hAnsi="Arial" w:cs="Arial"/>
          <w:b/>
          <w:bCs/>
        </w:rPr>
        <w:t>Các thuật ngữ bên dưới được sử dụng trong chuẩn mực này với ý nghĩa như sau:</w:t>
      </w:r>
    </w:p>
    <w:p w:rsidR="00F278D3" w:rsidRPr="00010F83" w:rsidRDefault="0022530F" w:rsidP="006442CE">
      <w:pPr>
        <w:autoSpaceDE w:val="0"/>
        <w:autoSpaceDN w:val="0"/>
        <w:adjustRightInd w:val="0"/>
        <w:spacing w:after="120" w:line="240" w:lineRule="auto"/>
        <w:ind w:left="720"/>
        <w:jc w:val="both"/>
        <w:rPr>
          <w:rFonts w:ascii="Arial" w:hAnsi="Arial" w:cs="Arial"/>
          <w:b/>
          <w:bCs/>
        </w:rPr>
      </w:pPr>
      <w:proofErr w:type="gramStart"/>
      <w:r w:rsidRPr="00010F83">
        <w:rPr>
          <w:rFonts w:ascii="Arial" w:hAnsi="Arial" w:cs="Arial"/>
          <w:b/>
          <w:bCs/>
          <w:i/>
        </w:rPr>
        <w:t>Lợi nhuận</w:t>
      </w:r>
      <w:r w:rsidR="00131340" w:rsidRPr="00010F83">
        <w:rPr>
          <w:rFonts w:ascii="Arial" w:hAnsi="Arial" w:cs="Arial"/>
          <w:b/>
          <w:bCs/>
          <w:i/>
        </w:rPr>
        <w:t>/lỗ</w:t>
      </w:r>
      <w:r w:rsidRPr="00010F83">
        <w:rPr>
          <w:rFonts w:ascii="Arial" w:hAnsi="Arial" w:cs="Arial"/>
          <w:b/>
          <w:bCs/>
          <w:i/>
        </w:rPr>
        <w:t xml:space="preserve"> kế toán</w:t>
      </w:r>
      <w:r w:rsidRPr="00010F83">
        <w:rPr>
          <w:rFonts w:ascii="Arial" w:hAnsi="Arial" w:cs="Arial"/>
          <w:b/>
          <w:bCs/>
        </w:rPr>
        <w:t xml:space="preserve"> là lãi hoặc lỗ trong kỳ trước khi trừ chi phí thuế.</w:t>
      </w:r>
      <w:proofErr w:type="gramEnd"/>
    </w:p>
    <w:p w:rsidR="00F278D3" w:rsidRPr="00010F83" w:rsidRDefault="0022530F" w:rsidP="006442CE">
      <w:pPr>
        <w:autoSpaceDE w:val="0"/>
        <w:autoSpaceDN w:val="0"/>
        <w:adjustRightInd w:val="0"/>
        <w:spacing w:after="120" w:line="240" w:lineRule="auto"/>
        <w:ind w:left="720"/>
        <w:jc w:val="both"/>
        <w:rPr>
          <w:rFonts w:ascii="Arial" w:hAnsi="Arial" w:cs="Arial"/>
          <w:b/>
          <w:bCs/>
        </w:rPr>
      </w:pPr>
      <w:r w:rsidRPr="00010F83">
        <w:rPr>
          <w:rFonts w:ascii="Arial" w:hAnsi="Arial" w:cs="Arial"/>
          <w:b/>
          <w:bCs/>
          <w:i/>
        </w:rPr>
        <w:t>Thu nhập</w:t>
      </w:r>
      <w:r w:rsidR="00F278D3" w:rsidRPr="00010F83">
        <w:rPr>
          <w:rFonts w:ascii="Arial" w:hAnsi="Arial" w:cs="Arial"/>
          <w:b/>
          <w:bCs/>
          <w:i/>
        </w:rPr>
        <w:t xml:space="preserve"> chịu thuế (lỗ </w:t>
      </w:r>
      <w:r w:rsidRPr="00010F83">
        <w:rPr>
          <w:rFonts w:ascii="Arial" w:hAnsi="Arial" w:cs="Arial"/>
          <w:b/>
          <w:bCs/>
          <w:i/>
        </w:rPr>
        <w:t xml:space="preserve">tính </w:t>
      </w:r>
      <w:r w:rsidR="00F278D3" w:rsidRPr="00010F83">
        <w:rPr>
          <w:rFonts w:ascii="Arial" w:hAnsi="Arial" w:cs="Arial"/>
          <w:b/>
          <w:bCs/>
          <w:i/>
        </w:rPr>
        <w:t>thuế)</w:t>
      </w:r>
      <w:r w:rsidR="00F278D3" w:rsidRPr="00010F83">
        <w:rPr>
          <w:rFonts w:ascii="Arial" w:hAnsi="Arial" w:cs="Arial"/>
          <w:b/>
          <w:bCs/>
        </w:rPr>
        <w:t xml:space="preserve"> là </w:t>
      </w:r>
      <w:r w:rsidRPr="00010F83">
        <w:rPr>
          <w:rFonts w:ascii="Arial" w:hAnsi="Arial" w:cs="Arial"/>
          <w:b/>
          <w:bCs/>
        </w:rPr>
        <w:t xml:space="preserve">lãi (lỗ) trong kỳ, được xác định </w:t>
      </w:r>
      <w:proofErr w:type="gramStart"/>
      <w:r w:rsidRPr="00010F83">
        <w:rPr>
          <w:rFonts w:ascii="Arial" w:hAnsi="Arial" w:cs="Arial"/>
          <w:b/>
          <w:bCs/>
        </w:rPr>
        <w:t>theo</w:t>
      </w:r>
      <w:proofErr w:type="gramEnd"/>
      <w:r w:rsidRPr="00010F83">
        <w:rPr>
          <w:rFonts w:ascii="Arial" w:hAnsi="Arial" w:cs="Arial"/>
          <w:b/>
          <w:bCs/>
        </w:rPr>
        <w:t xml:space="preserve"> quy định của cơ quan thuế và là cơ sở để tính </w:t>
      </w:r>
      <w:r w:rsidR="00731917" w:rsidRPr="00010F83">
        <w:rPr>
          <w:rFonts w:ascii="Arial" w:hAnsi="Arial" w:cs="Arial"/>
          <w:b/>
          <w:bCs/>
        </w:rPr>
        <w:t xml:space="preserve">thuế </w:t>
      </w:r>
      <w:r w:rsidR="0014711B" w:rsidRPr="00010F83">
        <w:rPr>
          <w:rFonts w:ascii="Arial" w:hAnsi="Arial" w:cs="Arial"/>
          <w:b/>
          <w:bCs/>
        </w:rPr>
        <w:t>thu nhập doanh nghiệp</w:t>
      </w:r>
      <w:r w:rsidRPr="00010F83">
        <w:rPr>
          <w:rFonts w:ascii="Arial" w:hAnsi="Arial" w:cs="Arial"/>
          <w:b/>
          <w:bCs/>
        </w:rPr>
        <w:t xml:space="preserve"> phải nộp (</w:t>
      </w:r>
      <w:r w:rsidR="00131340" w:rsidRPr="00010F83">
        <w:rPr>
          <w:rFonts w:ascii="Arial" w:hAnsi="Arial" w:cs="Arial"/>
          <w:b/>
          <w:bCs/>
        </w:rPr>
        <w:t xml:space="preserve">hoặc </w:t>
      </w:r>
      <w:r w:rsidRPr="00010F83">
        <w:rPr>
          <w:rFonts w:ascii="Arial" w:hAnsi="Arial" w:cs="Arial"/>
          <w:b/>
          <w:bCs/>
        </w:rPr>
        <w:t>được</w:t>
      </w:r>
      <w:r w:rsidR="00717F40" w:rsidRPr="00010F83">
        <w:rPr>
          <w:rFonts w:ascii="Arial" w:hAnsi="Arial" w:cs="Arial"/>
          <w:b/>
          <w:bCs/>
        </w:rPr>
        <w:t xml:space="preserve"> hoàn lại</w:t>
      </w:r>
      <w:r w:rsidRPr="00010F83">
        <w:rPr>
          <w:rFonts w:ascii="Arial" w:hAnsi="Arial" w:cs="Arial"/>
          <w:b/>
          <w:bCs/>
        </w:rPr>
        <w:t>).</w:t>
      </w:r>
      <w:r w:rsidR="00F278D3" w:rsidRPr="00010F83">
        <w:rPr>
          <w:rFonts w:ascii="Arial" w:hAnsi="Arial" w:cs="Arial"/>
          <w:b/>
          <w:bCs/>
        </w:rPr>
        <w:t xml:space="preserve"> </w:t>
      </w:r>
    </w:p>
    <w:p w:rsidR="00F278D3" w:rsidRPr="00010F83" w:rsidRDefault="0022530F" w:rsidP="006442CE">
      <w:pPr>
        <w:autoSpaceDE w:val="0"/>
        <w:autoSpaceDN w:val="0"/>
        <w:adjustRightInd w:val="0"/>
        <w:spacing w:after="120" w:line="240" w:lineRule="auto"/>
        <w:ind w:left="720"/>
        <w:jc w:val="both"/>
        <w:rPr>
          <w:rFonts w:ascii="Arial" w:hAnsi="Arial" w:cs="Arial"/>
          <w:b/>
          <w:bCs/>
        </w:rPr>
      </w:pPr>
      <w:r w:rsidRPr="00010F83">
        <w:rPr>
          <w:rFonts w:ascii="Arial" w:hAnsi="Arial" w:cs="Arial"/>
          <w:b/>
          <w:bCs/>
          <w:i/>
        </w:rPr>
        <w:t xml:space="preserve">Chi phí </w:t>
      </w:r>
      <w:r w:rsidR="00731917" w:rsidRPr="00010F83">
        <w:rPr>
          <w:rFonts w:ascii="Arial" w:hAnsi="Arial" w:cs="Arial"/>
          <w:b/>
          <w:bCs/>
          <w:i/>
        </w:rPr>
        <w:t xml:space="preserve">thuế </w:t>
      </w:r>
      <w:proofErr w:type="gramStart"/>
      <w:r w:rsidR="0014711B" w:rsidRPr="00010F83">
        <w:rPr>
          <w:rFonts w:ascii="Arial" w:hAnsi="Arial" w:cs="Arial"/>
          <w:b/>
          <w:bCs/>
          <w:i/>
        </w:rPr>
        <w:t>thu</w:t>
      </w:r>
      <w:proofErr w:type="gramEnd"/>
      <w:r w:rsidR="0014711B" w:rsidRPr="00010F83">
        <w:rPr>
          <w:rFonts w:ascii="Arial" w:hAnsi="Arial" w:cs="Arial"/>
          <w:b/>
          <w:bCs/>
          <w:i/>
        </w:rPr>
        <w:t xml:space="preserve"> nhập doanh nghiệp</w:t>
      </w:r>
      <w:r w:rsidR="004A6522" w:rsidRPr="00010F83">
        <w:rPr>
          <w:rFonts w:ascii="Arial" w:hAnsi="Arial" w:cs="Arial"/>
          <w:b/>
          <w:bCs/>
          <w:i/>
        </w:rPr>
        <w:t xml:space="preserve"> (</w:t>
      </w:r>
      <w:r w:rsidR="00717F40" w:rsidRPr="00010F83">
        <w:rPr>
          <w:rFonts w:ascii="Arial" w:hAnsi="Arial" w:cs="Arial"/>
          <w:b/>
          <w:bCs/>
          <w:i/>
        </w:rPr>
        <w:t xml:space="preserve">hoặc </w:t>
      </w:r>
      <w:r w:rsidR="004A6522" w:rsidRPr="00010F83">
        <w:rPr>
          <w:rFonts w:ascii="Arial" w:hAnsi="Arial" w:cs="Arial"/>
          <w:b/>
          <w:bCs/>
          <w:i/>
        </w:rPr>
        <w:t xml:space="preserve">thu nhập thuế </w:t>
      </w:r>
      <w:r w:rsidR="0014711B" w:rsidRPr="00010F83">
        <w:rPr>
          <w:rFonts w:ascii="Arial" w:hAnsi="Arial" w:cs="Arial"/>
          <w:b/>
          <w:bCs/>
          <w:i/>
        </w:rPr>
        <w:t>thu nhập doanh nghiệp</w:t>
      </w:r>
      <w:r w:rsidR="004A6522" w:rsidRPr="00010F83">
        <w:rPr>
          <w:rFonts w:ascii="Arial" w:hAnsi="Arial" w:cs="Arial"/>
          <w:b/>
          <w:bCs/>
          <w:i/>
        </w:rPr>
        <w:t>)</w:t>
      </w:r>
      <w:r w:rsidRPr="00010F83">
        <w:rPr>
          <w:rFonts w:ascii="Arial" w:hAnsi="Arial" w:cs="Arial"/>
          <w:b/>
          <w:bCs/>
          <w:i/>
        </w:rPr>
        <w:t xml:space="preserve"> </w:t>
      </w:r>
      <w:r w:rsidRPr="00010F83">
        <w:rPr>
          <w:rFonts w:ascii="Arial" w:hAnsi="Arial" w:cs="Arial"/>
          <w:b/>
          <w:bCs/>
        </w:rPr>
        <w:t xml:space="preserve">là tổng </w:t>
      </w:r>
      <w:r w:rsidR="00717F40" w:rsidRPr="00010F83">
        <w:rPr>
          <w:rFonts w:ascii="Arial" w:hAnsi="Arial" w:cs="Arial"/>
          <w:b/>
          <w:bCs/>
        </w:rPr>
        <w:t>chi phí</w:t>
      </w:r>
      <w:r w:rsidRPr="00010F83">
        <w:rPr>
          <w:rFonts w:ascii="Arial" w:hAnsi="Arial" w:cs="Arial"/>
          <w:b/>
          <w:bCs/>
        </w:rPr>
        <w:t xml:space="preserve"> </w:t>
      </w:r>
      <w:r w:rsidR="00731917" w:rsidRPr="00010F83">
        <w:rPr>
          <w:rFonts w:ascii="Arial" w:hAnsi="Arial" w:cs="Arial"/>
          <w:b/>
          <w:bCs/>
        </w:rPr>
        <w:t xml:space="preserve">thuế </w:t>
      </w:r>
      <w:r w:rsidR="0014711B" w:rsidRPr="00010F83">
        <w:rPr>
          <w:rFonts w:ascii="Arial" w:hAnsi="Arial" w:cs="Arial"/>
          <w:b/>
          <w:bCs/>
        </w:rPr>
        <w:t>thu nhập doanh nghiệp</w:t>
      </w:r>
      <w:r w:rsidRPr="00010F83">
        <w:rPr>
          <w:rFonts w:ascii="Arial" w:hAnsi="Arial" w:cs="Arial"/>
          <w:b/>
          <w:bCs/>
        </w:rPr>
        <w:t xml:space="preserve"> hiện hành và </w:t>
      </w:r>
      <w:r w:rsidR="00717F40" w:rsidRPr="00010F83">
        <w:rPr>
          <w:rFonts w:ascii="Arial" w:hAnsi="Arial" w:cs="Arial"/>
          <w:b/>
          <w:bCs/>
        </w:rPr>
        <w:t xml:space="preserve">chi phí </w:t>
      </w:r>
      <w:r w:rsidR="00731917" w:rsidRPr="00010F83">
        <w:rPr>
          <w:rFonts w:ascii="Arial" w:hAnsi="Arial" w:cs="Arial"/>
          <w:b/>
          <w:bCs/>
        </w:rPr>
        <w:t xml:space="preserve">thuế </w:t>
      </w:r>
      <w:r w:rsidR="0014711B" w:rsidRPr="00010F83">
        <w:rPr>
          <w:rFonts w:ascii="Arial" w:hAnsi="Arial" w:cs="Arial"/>
          <w:b/>
          <w:bCs/>
        </w:rPr>
        <w:t>thu nhập doanh nghiệp</w:t>
      </w:r>
      <w:r w:rsidRPr="00010F83">
        <w:rPr>
          <w:rFonts w:ascii="Arial" w:hAnsi="Arial" w:cs="Arial"/>
          <w:b/>
          <w:bCs/>
        </w:rPr>
        <w:t xml:space="preserve"> hoãn lạ</w:t>
      </w:r>
      <w:r w:rsidR="00131340" w:rsidRPr="00010F83">
        <w:rPr>
          <w:rFonts w:ascii="Arial" w:hAnsi="Arial" w:cs="Arial"/>
          <w:b/>
          <w:bCs/>
        </w:rPr>
        <w:t>i</w:t>
      </w:r>
      <w:r w:rsidRPr="00010F83">
        <w:rPr>
          <w:rFonts w:ascii="Arial" w:hAnsi="Arial" w:cs="Arial"/>
          <w:b/>
          <w:bCs/>
        </w:rPr>
        <w:t xml:space="preserve"> khi xác định </w:t>
      </w:r>
      <w:r w:rsidR="00717F40" w:rsidRPr="00010F83">
        <w:rPr>
          <w:rFonts w:ascii="Arial" w:hAnsi="Arial" w:cs="Arial"/>
          <w:b/>
          <w:bCs/>
        </w:rPr>
        <w:t>lợi nhuận</w:t>
      </w:r>
      <w:r w:rsidRPr="00010F83">
        <w:rPr>
          <w:rFonts w:ascii="Arial" w:hAnsi="Arial" w:cs="Arial"/>
          <w:b/>
          <w:bCs/>
        </w:rPr>
        <w:t xml:space="preserve"> hoặc lỗ trong kỳ.</w:t>
      </w:r>
    </w:p>
    <w:p w:rsidR="00F278D3" w:rsidRPr="00010F83" w:rsidRDefault="00731917" w:rsidP="006442CE">
      <w:pPr>
        <w:autoSpaceDE w:val="0"/>
        <w:autoSpaceDN w:val="0"/>
        <w:adjustRightInd w:val="0"/>
        <w:spacing w:after="120" w:line="240" w:lineRule="auto"/>
        <w:ind w:left="720"/>
        <w:jc w:val="both"/>
        <w:rPr>
          <w:rFonts w:ascii="Arial" w:hAnsi="Arial" w:cs="Arial"/>
          <w:b/>
          <w:bCs/>
        </w:rPr>
      </w:pPr>
      <w:r w:rsidRPr="00010F83">
        <w:rPr>
          <w:rFonts w:ascii="Arial" w:hAnsi="Arial" w:cs="Arial"/>
          <w:b/>
          <w:bCs/>
          <w:i/>
        </w:rPr>
        <w:t xml:space="preserve">Thuế </w:t>
      </w:r>
      <w:r w:rsidR="00C9413A" w:rsidRPr="00010F83">
        <w:rPr>
          <w:rFonts w:ascii="Arial" w:hAnsi="Arial" w:cs="Arial"/>
          <w:b/>
          <w:bCs/>
          <w:i/>
        </w:rPr>
        <w:t xml:space="preserve">thu nhập doanh nghiệp </w:t>
      </w:r>
      <w:r w:rsidR="0022530F" w:rsidRPr="00010F83">
        <w:rPr>
          <w:rFonts w:ascii="Arial" w:hAnsi="Arial" w:cs="Arial"/>
          <w:b/>
          <w:bCs/>
          <w:i/>
        </w:rPr>
        <w:t xml:space="preserve">hiện </w:t>
      </w:r>
      <w:proofErr w:type="gramStart"/>
      <w:r w:rsidR="0022530F" w:rsidRPr="00010F83">
        <w:rPr>
          <w:rFonts w:ascii="Arial" w:hAnsi="Arial" w:cs="Arial"/>
          <w:b/>
          <w:bCs/>
          <w:i/>
        </w:rPr>
        <w:t>hành</w:t>
      </w:r>
      <w:r w:rsidR="004A6522" w:rsidRPr="00010F83">
        <w:rPr>
          <w:rFonts w:ascii="Arial" w:hAnsi="Arial" w:cs="Arial"/>
          <w:b/>
          <w:bCs/>
          <w:i/>
        </w:rPr>
        <w:t xml:space="preserve"> </w:t>
      </w:r>
      <w:r w:rsidR="0022530F" w:rsidRPr="00010F83">
        <w:rPr>
          <w:rFonts w:ascii="Arial" w:hAnsi="Arial" w:cs="Arial"/>
          <w:b/>
          <w:bCs/>
        </w:rPr>
        <w:t xml:space="preserve"> là</w:t>
      </w:r>
      <w:proofErr w:type="gramEnd"/>
      <w:r w:rsidR="0022530F" w:rsidRPr="00010F83">
        <w:rPr>
          <w:rFonts w:ascii="Arial" w:hAnsi="Arial" w:cs="Arial"/>
          <w:b/>
          <w:bCs/>
        </w:rPr>
        <w:t xml:space="preserve"> số </w:t>
      </w:r>
      <w:r w:rsidRPr="00010F83">
        <w:rPr>
          <w:rFonts w:ascii="Arial" w:hAnsi="Arial" w:cs="Arial"/>
          <w:b/>
          <w:bCs/>
        </w:rPr>
        <w:t xml:space="preserve">thuế </w:t>
      </w:r>
      <w:r w:rsidR="0014711B" w:rsidRPr="00010F83">
        <w:rPr>
          <w:rFonts w:ascii="Arial" w:hAnsi="Arial" w:cs="Arial"/>
          <w:b/>
          <w:bCs/>
        </w:rPr>
        <w:t>thu nhập doanh nghiệp</w:t>
      </w:r>
      <w:r w:rsidR="0022530F" w:rsidRPr="00010F83">
        <w:rPr>
          <w:rFonts w:ascii="Arial" w:hAnsi="Arial" w:cs="Arial"/>
          <w:b/>
          <w:bCs/>
        </w:rPr>
        <w:t xml:space="preserve"> phải nộp (</w:t>
      </w:r>
      <w:r w:rsidR="00131340" w:rsidRPr="00010F83">
        <w:rPr>
          <w:rFonts w:ascii="Arial" w:hAnsi="Arial" w:cs="Arial"/>
          <w:b/>
          <w:bCs/>
        </w:rPr>
        <w:t xml:space="preserve">hoặc </w:t>
      </w:r>
      <w:r w:rsidR="0022530F" w:rsidRPr="00010F83">
        <w:rPr>
          <w:rFonts w:ascii="Arial" w:hAnsi="Arial" w:cs="Arial"/>
          <w:b/>
          <w:bCs/>
        </w:rPr>
        <w:t>thu hồi được) tính trên thu nhập chịu thuế (lỗ tính thuế) của một kỳ.</w:t>
      </w:r>
    </w:p>
    <w:p w:rsidR="00F278D3" w:rsidRPr="00010F83" w:rsidRDefault="00731917" w:rsidP="006442CE">
      <w:pPr>
        <w:autoSpaceDE w:val="0"/>
        <w:autoSpaceDN w:val="0"/>
        <w:adjustRightInd w:val="0"/>
        <w:spacing w:after="120" w:line="240" w:lineRule="auto"/>
        <w:ind w:left="720"/>
        <w:jc w:val="both"/>
        <w:rPr>
          <w:rFonts w:ascii="Arial" w:hAnsi="Arial" w:cs="Arial"/>
          <w:b/>
          <w:bCs/>
        </w:rPr>
      </w:pPr>
      <w:r w:rsidRPr="00010F83">
        <w:rPr>
          <w:rFonts w:ascii="Arial" w:hAnsi="Arial" w:cs="Arial"/>
          <w:b/>
          <w:bCs/>
          <w:i/>
        </w:rPr>
        <w:t xml:space="preserve">Thuế </w:t>
      </w:r>
      <w:proofErr w:type="gramStart"/>
      <w:r w:rsidR="0014711B" w:rsidRPr="00010F83">
        <w:rPr>
          <w:rFonts w:ascii="Arial" w:hAnsi="Arial" w:cs="Arial"/>
          <w:b/>
          <w:bCs/>
          <w:i/>
        </w:rPr>
        <w:t>thu</w:t>
      </w:r>
      <w:proofErr w:type="gramEnd"/>
      <w:r w:rsidR="0014711B" w:rsidRPr="00010F83">
        <w:rPr>
          <w:rFonts w:ascii="Arial" w:hAnsi="Arial" w:cs="Arial"/>
          <w:b/>
          <w:bCs/>
          <w:i/>
        </w:rPr>
        <w:t xml:space="preserve"> nhập doanh nghiệp</w:t>
      </w:r>
      <w:r w:rsidR="0022530F" w:rsidRPr="00010F83">
        <w:rPr>
          <w:rFonts w:ascii="Arial" w:hAnsi="Arial" w:cs="Arial"/>
          <w:b/>
          <w:bCs/>
          <w:i/>
        </w:rPr>
        <w:t xml:space="preserve"> hoãn lại phải trả</w:t>
      </w:r>
      <w:r w:rsidR="004A6522" w:rsidRPr="00010F83">
        <w:rPr>
          <w:rFonts w:ascii="Arial" w:hAnsi="Arial" w:cs="Arial"/>
          <w:b/>
          <w:bCs/>
          <w:i/>
        </w:rPr>
        <w:t xml:space="preserve"> </w:t>
      </w:r>
      <w:r w:rsidR="0022530F" w:rsidRPr="00010F83">
        <w:rPr>
          <w:rFonts w:ascii="Arial" w:hAnsi="Arial" w:cs="Arial"/>
          <w:b/>
          <w:bCs/>
        </w:rPr>
        <w:t xml:space="preserve">là số </w:t>
      </w:r>
      <w:r w:rsidRPr="00010F83">
        <w:rPr>
          <w:rFonts w:ascii="Arial" w:hAnsi="Arial" w:cs="Arial"/>
          <w:b/>
          <w:bCs/>
        </w:rPr>
        <w:t xml:space="preserve">thuế </w:t>
      </w:r>
      <w:r w:rsidR="00217728" w:rsidRPr="00010F83">
        <w:rPr>
          <w:rFonts w:ascii="Arial" w:hAnsi="Arial" w:cs="Arial"/>
          <w:b/>
          <w:bCs/>
        </w:rPr>
        <w:t>thu nhập doanh nghiệp</w:t>
      </w:r>
      <w:r w:rsidR="0022530F" w:rsidRPr="00010F83">
        <w:rPr>
          <w:rFonts w:ascii="Arial" w:hAnsi="Arial" w:cs="Arial"/>
          <w:b/>
          <w:bCs/>
        </w:rPr>
        <w:t xml:space="preserve"> </w:t>
      </w:r>
      <w:r w:rsidR="00C7506F" w:rsidRPr="00010F83">
        <w:rPr>
          <w:rFonts w:ascii="Arial" w:hAnsi="Arial" w:cs="Arial"/>
          <w:b/>
          <w:bCs/>
        </w:rPr>
        <w:t xml:space="preserve">sẽ </w:t>
      </w:r>
      <w:r w:rsidR="0022530F" w:rsidRPr="00010F83">
        <w:rPr>
          <w:rFonts w:ascii="Arial" w:hAnsi="Arial" w:cs="Arial"/>
          <w:b/>
          <w:bCs/>
        </w:rPr>
        <w:t xml:space="preserve">phải nộp trong các kỳ tương lai </w:t>
      </w:r>
      <w:r w:rsidR="00C7506F" w:rsidRPr="00010F83">
        <w:rPr>
          <w:rFonts w:ascii="Arial" w:hAnsi="Arial" w:cs="Arial"/>
          <w:b/>
          <w:bCs/>
        </w:rPr>
        <w:t>tính trên các khoản</w:t>
      </w:r>
      <w:r w:rsidR="0022530F" w:rsidRPr="00010F83">
        <w:rPr>
          <w:rFonts w:ascii="Arial" w:hAnsi="Arial" w:cs="Arial"/>
          <w:b/>
          <w:bCs/>
        </w:rPr>
        <w:t xml:space="preserve"> chênh lệch tạm thời chịu thuế</w:t>
      </w:r>
      <w:r w:rsidR="00C7506F" w:rsidRPr="00010F83">
        <w:rPr>
          <w:rFonts w:ascii="Arial" w:hAnsi="Arial" w:cs="Arial"/>
          <w:b/>
          <w:bCs/>
        </w:rPr>
        <w:t xml:space="preserve"> thu nhập doanh nghiệp</w:t>
      </w:r>
      <w:r w:rsidR="0022530F" w:rsidRPr="00010F83">
        <w:rPr>
          <w:rFonts w:ascii="Arial" w:hAnsi="Arial" w:cs="Arial"/>
          <w:b/>
          <w:bCs/>
        </w:rPr>
        <w:t>.</w:t>
      </w:r>
    </w:p>
    <w:p w:rsidR="00F278D3" w:rsidRPr="00010F83" w:rsidRDefault="0022530F" w:rsidP="006442CE">
      <w:pPr>
        <w:autoSpaceDE w:val="0"/>
        <w:autoSpaceDN w:val="0"/>
        <w:adjustRightInd w:val="0"/>
        <w:spacing w:after="120" w:line="240" w:lineRule="auto"/>
        <w:ind w:left="720"/>
        <w:jc w:val="both"/>
        <w:rPr>
          <w:rFonts w:ascii="Arial" w:hAnsi="Arial" w:cs="Arial"/>
          <w:b/>
          <w:bCs/>
        </w:rPr>
      </w:pPr>
      <w:r w:rsidRPr="00010F83">
        <w:rPr>
          <w:rFonts w:ascii="Arial" w:hAnsi="Arial" w:cs="Arial"/>
          <w:b/>
          <w:bCs/>
          <w:i/>
        </w:rPr>
        <w:t xml:space="preserve">Tài sản </w:t>
      </w:r>
      <w:r w:rsidR="00731917" w:rsidRPr="00010F83">
        <w:rPr>
          <w:rFonts w:ascii="Arial" w:hAnsi="Arial" w:cs="Arial"/>
          <w:b/>
          <w:bCs/>
          <w:i/>
        </w:rPr>
        <w:t xml:space="preserve">thuế </w:t>
      </w:r>
      <w:r w:rsidR="00217728" w:rsidRPr="00010F83">
        <w:rPr>
          <w:rFonts w:ascii="Arial" w:hAnsi="Arial" w:cs="Arial"/>
          <w:b/>
          <w:bCs/>
          <w:i/>
        </w:rPr>
        <w:t>thu nhập doanh nghiệp</w:t>
      </w:r>
      <w:r w:rsidRPr="00010F83">
        <w:rPr>
          <w:rFonts w:ascii="Arial" w:hAnsi="Arial" w:cs="Arial"/>
          <w:b/>
          <w:bCs/>
          <w:i/>
        </w:rPr>
        <w:t xml:space="preserve"> hoãn </w:t>
      </w:r>
      <w:proofErr w:type="gramStart"/>
      <w:r w:rsidRPr="00010F83">
        <w:rPr>
          <w:rFonts w:ascii="Arial" w:hAnsi="Arial" w:cs="Arial"/>
          <w:b/>
          <w:bCs/>
          <w:i/>
        </w:rPr>
        <w:t>lại</w:t>
      </w:r>
      <w:r w:rsidR="004A6522" w:rsidRPr="00010F83">
        <w:rPr>
          <w:rFonts w:ascii="Arial" w:hAnsi="Arial" w:cs="Arial"/>
          <w:b/>
          <w:bCs/>
          <w:i/>
        </w:rPr>
        <w:t xml:space="preserve"> </w:t>
      </w:r>
      <w:r w:rsidRPr="00010F83">
        <w:rPr>
          <w:rFonts w:ascii="Arial" w:hAnsi="Arial" w:cs="Arial"/>
          <w:b/>
          <w:bCs/>
        </w:rPr>
        <w:t xml:space="preserve"> là</w:t>
      </w:r>
      <w:proofErr w:type="gramEnd"/>
      <w:r w:rsidRPr="00010F83">
        <w:rPr>
          <w:rFonts w:ascii="Arial" w:hAnsi="Arial" w:cs="Arial"/>
          <w:b/>
          <w:bCs/>
        </w:rPr>
        <w:t xml:space="preserve"> số </w:t>
      </w:r>
      <w:r w:rsidR="00731917" w:rsidRPr="00010F83">
        <w:rPr>
          <w:rFonts w:ascii="Arial" w:hAnsi="Arial" w:cs="Arial"/>
          <w:b/>
          <w:bCs/>
        </w:rPr>
        <w:t xml:space="preserve">thuế </w:t>
      </w:r>
      <w:r w:rsidR="00217728" w:rsidRPr="00010F83">
        <w:rPr>
          <w:rFonts w:ascii="Arial" w:hAnsi="Arial" w:cs="Arial"/>
          <w:b/>
          <w:bCs/>
        </w:rPr>
        <w:t>thu nhập doanh nghiệp</w:t>
      </w:r>
      <w:r w:rsidRPr="00010F83">
        <w:rPr>
          <w:rFonts w:ascii="Arial" w:hAnsi="Arial" w:cs="Arial"/>
          <w:b/>
          <w:bCs/>
        </w:rPr>
        <w:t xml:space="preserve"> có thể thu hồi được trong các kỳ tương lai </w:t>
      </w:r>
      <w:r w:rsidR="00C7506F" w:rsidRPr="00010F83">
        <w:rPr>
          <w:rFonts w:ascii="Arial" w:hAnsi="Arial" w:cs="Arial"/>
          <w:b/>
          <w:bCs/>
        </w:rPr>
        <w:t>tính trên các khoản</w:t>
      </w:r>
      <w:r w:rsidRPr="00010F83">
        <w:rPr>
          <w:rFonts w:ascii="Arial" w:hAnsi="Arial" w:cs="Arial"/>
          <w:b/>
          <w:bCs/>
        </w:rPr>
        <w:t>:</w:t>
      </w:r>
    </w:p>
    <w:p w:rsidR="0021590E" w:rsidRPr="00010F83" w:rsidRDefault="0022530F" w:rsidP="006442CE">
      <w:pPr>
        <w:pStyle w:val="ListParagraph"/>
        <w:numPr>
          <w:ilvl w:val="0"/>
          <w:numId w:val="6"/>
        </w:numPr>
        <w:autoSpaceDE w:val="0"/>
        <w:autoSpaceDN w:val="0"/>
        <w:adjustRightInd w:val="0"/>
        <w:spacing w:after="120"/>
        <w:ind w:firstLine="0"/>
        <w:jc w:val="both"/>
        <w:rPr>
          <w:rFonts w:ascii="Arial" w:hAnsi="Arial" w:cs="Arial"/>
          <w:b/>
          <w:bCs/>
          <w:sz w:val="22"/>
          <w:szCs w:val="22"/>
        </w:rPr>
      </w:pPr>
      <w:r w:rsidRPr="00010F83">
        <w:rPr>
          <w:rFonts w:ascii="Arial" w:hAnsi="Arial" w:cs="Arial"/>
          <w:b/>
          <w:bCs/>
          <w:sz w:val="22"/>
          <w:szCs w:val="22"/>
        </w:rPr>
        <w:t>chênh lệch tạm thời được khấu trừ;</w:t>
      </w:r>
    </w:p>
    <w:p w:rsidR="0021590E" w:rsidRPr="00010F83" w:rsidRDefault="00723FF3" w:rsidP="006442CE">
      <w:pPr>
        <w:pStyle w:val="ListParagraph"/>
        <w:numPr>
          <w:ilvl w:val="0"/>
          <w:numId w:val="6"/>
        </w:numPr>
        <w:autoSpaceDE w:val="0"/>
        <w:autoSpaceDN w:val="0"/>
        <w:adjustRightInd w:val="0"/>
        <w:spacing w:after="120"/>
        <w:ind w:firstLine="0"/>
        <w:jc w:val="both"/>
        <w:rPr>
          <w:rFonts w:ascii="Arial" w:hAnsi="Arial" w:cs="Arial"/>
          <w:b/>
          <w:bCs/>
          <w:sz w:val="22"/>
          <w:szCs w:val="22"/>
        </w:rPr>
      </w:pPr>
      <w:r w:rsidRPr="00010F83">
        <w:rPr>
          <w:rFonts w:ascii="Arial" w:hAnsi="Arial" w:cs="Arial"/>
          <w:b/>
          <w:bCs/>
          <w:sz w:val="22"/>
          <w:szCs w:val="22"/>
        </w:rPr>
        <w:t>lỗ tính thuế chưa sử dụng</w:t>
      </w:r>
      <w:r w:rsidR="00C7506F" w:rsidRPr="00010F83">
        <w:rPr>
          <w:rFonts w:ascii="Arial" w:hAnsi="Arial" w:cs="Arial"/>
          <w:b/>
          <w:bCs/>
          <w:sz w:val="22"/>
          <w:szCs w:val="22"/>
        </w:rPr>
        <w:t xml:space="preserve"> (chưa chuyển hết) được chuyển qua các kỳ sau </w:t>
      </w:r>
      <w:r w:rsidRPr="00010F83">
        <w:rPr>
          <w:rFonts w:ascii="Arial" w:hAnsi="Arial" w:cs="Arial"/>
          <w:b/>
          <w:bCs/>
          <w:sz w:val="22"/>
          <w:szCs w:val="22"/>
        </w:rPr>
        <w:t>; và</w:t>
      </w:r>
    </w:p>
    <w:p w:rsidR="00F278D3" w:rsidRPr="00010F83" w:rsidRDefault="00C7506F" w:rsidP="006442CE">
      <w:pPr>
        <w:pStyle w:val="ListParagraph"/>
        <w:numPr>
          <w:ilvl w:val="0"/>
          <w:numId w:val="6"/>
        </w:numPr>
        <w:autoSpaceDE w:val="0"/>
        <w:autoSpaceDN w:val="0"/>
        <w:adjustRightInd w:val="0"/>
        <w:spacing w:after="120"/>
        <w:ind w:firstLine="0"/>
        <w:jc w:val="both"/>
        <w:rPr>
          <w:rFonts w:ascii="Arial" w:hAnsi="Arial" w:cs="Arial"/>
          <w:b/>
          <w:bCs/>
          <w:sz w:val="22"/>
          <w:szCs w:val="22"/>
        </w:rPr>
      </w:pPr>
      <w:proofErr w:type="gramStart"/>
      <w:r w:rsidRPr="00010F83">
        <w:rPr>
          <w:rFonts w:ascii="Arial" w:hAnsi="Arial" w:cs="Arial"/>
          <w:b/>
          <w:bCs/>
          <w:sz w:val="22"/>
          <w:szCs w:val="22"/>
        </w:rPr>
        <w:t>khấu</w:t>
      </w:r>
      <w:proofErr w:type="gramEnd"/>
      <w:r w:rsidRPr="00010F83">
        <w:rPr>
          <w:rFonts w:ascii="Arial" w:hAnsi="Arial" w:cs="Arial"/>
          <w:b/>
          <w:bCs/>
          <w:sz w:val="22"/>
          <w:szCs w:val="22"/>
        </w:rPr>
        <w:t xml:space="preserve"> trừ</w:t>
      </w:r>
      <w:r w:rsidR="00723FF3" w:rsidRPr="00010F83">
        <w:rPr>
          <w:rFonts w:ascii="Arial" w:hAnsi="Arial" w:cs="Arial"/>
          <w:b/>
          <w:bCs/>
          <w:sz w:val="22"/>
          <w:szCs w:val="22"/>
        </w:rPr>
        <w:t xml:space="preserve"> thuế chưa sử dụng</w:t>
      </w:r>
      <w:r w:rsidRPr="00010F83">
        <w:rPr>
          <w:rFonts w:ascii="Arial" w:hAnsi="Arial" w:cs="Arial"/>
          <w:b/>
          <w:bCs/>
          <w:sz w:val="22"/>
          <w:szCs w:val="22"/>
        </w:rPr>
        <w:t xml:space="preserve"> hết được chuyển qua các kỳ sau </w:t>
      </w:r>
      <w:r w:rsidR="00723FF3" w:rsidRPr="00010F83">
        <w:rPr>
          <w:rFonts w:ascii="Arial" w:hAnsi="Arial" w:cs="Arial"/>
          <w:b/>
          <w:bCs/>
          <w:sz w:val="22"/>
          <w:szCs w:val="22"/>
        </w:rPr>
        <w:t>.</w:t>
      </w:r>
    </w:p>
    <w:p w:rsidR="00F278D3" w:rsidRPr="00010F83" w:rsidRDefault="00723FF3" w:rsidP="006442CE">
      <w:pPr>
        <w:autoSpaceDE w:val="0"/>
        <w:autoSpaceDN w:val="0"/>
        <w:adjustRightInd w:val="0"/>
        <w:spacing w:after="120" w:line="240" w:lineRule="auto"/>
        <w:ind w:left="720"/>
        <w:jc w:val="both"/>
        <w:rPr>
          <w:rFonts w:ascii="Arial" w:hAnsi="Arial" w:cs="Arial"/>
          <w:b/>
          <w:bCs/>
        </w:rPr>
      </w:pPr>
      <w:r w:rsidRPr="00010F83">
        <w:rPr>
          <w:rFonts w:ascii="Arial" w:hAnsi="Arial" w:cs="Arial"/>
          <w:b/>
          <w:bCs/>
          <w:i/>
        </w:rPr>
        <w:t>Chênh lệch tạm thời</w:t>
      </w:r>
      <w:r w:rsidRPr="00010F83">
        <w:rPr>
          <w:rFonts w:ascii="Arial" w:hAnsi="Arial" w:cs="Arial"/>
          <w:b/>
          <w:bCs/>
        </w:rPr>
        <w:t xml:space="preserve"> là khoản chênh lệch giữa giá trị ghi sổ của </w:t>
      </w:r>
      <w:r w:rsidR="001628CB" w:rsidRPr="00010F83">
        <w:rPr>
          <w:rFonts w:ascii="Arial" w:hAnsi="Arial" w:cs="Arial"/>
          <w:b/>
          <w:bCs/>
        </w:rPr>
        <w:t xml:space="preserve">các khoản mục </w:t>
      </w:r>
      <w:r w:rsidRPr="00010F83">
        <w:rPr>
          <w:rFonts w:ascii="Arial" w:hAnsi="Arial" w:cs="Arial"/>
          <w:b/>
          <w:bCs/>
        </w:rPr>
        <w:t xml:space="preserve">tài sản hoặc nợ phải trả trong </w:t>
      </w:r>
      <w:r w:rsidR="001628CB" w:rsidRPr="00010F83">
        <w:rPr>
          <w:rFonts w:ascii="Arial" w:hAnsi="Arial" w:cs="Arial"/>
          <w:b/>
          <w:bCs/>
        </w:rPr>
        <w:t>Bảng cân đối kế toán</w:t>
      </w:r>
      <w:r w:rsidRPr="00010F83">
        <w:rPr>
          <w:rFonts w:ascii="Arial" w:hAnsi="Arial" w:cs="Arial"/>
          <w:b/>
          <w:bCs/>
        </w:rPr>
        <w:t xml:space="preserve"> và cơ sở tính thuế của tài sản hoặc nợ phải trả đó. Chênh lệch tạm thời có thể là:</w:t>
      </w:r>
    </w:p>
    <w:p w:rsidR="0021590E" w:rsidRPr="00010F83" w:rsidRDefault="00723FF3" w:rsidP="00217728">
      <w:pPr>
        <w:pStyle w:val="ListParagraph"/>
        <w:numPr>
          <w:ilvl w:val="0"/>
          <w:numId w:val="7"/>
        </w:numPr>
        <w:autoSpaceDE w:val="0"/>
        <w:autoSpaceDN w:val="0"/>
        <w:adjustRightInd w:val="0"/>
        <w:spacing w:after="120"/>
        <w:ind w:left="1440" w:hanging="720"/>
        <w:jc w:val="both"/>
        <w:rPr>
          <w:rFonts w:ascii="Arial" w:hAnsi="Arial" w:cs="Arial"/>
          <w:b/>
          <w:bCs/>
          <w:sz w:val="22"/>
          <w:szCs w:val="22"/>
        </w:rPr>
      </w:pPr>
      <w:r w:rsidRPr="00010F83">
        <w:rPr>
          <w:rFonts w:ascii="Arial" w:hAnsi="Arial" w:cs="Arial"/>
          <w:b/>
          <w:bCs/>
          <w:i/>
          <w:sz w:val="22"/>
          <w:szCs w:val="22"/>
        </w:rPr>
        <w:t xml:space="preserve">chênh lệch tạm thời </w:t>
      </w:r>
      <w:r w:rsidR="001628CB" w:rsidRPr="00010F83">
        <w:rPr>
          <w:rFonts w:ascii="Arial" w:hAnsi="Arial" w:cs="Arial"/>
          <w:b/>
          <w:bCs/>
          <w:i/>
          <w:sz w:val="22"/>
          <w:szCs w:val="22"/>
        </w:rPr>
        <w:t xml:space="preserve">phải </w:t>
      </w:r>
      <w:r w:rsidRPr="00010F83">
        <w:rPr>
          <w:rFonts w:ascii="Arial" w:hAnsi="Arial" w:cs="Arial"/>
          <w:b/>
          <w:bCs/>
          <w:i/>
          <w:sz w:val="22"/>
          <w:szCs w:val="22"/>
        </w:rPr>
        <w:t>chịu thuế</w:t>
      </w:r>
      <w:r w:rsidR="001628CB" w:rsidRPr="00010F83">
        <w:rPr>
          <w:rFonts w:ascii="Arial" w:hAnsi="Arial" w:cs="Arial"/>
          <w:b/>
          <w:bCs/>
          <w:i/>
          <w:sz w:val="22"/>
          <w:szCs w:val="22"/>
        </w:rPr>
        <w:t xml:space="preserve"> thu nhập doanh nghiệp</w:t>
      </w:r>
      <w:r w:rsidRPr="00010F83">
        <w:rPr>
          <w:rFonts w:ascii="Arial" w:hAnsi="Arial" w:cs="Arial"/>
          <w:b/>
          <w:bCs/>
          <w:sz w:val="22"/>
          <w:szCs w:val="22"/>
        </w:rPr>
        <w:t xml:space="preserve">, là các khoản chênh lệch tạm thời làm phát sinh các khoản </w:t>
      </w:r>
      <w:r w:rsidR="001628CB" w:rsidRPr="00010F83">
        <w:rPr>
          <w:rFonts w:ascii="Arial" w:hAnsi="Arial" w:cs="Arial"/>
          <w:b/>
          <w:bCs/>
          <w:sz w:val="22"/>
          <w:szCs w:val="22"/>
        </w:rPr>
        <w:t xml:space="preserve">thu nhập </w:t>
      </w:r>
      <w:r w:rsidRPr="00010F83">
        <w:rPr>
          <w:rFonts w:ascii="Arial" w:hAnsi="Arial" w:cs="Arial"/>
          <w:b/>
          <w:bCs/>
          <w:sz w:val="22"/>
          <w:szCs w:val="22"/>
        </w:rPr>
        <w:t xml:space="preserve">chịu thuế khi xác định thu nhập chịu thuế (lỗ tính thuế) </w:t>
      </w:r>
      <w:r w:rsidR="008572D0" w:rsidRPr="00010F83">
        <w:rPr>
          <w:rFonts w:ascii="Arial" w:hAnsi="Arial" w:cs="Arial"/>
          <w:b/>
          <w:bCs/>
          <w:sz w:val="22"/>
          <w:szCs w:val="22"/>
        </w:rPr>
        <w:t xml:space="preserve">ở các kỳ </w:t>
      </w:r>
      <w:r w:rsidRPr="00010F83">
        <w:rPr>
          <w:rFonts w:ascii="Arial" w:hAnsi="Arial" w:cs="Arial"/>
          <w:b/>
          <w:bCs/>
          <w:sz w:val="22"/>
          <w:szCs w:val="22"/>
        </w:rPr>
        <w:t xml:space="preserve">trong tương lai khi mà giá trị ghi sổ của tài sản </w:t>
      </w:r>
      <w:r w:rsidR="008572D0" w:rsidRPr="00010F83">
        <w:rPr>
          <w:rFonts w:ascii="Arial" w:hAnsi="Arial" w:cs="Arial"/>
          <w:b/>
          <w:bCs/>
          <w:sz w:val="22"/>
          <w:szCs w:val="22"/>
        </w:rPr>
        <w:t>được thu hồi hay</w:t>
      </w:r>
      <w:r w:rsidRPr="00010F83">
        <w:rPr>
          <w:rFonts w:ascii="Arial" w:hAnsi="Arial" w:cs="Arial"/>
          <w:b/>
          <w:bCs/>
          <w:sz w:val="22"/>
          <w:szCs w:val="22"/>
        </w:rPr>
        <w:t xml:space="preserve"> nợ phải trả được thanh toán; hoặc</w:t>
      </w:r>
    </w:p>
    <w:p w:rsidR="00F278D3" w:rsidRPr="00010F83" w:rsidRDefault="00723FF3" w:rsidP="00217728">
      <w:pPr>
        <w:pStyle w:val="ListParagraph"/>
        <w:numPr>
          <w:ilvl w:val="0"/>
          <w:numId w:val="7"/>
        </w:numPr>
        <w:autoSpaceDE w:val="0"/>
        <w:autoSpaceDN w:val="0"/>
        <w:adjustRightInd w:val="0"/>
        <w:spacing w:after="120"/>
        <w:ind w:left="1440" w:hanging="720"/>
        <w:jc w:val="both"/>
        <w:rPr>
          <w:rFonts w:ascii="Arial" w:hAnsi="Arial" w:cs="Arial"/>
          <w:b/>
          <w:bCs/>
          <w:sz w:val="22"/>
          <w:szCs w:val="22"/>
        </w:rPr>
      </w:pPr>
      <w:proofErr w:type="gramStart"/>
      <w:r w:rsidRPr="00010F83">
        <w:rPr>
          <w:rFonts w:ascii="Arial" w:hAnsi="Arial" w:cs="Arial"/>
          <w:b/>
          <w:bCs/>
          <w:i/>
          <w:sz w:val="22"/>
          <w:szCs w:val="22"/>
        </w:rPr>
        <w:t>chênh</w:t>
      </w:r>
      <w:proofErr w:type="gramEnd"/>
      <w:r w:rsidRPr="00010F83">
        <w:rPr>
          <w:rFonts w:ascii="Arial" w:hAnsi="Arial" w:cs="Arial"/>
          <w:b/>
          <w:bCs/>
          <w:i/>
          <w:sz w:val="22"/>
          <w:szCs w:val="22"/>
        </w:rPr>
        <w:t xml:space="preserve"> lệch tạm thời được khấu trừ</w:t>
      </w:r>
      <w:r w:rsidR="001628CB" w:rsidRPr="00010F83">
        <w:rPr>
          <w:rFonts w:ascii="Arial" w:hAnsi="Arial" w:cs="Arial"/>
          <w:b/>
          <w:bCs/>
          <w:i/>
          <w:sz w:val="22"/>
          <w:szCs w:val="22"/>
        </w:rPr>
        <w:t xml:space="preserve"> thuế thu nhập doanh nghiệp</w:t>
      </w:r>
      <w:r w:rsidRPr="00010F83">
        <w:rPr>
          <w:rFonts w:ascii="Arial" w:hAnsi="Arial" w:cs="Arial"/>
          <w:b/>
          <w:bCs/>
          <w:i/>
          <w:sz w:val="22"/>
          <w:szCs w:val="22"/>
        </w:rPr>
        <w:t>,</w:t>
      </w:r>
      <w:r w:rsidRPr="00010F83">
        <w:rPr>
          <w:rFonts w:ascii="Arial" w:hAnsi="Arial" w:cs="Arial"/>
          <w:b/>
          <w:bCs/>
          <w:sz w:val="22"/>
          <w:szCs w:val="22"/>
        </w:rPr>
        <w:t xml:space="preserve"> là chênh lệch tạm thời làm phát sinh các khoản được khấu trừ khi xác định thu nhập chịu thuế (lỗ tính thuế) </w:t>
      </w:r>
      <w:r w:rsidR="008572D0" w:rsidRPr="00010F83">
        <w:rPr>
          <w:rFonts w:ascii="Arial" w:hAnsi="Arial" w:cs="Arial"/>
          <w:b/>
          <w:bCs/>
          <w:sz w:val="22"/>
          <w:szCs w:val="22"/>
        </w:rPr>
        <w:t xml:space="preserve">ở các kỳ </w:t>
      </w:r>
      <w:r w:rsidRPr="00010F83">
        <w:rPr>
          <w:rFonts w:ascii="Arial" w:hAnsi="Arial" w:cs="Arial"/>
          <w:b/>
          <w:bCs/>
          <w:sz w:val="22"/>
          <w:szCs w:val="22"/>
        </w:rPr>
        <w:t xml:space="preserve">trong tương lai khi giá trị ghi sổ của tài sản </w:t>
      </w:r>
      <w:r w:rsidR="008572D0" w:rsidRPr="00010F83">
        <w:rPr>
          <w:rFonts w:ascii="Arial" w:hAnsi="Arial" w:cs="Arial"/>
          <w:b/>
          <w:bCs/>
          <w:sz w:val="22"/>
          <w:szCs w:val="22"/>
        </w:rPr>
        <w:t xml:space="preserve">được thu hồi </w:t>
      </w:r>
      <w:r w:rsidRPr="00010F83">
        <w:rPr>
          <w:rFonts w:ascii="Arial" w:hAnsi="Arial" w:cs="Arial"/>
          <w:b/>
          <w:bCs/>
          <w:sz w:val="22"/>
          <w:szCs w:val="22"/>
        </w:rPr>
        <w:t>h</w:t>
      </w:r>
      <w:r w:rsidR="008572D0" w:rsidRPr="00010F83">
        <w:rPr>
          <w:rFonts w:ascii="Arial" w:hAnsi="Arial" w:cs="Arial"/>
          <w:b/>
          <w:bCs/>
          <w:sz w:val="22"/>
          <w:szCs w:val="22"/>
        </w:rPr>
        <w:t>ay</w:t>
      </w:r>
      <w:r w:rsidRPr="00010F83">
        <w:rPr>
          <w:rFonts w:ascii="Arial" w:hAnsi="Arial" w:cs="Arial"/>
          <w:b/>
          <w:bCs/>
          <w:sz w:val="22"/>
          <w:szCs w:val="22"/>
        </w:rPr>
        <w:t xml:space="preserve"> nợ phải trả được thanh toán.</w:t>
      </w:r>
    </w:p>
    <w:p w:rsidR="00723FF3" w:rsidRPr="00010F83" w:rsidRDefault="00723FF3" w:rsidP="006442CE">
      <w:pPr>
        <w:autoSpaceDE w:val="0"/>
        <w:autoSpaceDN w:val="0"/>
        <w:adjustRightInd w:val="0"/>
        <w:spacing w:after="120"/>
        <w:ind w:left="720"/>
        <w:jc w:val="both"/>
        <w:rPr>
          <w:rFonts w:ascii="Arial" w:hAnsi="Arial" w:cs="Arial"/>
          <w:b/>
          <w:bCs/>
        </w:rPr>
      </w:pPr>
      <w:r w:rsidRPr="00010F83">
        <w:rPr>
          <w:rFonts w:ascii="Arial" w:hAnsi="Arial" w:cs="Arial"/>
          <w:b/>
          <w:bCs/>
          <w:i/>
        </w:rPr>
        <w:t>Cơ sở tính thuế</w:t>
      </w:r>
      <w:r w:rsidRPr="00010F83">
        <w:rPr>
          <w:rFonts w:ascii="Arial" w:hAnsi="Arial" w:cs="Arial"/>
          <w:b/>
          <w:bCs/>
        </w:rPr>
        <w:t xml:space="preserve"> của tài sản hoặc nợ phải trả là giá trị </w:t>
      </w:r>
      <w:r w:rsidR="00B052E9" w:rsidRPr="00010F83">
        <w:rPr>
          <w:rFonts w:ascii="Arial" w:hAnsi="Arial" w:cs="Arial"/>
          <w:b/>
          <w:bCs/>
        </w:rPr>
        <w:t xml:space="preserve">của </w:t>
      </w:r>
      <w:r w:rsidRPr="00010F83">
        <w:rPr>
          <w:rFonts w:ascii="Arial" w:hAnsi="Arial" w:cs="Arial"/>
          <w:b/>
          <w:bCs/>
        </w:rPr>
        <w:t xml:space="preserve">tài sản hoặc nợ phải trả </w:t>
      </w:r>
      <w:r w:rsidR="00B052E9" w:rsidRPr="00010F83">
        <w:rPr>
          <w:rFonts w:ascii="Arial" w:hAnsi="Arial" w:cs="Arial"/>
          <w:b/>
          <w:bCs/>
        </w:rPr>
        <w:t xml:space="preserve">được </w:t>
      </w:r>
      <w:r w:rsidR="004005DA" w:rsidRPr="00010F83">
        <w:rPr>
          <w:rFonts w:ascii="Arial" w:hAnsi="Arial" w:cs="Arial"/>
          <w:b/>
          <w:bCs/>
        </w:rPr>
        <w:t>xác định</w:t>
      </w:r>
      <w:r w:rsidR="00B052E9" w:rsidRPr="00010F83">
        <w:rPr>
          <w:rFonts w:ascii="Arial" w:hAnsi="Arial" w:cs="Arial"/>
          <w:b/>
          <w:bCs/>
        </w:rPr>
        <w:t xml:space="preserve"> </w:t>
      </w:r>
      <w:r w:rsidRPr="00010F83">
        <w:rPr>
          <w:rFonts w:ascii="Arial" w:hAnsi="Arial" w:cs="Arial"/>
          <w:b/>
          <w:bCs/>
        </w:rPr>
        <w:t xml:space="preserve">cho mục đích tính </w:t>
      </w:r>
      <w:r w:rsidR="00731917" w:rsidRPr="00010F83">
        <w:rPr>
          <w:rFonts w:ascii="Arial" w:hAnsi="Arial" w:cs="Arial"/>
          <w:b/>
          <w:bCs/>
        </w:rPr>
        <w:t xml:space="preserve">thuế </w:t>
      </w:r>
      <w:proofErr w:type="gramStart"/>
      <w:r w:rsidR="00217728" w:rsidRPr="00010F83">
        <w:rPr>
          <w:rFonts w:ascii="Arial" w:hAnsi="Arial" w:cs="Arial"/>
          <w:b/>
          <w:bCs/>
        </w:rPr>
        <w:t>thu</w:t>
      </w:r>
      <w:proofErr w:type="gramEnd"/>
      <w:r w:rsidR="00217728" w:rsidRPr="00010F83">
        <w:rPr>
          <w:rFonts w:ascii="Arial" w:hAnsi="Arial" w:cs="Arial"/>
          <w:b/>
          <w:bCs/>
        </w:rPr>
        <w:t xml:space="preserve"> nhập doanh nghiệp</w:t>
      </w:r>
      <w:r w:rsidRPr="00010F83">
        <w:rPr>
          <w:rFonts w:ascii="Arial" w:hAnsi="Arial" w:cs="Arial"/>
          <w:b/>
          <w:bCs/>
        </w:rPr>
        <w:t>.</w:t>
      </w:r>
    </w:p>
    <w:p w:rsidR="00217728" w:rsidRPr="00010F83" w:rsidRDefault="00F278D3" w:rsidP="006442CE">
      <w:pPr>
        <w:autoSpaceDE w:val="0"/>
        <w:autoSpaceDN w:val="0"/>
        <w:adjustRightInd w:val="0"/>
        <w:spacing w:after="120" w:line="240" w:lineRule="auto"/>
        <w:ind w:left="720" w:hanging="720"/>
        <w:jc w:val="both"/>
        <w:rPr>
          <w:rFonts w:ascii="Arial" w:hAnsi="Arial" w:cs="Arial"/>
          <w:bCs/>
        </w:rPr>
        <w:sectPr w:rsidR="00217728" w:rsidRPr="00010F83" w:rsidSect="0034007A">
          <w:pgSz w:w="12240" w:h="15840"/>
          <w:pgMar w:top="1260" w:right="1440" w:bottom="1080" w:left="1440" w:header="720" w:footer="360" w:gutter="0"/>
          <w:cols w:space="720"/>
          <w:docGrid w:linePitch="360"/>
        </w:sectPr>
      </w:pPr>
      <w:r w:rsidRPr="00010F83">
        <w:rPr>
          <w:rFonts w:ascii="Arial" w:hAnsi="Arial" w:cs="Arial"/>
          <w:bCs/>
        </w:rPr>
        <w:t>6</w:t>
      </w:r>
      <w:r w:rsidRPr="00010F83">
        <w:rPr>
          <w:rFonts w:ascii="Arial" w:hAnsi="Arial" w:cs="Arial"/>
          <w:bCs/>
        </w:rPr>
        <w:tab/>
      </w:r>
      <w:r w:rsidR="00723FF3" w:rsidRPr="00010F83">
        <w:rPr>
          <w:rFonts w:ascii="Arial" w:hAnsi="Arial" w:cs="Arial"/>
          <w:bCs/>
        </w:rPr>
        <w:t xml:space="preserve">Chi phí thuế </w:t>
      </w:r>
      <w:r w:rsidR="004A6522" w:rsidRPr="00010F83">
        <w:rPr>
          <w:rFonts w:ascii="Arial" w:hAnsi="Arial" w:cs="Arial"/>
          <w:bCs/>
        </w:rPr>
        <w:t>TNDN</w:t>
      </w:r>
      <w:r w:rsidR="00723FF3" w:rsidRPr="00010F83">
        <w:rPr>
          <w:rFonts w:ascii="Arial" w:hAnsi="Arial" w:cs="Arial"/>
          <w:bCs/>
        </w:rPr>
        <w:t xml:space="preserve"> (</w:t>
      </w:r>
      <w:proofErr w:type="gramStart"/>
      <w:r w:rsidR="00723FF3" w:rsidRPr="00010F83">
        <w:rPr>
          <w:rFonts w:ascii="Arial" w:hAnsi="Arial" w:cs="Arial"/>
          <w:bCs/>
        </w:rPr>
        <w:t>thu</w:t>
      </w:r>
      <w:proofErr w:type="gramEnd"/>
      <w:r w:rsidR="00723FF3" w:rsidRPr="00010F83">
        <w:rPr>
          <w:rFonts w:ascii="Arial" w:hAnsi="Arial" w:cs="Arial"/>
          <w:bCs/>
        </w:rPr>
        <w:t xml:space="preserve"> nhập thuế </w:t>
      </w:r>
      <w:r w:rsidR="004A6522" w:rsidRPr="00010F83">
        <w:rPr>
          <w:rFonts w:ascii="Arial" w:hAnsi="Arial" w:cs="Arial"/>
          <w:bCs/>
        </w:rPr>
        <w:t>TNDN</w:t>
      </w:r>
      <w:r w:rsidR="00723FF3" w:rsidRPr="00010F83">
        <w:rPr>
          <w:rFonts w:ascii="Arial" w:hAnsi="Arial" w:cs="Arial"/>
          <w:bCs/>
        </w:rPr>
        <w:t xml:space="preserve">) bao gồm chi phí thuế </w:t>
      </w:r>
      <w:r w:rsidR="004A6522" w:rsidRPr="00010F83">
        <w:rPr>
          <w:rFonts w:ascii="Arial" w:hAnsi="Arial" w:cs="Arial"/>
          <w:bCs/>
        </w:rPr>
        <w:t>TNDN</w:t>
      </w:r>
      <w:r w:rsidR="00723FF3" w:rsidRPr="00010F83">
        <w:rPr>
          <w:rFonts w:ascii="Arial" w:hAnsi="Arial" w:cs="Arial"/>
          <w:bCs/>
        </w:rPr>
        <w:t xml:space="preserve"> hiện hành (thu nhập thuế </w:t>
      </w:r>
      <w:r w:rsidR="004A6522" w:rsidRPr="00010F83">
        <w:rPr>
          <w:rFonts w:ascii="Arial" w:hAnsi="Arial" w:cs="Arial"/>
          <w:bCs/>
        </w:rPr>
        <w:t>TNDN</w:t>
      </w:r>
      <w:r w:rsidR="00723FF3" w:rsidRPr="00010F83">
        <w:rPr>
          <w:rFonts w:ascii="Arial" w:hAnsi="Arial" w:cs="Arial"/>
          <w:bCs/>
        </w:rPr>
        <w:t xml:space="preserve"> hiện hành) và chi phí thuế </w:t>
      </w:r>
      <w:r w:rsidR="004A6522" w:rsidRPr="00010F83">
        <w:rPr>
          <w:rFonts w:ascii="Arial" w:hAnsi="Arial" w:cs="Arial"/>
          <w:bCs/>
        </w:rPr>
        <w:t>TNDN</w:t>
      </w:r>
      <w:r w:rsidR="00723FF3" w:rsidRPr="00010F83">
        <w:rPr>
          <w:rFonts w:ascii="Arial" w:hAnsi="Arial" w:cs="Arial"/>
          <w:bCs/>
        </w:rPr>
        <w:t xml:space="preserve"> hoãn lại (thu nhập </w:t>
      </w:r>
      <w:r w:rsidR="004A3B9D" w:rsidRPr="00010F83">
        <w:rPr>
          <w:rFonts w:ascii="Arial" w:hAnsi="Arial" w:cs="Arial"/>
          <w:bCs/>
        </w:rPr>
        <w:t xml:space="preserve">thuế </w:t>
      </w:r>
      <w:r w:rsidR="004A6522" w:rsidRPr="00010F83">
        <w:rPr>
          <w:rFonts w:ascii="Arial" w:hAnsi="Arial" w:cs="Arial"/>
          <w:bCs/>
        </w:rPr>
        <w:t>TNDN</w:t>
      </w:r>
      <w:r w:rsidR="00723FF3" w:rsidRPr="00010F83">
        <w:rPr>
          <w:rFonts w:ascii="Arial" w:hAnsi="Arial" w:cs="Arial"/>
          <w:bCs/>
        </w:rPr>
        <w:t xml:space="preserve"> hoãn lại).</w:t>
      </w:r>
    </w:p>
    <w:p w:rsidR="00F278D3" w:rsidRPr="00010F83" w:rsidRDefault="00441881" w:rsidP="006442CE">
      <w:pPr>
        <w:autoSpaceDE w:val="0"/>
        <w:autoSpaceDN w:val="0"/>
        <w:adjustRightInd w:val="0"/>
        <w:spacing w:after="120" w:line="240" w:lineRule="auto"/>
        <w:ind w:left="720" w:hanging="720"/>
        <w:jc w:val="both"/>
        <w:rPr>
          <w:rFonts w:ascii="Arial" w:hAnsi="Arial" w:cs="Arial"/>
          <w:b/>
          <w:bCs/>
          <w:sz w:val="24"/>
          <w:szCs w:val="24"/>
        </w:rPr>
      </w:pPr>
      <w:r w:rsidRPr="00010F83">
        <w:rPr>
          <w:rFonts w:ascii="Arial" w:hAnsi="Arial" w:cs="Arial"/>
          <w:b/>
          <w:bCs/>
          <w:sz w:val="24"/>
          <w:szCs w:val="24"/>
        </w:rPr>
        <w:lastRenderedPageBreak/>
        <w:t>Cơ sở tính thuế</w:t>
      </w:r>
    </w:p>
    <w:p w:rsidR="00F278D3" w:rsidRPr="00010F83" w:rsidRDefault="00F278D3" w:rsidP="00441881">
      <w:pPr>
        <w:autoSpaceDE w:val="0"/>
        <w:autoSpaceDN w:val="0"/>
        <w:adjustRightInd w:val="0"/>
        <w:spacing w:before="240" w:after="120" w:line="240" w:lineRule="auto"/>
        <w:ind w:left="720" w:hanging="720"/>
        <w:jc w:val="both"/>
        <w:rPr>
          <w:rFonts w:ascii="Arial" w:hAnsi="Arial" w:cs="Arial"/>
          <w:bCs/>
        </w:rPr>
      </w:pPr>
      <w:r w:rsidRPr="00010F83">
        <w:rPr>
          <w:rFonts w:ascii="Arial" w:hAnsi="Arial" w:cs="Arial"/>
          <w:bCs/>
        </w:rPr>
        <w:t>7</w:t>
      </w:r>
      <w:r w:rsidRPr="00010F83">
        <w:rPr>
          <w:rFonts w:ascii="Arial" w:hAnsi="Arial" w:cs="Arial"/>
          <w:bCs/>
        </w:rPr>
        <w:tab/>
      </w:r>
      <w:r w:rsidR="001628CB" w:rsidRPr="00010F83">
        <w:rPr>
          <w:rFonts w:ascii="Arial" w:hAnsi="Arial" w:cs="Arial"/>
          <w:bCs/>
        </w:rPr>
        <w:t xml:space="preserve">Cơ sở tính thuế </w:t>
      </w:r>
      <w:proofErr w:type="gramStart"/>
      <w:r w:rsidR="001628CB" w:rsidRPr="00010F83">
        <w:rPr>
          <w:rFonts w:ascii="Arial" w:hAnsi="Arial" w:cs="Arial"/>
          <w:bCs/>
        </w:rPr>
        <w:t>thu</w:t>
      </w:r>
      <w:proofErr w:type="gramEnd"/>
      <w:r w:rsidR="001628CB" w:rsidRPr="00010F83">
        <w:rPr>
          <w:rFonts w:ascii="Arial" w:hAnsi="Arial" w:cs="Arial"/>
          <w:bCs/>
        </w:rPr>
        <w:t xml:space="preserve"> nhập của tài sản là giá trị sẽ được trừ khỏi thu nhập chịu thuế khi thu hồi giá trị ghi sổ của tài sản</w:t>
      </w:r>
      <w:r w:rsidR="009A2FAB" w:rsidRPr="00010F83">
        <w:rPr>
          <w:rFonts w:ascii="Arial" w:hAnsi="Arial" w:cs="Arial"/>
          <w:bCs/>
        </w:rPr>
        <w:t xml:space="preserve">. </w:t>
      </w:r>
      <w:proofErr w:type="gramStart"/>
      <w:r w:rsidR="009A2FAB" w:rsidRPr="00010F83">
        <w:rPr>
          <w:rFonts w:ascii="Arial" w:hAnsi="Arial" w:cs="Arial"/>
          <w:bCs/>
        </w:rPr>
        <w:t xml:space="preserve">Nếu những lợi ích kinh tế này không phải chịu thuế </w:t>
      </w:r>
      <w:r w:rsidR="001628CB" w:rsidRPr="00010F83">
        <w:rPr>
          <w:rFonts w:ascii="Arial" w:hAnsi="Arial" w:cs="Arial"/>
          <w:bCs/>
        </w:rPr>
        <w:t xml:space="preserve">khi nhận </w:t>
      </w:r>
      <w:r w:rsidR="009A2FAB" w:rsidRPr="00010F83">
        <w:rPr>
          <w:rFonts w:ascii="Arial" w:hAnsi="Arial" w:cs="Arial"/>
          <w:bCs/>
        </w:rPr>
        <w:t>thì cơ sở tính thuế của tài sản đó bằng giá trị ghi sổ của nó.</w:t>
      </w:r>
      <w:proofErr w:type="gramEnd"/>
    </w:p>
    <w:p w:rsidR="00F278D3" w:rsidRPr="00010F83" w:rsidRDefault="00F278D3" w:rsidP="00590853">
      <w:pPr>
        <w:autoSpaceDE w:val="0"/>
        <w:autoSpaceDN w:val="0"/>
        <w:adjustRightInd w:val="0"/>
        <w:spacing w:after="120" w:line="240" w:lineRule="auto"/>
        <w:jc w:val="both"/>
        <w:rPr>
          <w:rFonts w:ascii="Arial" w:hAnsi="Arial" w:cs="Arial"/>
          <w:bCs/>
        </w:rPr>
      </w:pPr>
    </w:p>
    <w:tbl>
      <w:tblPr>
        <w:tblStyle w:val="TableGrid"/>
        <w:tblW w:w="0" w:type="auto"/>
        <w:tblInd w:w="720" w:type="dxa"/>
        <w:tblLook w:val="04A0"/>
      </w:tblPr>
      <w:tblGrid>
        <w:gridCol w:w="8630"/>
      </w:tblGrid>
      <w:tr w:rsidR="00F278D3" w:rsidRPr="00010F83" w:rsidTr="000F51B1">
        <w:tc>
          <w:tcPr>
            <w:tcW w:w="8630" w:type="dxa"/>
          </w:tcPr>
          <w:p w:rsidR="00F278D3" w:rsidRPr="00010F83" w:rsidRDefault="00217728" w:rsidP="00590853">
            <w:pPr>
              <w:pStyle w:val="ListParagraph"/>
              <w:spacing w:after="120"/>
              <w:ind w:left="0"/>
              <w:jc w:val="both"/>
              <w:rPr>
                <w:rFonts w:ascii="Arial" w:hAnsi="Arial" w:cs="Arial"/>
                <w:b/>
                <w:sz w:val="22"/>
                <w:szCs w:val="22"/>
              </w:rPr>
            </w:pPr>
            <w:r w:rsidRPr="00010F83">
              <w:rPr>
                <w:rFonts w:ascii="Arial" w:hAnsi="Arial" w:cs="Arial"/>
                <w:b/>
                <w:sz w:val="22"/>
                <w:szCs w:val="22"/>
              </w:rPr>
              <w:t>Ví dụ</w:t>
            </w:r>
          </w:p>
        </w:tc>
      </w:tr>
      <w:tr w:rsidR="00F278D3" w:rsidRPr="00010F83" w:rsidTr="000F51B1">
        <w:tc>
          <w:tcPr>
            <w:tcW w:w="8630" w:type="dxa"/>
          </w:tcPr>
          <w:p w:rsidR="00F278D3" w:rsidRPr="00010F83" w:rsidRDefault="009A2FAB" w:rsidP="00217728">
            <w:pPr>
              <w:pStyle w:val="ListParagraph"/>
              <w:numPr>
                <w:ilvl w:val="0"/>
                <w:numId w:val="1"/>
              </w:numPr>
              <w:spacing w:after="120"/>
              <w:ind w:left="341"/>
              <w:contextualSpacing/>
              <w:jc w:val="both"/>
              <w:rPr>
                <w:rFonts w:ascii="Arial" w:hAnsi="Arial" w:cs="Arial"/>
                <w:sz w:val="22"/>
                <w:szCs w:val="22"/>
              </w:rPr>
            </w:pPr>
            <w:r w:rsidRPr="00010F83">
              <w:rPr>
                <w:rFonts w:ascii="Arial" w:hAnsi="Arial" w:cs="Arial"/>
                <w:sz w:val="22"/>
                <w:szCs w:val="22"/>
              </w:rPr>
              <w:t xml:space="preserve">Một cái máy có nguyên giá là 100. </w:t>
            </w:r>
            <w:r w:rsidR="001628CB" w:rsidRPr="00010F83">
              <w:rPr>
                <w:rFonts w:ascii="Arial" w:hAnsi="Arial" w:cs="Arial"/>
                <w:sz w:val="22"/>
                <w:szCs w:val="22"/>
              </w:rPr>
              <w:t>Khi</w:t>
            </w:r>
            <w:r w:rsidRPr="00010F83">
              <w:rPr>
                <w:rFonts w:ascii="Arial" w:hAnsi="Arial" w:cs="Arial"/>
                <w:sz w:val="22"/>
                <w:szCs w:val="22"/>
              </w:rPr>
              <w:t xml:space="preserve"> tính thuế</w:t>
            </w:r>
            <w:r w:rsidR="001628CB" w:rsidRPr="00010F83">
              <w:rPr>
                <w:rFonts w:ascii="Arial" w:hAnsi="Arial" w:cs="Arial"/>
                <w:sz w:val="22"/>
                <w:szCs w:val="22"/>
              </w:rPr>
              <w:t xml:space="preserve"> </w:t>
            </w:r>
            <w:proofErr w:type="gramStart"/>
            <w:r w:rsidR="001628CB" w:rsidRPr="00010F83">
              <w:rPr>
                <w:rFonts w:ascii="Arial" w:hAnsi="Arial" w:cs="Arial"/>
                <w:sz w:val="22"/>
                <w:szCs w:val="22"/>
              </w:rPr>
              <w:t>thu</w:t>
            </w:r>
            <w:proofErr w:type="gramEnd"/>
            <w:r w:rsidR="001628CB" w:rsidRPr="00010F83">
              <w:rPr>
                <w:rFonts w:ascii="Arial" w:hAnsi="Arial" w:cs="Arial"/>
                <w:sz w:val="22"/>
                <w:szCs w:val="22"/>
              </w:rPr>
              <w:t xml:space="preserve"> nhập doanh nghiệp</w:t>
            </w:r>
            <w:r w:rsidRPr="00010F83">
              <w:rPr>
                <w:rFonts w:ascii="Arial" w:hAnsi="Arial" w:cs="Arial"/>
                <w:sz w:val="22"/>
                <w:szCs w:val="22"/>
              </w:rPr>
              <w:t>, chi phí</w:t>
            </w:r>
            <w:r w:rsidR="004005DA" w:rsidRPr="00010F83">
              <w:rPr>
                <w:rFonts w:ascii="Arial" w:hAnsi="Arial" w:cs="Arial"/>
                <w:sz w:val="22"/>
                <w:szCs w:val="22"/>
              </w:rPr>
              <w:t xml:space="preserve"> khấu hao</w:t>
            </w:r>
            <w:r w:rsidRPr="00010F83">
              <w:rPr>
                <w:rFonts w:ascii="Arial" w:hAnsi="Arial" w:cs="Arial"/>
                <w:sz w:val="22"/>
                <w:szCs w:val="22"/>
              </w:rPr>
              <w:t xml:space="preserve"> 30 đã được </w:t>
            </w:r>
            <w:r w:rsidR="0072331A" w:rsidRPr="00010F83">
              <w:rPr>
                <w:rFonts w:ascii="Arial" w:hAnsi="Arial" w:cs="Arial"/>
                <w:sz w:val="22"/>
                <w:szCs w:val="22"/>
              </w:rPr>
              <w:t xml:space="preserve">khấu </w:t>
            </w:r>
            <w:r w:rsidRPr="00010F83">
              <w:rPr>
                <w:rFonts w:ascii="Arial" w:hAnsi="Arial" w:cs="Arial"/>
                <w:sz w:val="22"/>
                <w:szCs w:val="22"/>
              </w:rPr>
              <w:t>trừ trong kỳ hiện tại và các kỳ trước đó</w:t>
            </w:r>
            <w:r w:rsidR="00217728" w:rsidRPr="00010F83">
              <w:rPr>
                <w:rFonts w:ascii="Arial" w:hAnsi="Arial" w:cs="Arial"/>
                <w:sz w:val="22"/>
                <w:szCs w:val="22"/>
              </w:rPr>
              <w:t xml:space="preserve">. Giá </w:t>
            </w:r>
            <w:r w:rsidRPr="00010F83">
              <w:rPr>
                <w:rFonts w:ascii="Arial" w:hAnsi="Arial" w:cs="Arial"/>
                <w:sz w:val="22"/>
                <w:szCs w:val="22"/>
              </w:rPr>
              <w:t xml:space="preserve">trị còn lại của </w:t>
            </w:r>
            <w:r w:rsidR="004005DA" w:rsidRPr="00010F83">
              <w:rPr>
                <w:rFonts w:ascii="Arial" w:hAnsi="Arial" w:cs="Arial"/>
                <w:sz w:val="22"/>
                <w:szCs w:val="22"/>
              </w:rPr>
              <w:t>tài sản này</w:t>
            </w:r>
            <w:r w:rsidRPr="00010F83">
              <w:rPr>
                <w:rFonts w:ascii="Arial" w:hAnsi="Arial" w:cs="Arial"/>
                <w:sz w:val="22"/>
                <w:szCs w:val="22"/>
              </w:rPr>
              <w:t xml:space="preserve"> sẽ được trừ trong các kỳ </w:t>
            </w:r>
            <w:r w:rsidR="004A6522" w:rsidRPr="00010F83">
              <w:rPr>
                <w:rFonts w:ascii="Arial" w:hAnsi="Arial" w:cs="Arial"/>
                <w:sz w:val="22"/>
                <w:szCs w:val="22"/>
              </w:rPr>
              <w:t>tương lai dưới hình thức</w:t>
            </w:r>
            <w:r w:rsidRPr="00010F83">
              <w:rPr>
                <w:rFonts w:ascii="Arial" w:hAnsi="Arial" w:cs="Arial"/>
                <w:sz w:val="22"/>
                <w:szCs w:val="22"/>
              </w:rPr>
              <w:t xml:space="preserve"> </w:t>
            </w:r>
            <w:r w:rsidR="0072331A" w:rsidRPr="00010F83">
              <w:rPr>
                <w:rFonts w:ascii="Arial" w:hAnsi="Arial" w:cs="Arial"/>
                <w:sz w:val="22"/>
                <w:szCs w:val="22"/>
              </w:rPr>
              <w:t xml:space="preserve">chi phí </w:t>
            </w:r>
            <w:r w:rsidRPr="00010F83">
              <w:rPr>
                <w:rFonts w:ascii="Arial" w:hAnsi="Arial" w:cs="Arial"/>
                <w:sz w:val="22"/>
                <w:szCs w:val="22"/>
              </w:rPr>
              <w:t xml:space="preserve">khấu hao, hoặc là giảm trừ khi thanh lý. Doanh </w:t>
            </w:r>
            <w:proofErr w:type="gramStart"/>
            <w:r w:rsidRPr="00010F83">
              <w:rPr>
                <w:rFonts w:ascii="Arial" w:hAnsi="Arial" w:cs="Arial"/>
                <w:sz w:val="22"/>
                <w:szCs w:val="22"/>
              </w:rPr>
              <w:t>thu</w:t>
            </w:r>
            <w:proofErr w:type="gramEnd"/>
            <w:r w:rsidRPr="00010F83">
              <w:rPr>
                <w:rFonts w:ascii="Arial" w:hAnsi="Arial" w:cs="Arial"/>
                <w:sz w:val="22"/>
                <w:szCs w:val="22"/>
              </w:rPr>
              <w:t xml:space="preserve"> </w:t>
            </w:r>
            <w:r w:rsidR="004005DA" w:rsidRPr="00010F83">
              <w:rPr>
                <w:rFonts w:ascii="Arial" w:hAnsi="Arial" w:cs="Arial"/>
                <w:sz w:val="22"/>
                <w:szCs w:val="22"/>
              </w:rPr>
              <w:t>tạo ra từ việc sử dụng máy</w:t>
            </w:r>
            <w:r w:rsidRPr="00010F83">
              <w:rPr>
                <w:rFonts w:ascii="Arial" w:hAnsi="Arial" w:cs="Arial"/>
                <w:sz w:val="22"/>
                <w:szCs w:val="22"/>
              </w:rPr>
              <w:t xml:space="preserve"> phải chịu thuế</w:t>
            </w:r>
            <w:r w:rsidR="0072331A" w:rsidRPr="00010F83">
              <w:rPr>
                <w:rFonts w:ascii="Arial" w:hAnsi="Arial" w:cs="Arial"/>
                <w:sz w:val="22"/>
                <w:szCs w:val="22"/>
              </w:rPr>
              <w:t xml:space="preserve"> thu nhập</w:t>
            </w:r>
            <w:r w:rsidRPr="00010F83">
              <w:rPr>
                <w:rFonts w:ascii="Arial" w:hAnsi="Arial" w:cs="Arial"/>
                <w:sz w:val="22"/>
                <w:szCs w:val="22"/>
              </w:rPr>
              <w:t xml:space="preserve">, lãi </w:t>
            </w:r>
            <w:r w:rsidR="0072331A" w:rsidRPr="00010F83">
              <w:rPr>
                <w:rFonts w:ascii="Arial" w:hAnsi="Arial" w:cs="Arial"/>
                <w:sz w:val="22"/>
                <w:szCs w:val="22"/>
              </w:rPr>
              <w:t xml:space="preserve">nếu có </w:t>
            </w:r>
            <w:r w:rsidRPr="00010F83">
              <w:rPr>
                <w:rFonts w:ascii="Arial" w:hAnsi="Arial" w:cs="Arial"/>
                <w:sz w:val="22"/>
                <w:szCs w:val="22"/>
              </w:rPr>
              <w:t xml:space="preserve">thu </w:t>
            </w:r>
            <w:r w:rsidR="0072331A" w:rsidRPr="00010F83">
              <w:rPr>
                <w:rFonts w:ascii="Arial" w:hAnsi="Arial" w:cs="Arial"/>
                <w:sz w:val="22"/>
                <w:szCs w:val="22"/>
              </w:rPr>
              <w:t xml:space="preserve">được </w:t>
            </w:r>
            <w:r w:rsidRPr="00010F83">
              <w:rPr>
                <w:rFonts w:ascii="Arial" w:hAnsi="Arial" w:cs="Arial"/>
                <w:sz w:val="22"/>
                <w:szCs w:val="22"/>
              </w:rPr>
              <w:t xml:space="preserve">từ </w:t>
            </w:r>
            <w:r w:rsidR="0072331A" w:rsidRPr="00010F83">
              <w:rPr>
                <w:rFonts w:ascii="Arial" w:hAnsi="Arial" w:cs="Arial"/>
                <w:sz w:val="22"/>
                <w:szCs w:val="22"/>
              </w:rPr>
              <w:t xml:space="preserve">việc </w:t>
            </w:r>
            <w:r w:rsidRPr="00010F83">
              <w:rPr>
                <w:rFonts w:ascii="Arial" w:hAnsi="Arial" w:cs="Arial"/>
                <w:sz w:val="22"/>
                <w:szCs w:val="22"/>
              </w:rPr>
              <w:t xml:space="preserve">thanh lý </w:t>
            </w:r>
            <w:r w:rsidR="004005DA" w:rsidRPr="00010F83">
              <w:rPr>
                <w:rFonts w:ascii="Arial" w:hAnsi="Arial" w:cs="Arial"/>
                <w:sz w:val="22"/>
                <w:szCs w:val="22"/>
              </w:rPr>
              <w:t>máy</w:t>
            </w:r>
            <w:r w:rsidRPr="00010F83">
              <w:rPr>
                <w:rFonts w:ascii="Arial" w:hAnsi="Arial" w:cs="Arial"/>
                <w:sz w:val="22"/>
                <w:szCs w:val="22"/>
              </w:rPr>
              <w:t xml:space="preserve"> cũng phải chịu thuế và lỗ </w:t>
            </w:r>
            <w:r w:rsidR="0072331A" w:rsidRPr="00010F83">
              <w:rPr>
                <w:rFonts w:ascii="Arial" w:hAnsi="Arial" w:cs="Arial"/>
                <w:sz w:val="22"/>
                <w:szCs w:val="22"/>
              </w:rPr>
              <w:t>từ</w:t>
            </w:r>
            <w:r w:rsidRPr="00010F83">
              <w:rPr>
                <w:rFonts w:ascii="Arial" w:hAnsi="Arial" w:cs="Arial"/>
                <w:sz w:val="22"/>
                <w:szCs w:val="22"/>
              </w:rPr>
              <w:t xml:space="preserve"> thanh lý tài sản sẽ được giảm trừ cho mục đích tính thuế</w:t>
            </w:r>
            <w:r w:rsidR="0072331A" w:rsidRPr="00010F83">
              <w:rPr>
                <w:rFonts w:ascii="Arial" w:hAnsi="Arial" w:cs="Arial"/>
                <w:sz w:val="22"/>
                <w:szCs w:val="22"/>
              </w:rPr>
              <w:t xml:space="preserve"> thu nhập</w:t>
            </w:r>
            <w:r w:rsidRPr="00010F83">
              <w:rPr>
                <w:rFonts w:ascii="Arial" w:hAnsi="Arial" w:cs="Arial"/>
                <w:sz w:val="22"/>
                <w:szCs w:val="22"/>
              </w:rPr>
              <w:t xml:space="preserve">. </w:t>
            </w:r>
            <w:r w:rsidR="004005DA" w:rsidRPr="00010F83">
              <w:rPr>
                <w:rFonts w:ascii="Arial" w:hAnsi="Arial" w:cs="Arial"/>
                <w:i/>
                <w:sz w:val="22"/>
                <w:szCs w:val="22"/>
              </w:rPr>
              <w:t>Trong trường hợp này, c</w:t>
            </w:r>
            <w:r w:rsidRPr="00010F83">
              <w:rPr>
                <w:rFonts w:ascii="Arial" w:hAnsi="Arial" w:cs="Arial"/>
                <w:i/>
                <w:sz w:val="22"/>
                <w:szCs w:val="22"/>
              </w:rPr>
              <w:t>ơ sở tính thuế</w:t>
            </w:r>
            <w:r w:rsidR="004005DA" w:rsidRPr="00010F83">
              <w:rPr>
                <w:rFonts w:ascii="Arial" w:hAnsi="Arial" w:cs="Arial"/>
                <w:i/>
                <w:sz w:val="22"/>
                <w:szCs w:val="22"/>
              </w:rPr>
              <w:t xml:space="preserve"> của </w:t>
            </w:r>
            <w:r w:rsidR="0072331A" w:rsidRPr="00010F83">
              <w:rPr>
                <w:rFonts w:ascii="Arial" w:hAnsi="Arial" w:cs="Arial"/>
                <w:i/>
                <w:sz w:val="22"/>
                <w:szCs w:val="22"/>
              </w:rPr>
              <w:t xml:space="preserve">cái </w:t>
            </w:r>
            <w:r w:rsidR="004005DA" w:rsidRPr="00010F83">
              <w:rPr>
                <w:rFonts w:ascii="Arial" w:hAnsi="Arial" w:cs="Arial"/>
                <w:i/>
                <w:sz w:val="22"/>
                <w:szCs w:val="22"/>
              </w:rPr>
              <w:t>máy</w:t>
            </w:r>
            <w:r w:rsidR="0072331A" w:rsidRPr="00010F83">
              <w:rPr>
                <w:rFonts w:ascii="Arial" w:hAnsi="Arial" w:cs="Arial"/>
                <w:i/>
                <w:sz w:val="22"/>
                <w:szCs w:val="22"/>
              </w:rPr>
              <w:t xml:space="preserve"> này</w:t>
            </w:r>
            <w:r w:rsidRPr="00010F83">
              <w:rPr>
                <w:rFonts w:ascii="Arial" w:hAnsi="Arial" w:cs="Arial"/>
                <w:i/>
                <w:sz w:val="22"/>
                <w:szCs w:val="22"/>
              </w:rPr>
              <w:t xml:space="preserve"> là 70</w:t>
            </w:r>
            <w:r w:rsidRPr="00010F83">
              <w:rPr>
                <w:rFonts w:ascii="Arial" w:hAnsi="Arial" w:cs="Arial"/>
                <w:sz w:val="22"/>
                <w:szCs w:val="22"/>
              </w:rPr>
              <w:t>.</w:t>
            </w:r>
          </w:p>
          <w:p w:rsidR="00217728" w:rsidRPr="00010F83" w:rsidRDefault="00217728" w:rsidP="00217728">
            <w:pPr>
              <w:pStyle w:val="ListParagraph"/>
              <w:spacing w:after="120"/>
              <w:ind w:left="341"/>
              <w:contextualSpacing/>
              <w:jc w:val="both"/>
              <w:rPr>
                <w:rFonts w:ascii="Arial" w:hAnsi="Arial" w:cs="Arial"/>
                <w:sz w:val="22"/>
                <w:szCs w:val="22"/>
              </w:rPr>
            </w:pPr>
          </w:p>
          <w:p w:rsidR="00217728" w:rsidRPr="00010F83" w:rsidRDefault="004005DA" w:rsidP="00217728">
            <w:pPr>
              <w:pStyle w:val="ListParagraph"/>
              <w:numPr>
                <w:ilvl w:val="0"/>
                <w:numId w:val="1"/>
              </w:numPr>
              <w:spacing w:before="240" w:after="120"/>
              <w:ind w:left="341"/>
              <w:contextualSpacing/>
              <w:jc w:val="both"/>
              <w:rPr>
                <w:rFonts w:ascii="Arial" w:hAnsi="Arial" w:cs="Arial"/>
                <w:sz w:val="22"/>
                <w:szCs w:val="22"/>
              </w:rPr>
            </w:pPr>
            <w:r w:rsidRPr="00010F83">
              <w:rPr>
                <w:rFonts w:ascii="Arial" w:hAnsi="Arial" w:cs="Arial"/>
                <w:sz w:val="22"/>
                <w:szCs w:val="22"/>
              </w:rPr>
              <w:t xml:space="preserve">Lãi </w:t>
            </w:r>
            <w:r w:rsidR="00C66B71" w:rsidRPr="00010F83">
              <w:rPr>
                <w:rFonts w:ascii="Arial" w:hAnsi="Arial" w:cs="Arial"/>
                <w:sz w:val="22"/>
                <w:szCs w:val="22"/>
              </w:rPr>
              <w:t xml:space="preserve">phải </w:t>
            </w:r>
            <w:proofErr w:type="gramStart"/>
            <w:r w:rsidR="00C66B71" w:rsidRPr="00010F83">
              <w:rPr>
                <w:rFonts w:ascii="Arial" w:hAnsi="Arial" w:cs="Arial"/>
                <w:sz w:val="22"/>
                <w:szCs w:val="22"/>
              </w:rPr>
              <w:t>thu</w:t>
            </w:r>
            <w:proofErr w:type="gramEnd"/>
            <w:r w:rsidR="00C66B71" w:rsidRPr="00010F83">
              <w:rPr>
                <w:rFonts w:ascii="Arial" w:hAnsi="Arial" w:cs="Arial"/>
                <w:sz w:val="22"/>
                <w:szCs w:val="22"/>
              </w:rPr>
              <w:t xml:space="preserve"> có giá trị ghi sổ là 100. </w:t>
            </w:r>
            <w:r w:rsidRPr="00010F83">
              <w:rPr>
                <w:rFonts w:ascii="Arial" w:hAnsi="Arial" w:cs="Arial"/>
                <w:sz w:val="22"/>
                <w:szCs w:val="22"/>
              </w:rPr>
              <w:t>Thu nhập từ</w:t>
            </w:r>
            <w:r w:rsidR="00C66B71" w:rsidRPr="00010F83">
              <w:rPr>
                <w:rFonts w:ascii="Arial" w:hAnsi="Arial" w:cs="Arial"/>
                <w:sz w:val="22"/>
                <w:szCs w:val="22"/>
              </w:rPr>
              <w:t xml:space="preserve"> lãi</w:t>
            </w:r>
            <w:r w:rsidRPr="00010F83">
              <w:rPr>
                <w:rFonts w:ascii="Arial" w:hAnsi="Arial" w:cs="Arial"/>
                <w:sz w:val="22"/>
                <w:szCs w:val="22"/>
              </w:rPr>
              <w:t xml:space="preserve"> tiền gửi</w:t>
            </w:r>
            <w:r w:rsidR="00C66B71" w:rsidRPr="00010F83">
              <w:rPr>
                <w:rFonts w:ascii="Arial" w:hAnsi="Arial" w:cs="Arial"/>
                <w:sz w:val="22"/>
                <w:szCs w:val="22"/>
              </w:rPr>
              <w:t xml:space="preserve"> chịu thuế </w:t>
            </w:r>
            <w:r w:rsidRPr="00010F83">
              <w:rPr>
                <w:rFonts w:ascii="Arial" w:hAnsi="Arial" w:cs="Arial"/>
                <w:sz w:val="22"/>
                <w:szCs w:val="22"/>
              </w:rPr>
              <w:t>trên</w:t>
            </w:r>
            <w:r w:rsidR="00C66B71" w:rsidRPr="00010F83">
              <w:rPr>
                <w:rFonts w:ascii="Arial" w:hAnsi="Arial" w:cs="Arial"/>
                <w:sz w:val="22"/>
                <w:szCs w:val="22"/>
              </w:rPr>
              <w:t xml:space="preserve"> cơ sở thực </w:t>
            </w:r>
            <w:r w:rsidR="0072331A" w:rsidRPr="00010F83">
              <w:rPr>
                <w:rFonts w:ascii="Arial" w:hAnsi="Arial" w:cs="Arial"/>
                <w:sz w:val="22"/>
                <w:szCs w:val="22"/>
              </w:rPr>
              <w:t>nhận (chịu thuế khi thực nhận tiền lãi)</w:t>
            </w:r>
            <w:r w:rsidR="00C66B71" w:rsidRPr="00010F83">
              <w:rPr>
                <w:rFonts w:ascii="Arial" w:hAnsi="Arial" w:cs="Arial"/>
                <w:sz w:val="22"/>
                <w:szCs w:val="22"/>
              </w:rPr>
              <w:t xml:space="preserve">. </w:t>
            </w:r>
            <w:r w:rsidR="00C66B71" w:rsidRPr="00010F83">
              <w:rPr>
                <w:rFonts w:ascii="Arial" w:hAnsi="Arial" w:cs="Arial"/>
                <w:i/>
                <w:sz w:val="22"/>
                <w:szCs w:val="22"/>
              </w:rPr>
              <w:t>C</w:t>
            </w:r>
            <w:r w:rsidR="00201D3A" w:rsidRPr="00010F83">
              <w:rPr>
                <w:rFonts w:ascii="Arial" w:hAnsi="Arial" w:cs="Arial"/>
                <w:i/>
                <w:sz w:val="22"/>
                <w:szCs w:val="22"/>
              </w:rPr>
              <w:t>ơ</w:t>
            </w:r>
            <w:r w:rsidR="00C66B71" w:rsidRPr="00010F83">
              <w:rPr>
                <w:rFonts w:ascii="Arial" w:hAnsi="Arial" w:cs="Arial"/>
                <w:i/>
                <w:sz w:val="22"/>
                <w:szCs w:val="22"/>
              </w:rPr>
              <w:t xml:space="preserve"> sở tính thuế của khoản lãi phải </w:t>
            </w:r>
            <w:proofErr w:type="gramStart"/>
            <w:r w:rsidR="00C66B71" w:rsidRPr="00010F83">
              <w:rPr>
                <w:rFonts w:ascii="Arial" w:hAnsi="Arial" w:cs="Arial"/>
                <w:i/>
                <w:sz w:val="22"/>
                <w:szCs w:val="22"/>
              </w:rPr>
              <w:t>thu</w:t>
            </w:r>
            <w:proofErr w:type="gramEnd"/>
            <w:r w:rsidR="00C66B71" w:rsidRPr="00010F83">
              <w:rPr>
                <w:rFonts w:ascii="Arial" w:hAnsi="Arial" w:cs="Arial"/>
                <w:i/>
                <w:sz w:val="22"/>
                <w:szCs w:val="22"/>
              </w:rPr>
              <w:t xml:space="preserve"> </w:t>
            </w:r>
            <w:r w:rsidR="0072331A" w:rsidRPr="00010F83">
              <w:rPr>
                <w:rFonts w:ascii="Arial" w:hAnsi="Arial" w:cs="Arial"/>
                <w:i/>
                <w:sz w:val="22"/>
                <w:szCs w:val="22"/>
              </w:rPr>
              <w:t xml:space="preserve">sẽ </w:t>
            </w:r>
            <w:r w:rsidR="00C66B71" w:rsidRPr="00010F83">
              <w:rPr>
                <w:rFonts w:ascii="Arial" w:hAnsi="Arial" w:cs="Arial"/>
                <w:i/>
                <w:sz w:val="22"/>
                <w:szCs w:val="22"/>
              </w:rPr>
              <w:t>bằng không</w:t>
            </w:r>
            <w:r w:rsidR="00C66B71" w:rsidRPr="00010F83">
              <w:rPr>
                <w:rFonts w:ascii="Arial" w:hAnsi="Arial" w:cs="Arial"/>
                <w:sz w:val="22"/>
                <w:szCs w:val="22"/>
              </w:rPr>
              <w:t>.</w:t>
            </w:r>
          </w:p>
          <w:p w:rsidR="00217728" w:rsidRPr="00010F83" w:rsidRDefault="00217728" w:rsidP="00217728">
            <w:pPr>
              <w:pStyle w:val="ListParagraph"/>
              <w:rPr>
                <w:rFonts w:ascii="Arial" w:hAnsi="Arial" w:cs="Arial"/>
                <w:sz w:val="22"/>
                <w:szCs w:val="22"/>
              </w:rPr>
            </w:pPr>
          </w:p>
          <w:p w:rsidR="00F278D3" w:rsidRPr="00010F83" w:rsidRDefault="0072331A" w:rsidP="002A3041">
            <w:pPr>
              <w:pStyle w:val="ListParagraph"/>
              <w:numPr>
                <w:ilvl w:val="0"/>
                <w:numId w:val="1"/>
              </w:numPr>
              <w:spacing w:after="120"/>
              <w:ind w:left="341"/>
              <w:contextualSpacing/>
              <w:jc w:val="both"/>
              <w:rPr>
                <w:rFonts w:ascii="Arial" w:hAnsi="Arial" w:cs="Arial"/>
                <w:sz w:val="22"/>
                <w:szCs w:val="22"/>
              </w:rPr>
            </w:pPr>
            <w:r w:rsidRPr="00010F83">
              <w:rPr>
                <w:rFonts w:ascii="Arial" w:hAnsi="Arial" w:cs="Arial"/>
                <w:sz w:val="22"/>
                <w:szCs w:val="22"/>
              </w:rPr>
              <w:t>K</w:t>
            </w:r>
            <w:r w:rsidR="00F278D3" w:rsidRPr="00010F83">
              <w:rPr>
                <w:rFonts w:ascii="Arial" w:hAnsi="Arial" w:cs="Arial"/>
                <w:sz w:val="22"/>
                <w:szCs w:val="22"/>
              </w:rPr>
              <w:t xml:space="preserve">hoản phải </w:t>
            </w:r>
            <w:proofErr w:type="gramStart"/>
            <w:r w:rsidR="00F278D3" w:rsidRPr="00010F83">
              <w:rPr>
                <w:rFonts w:ascii="Arial" w:hAnsi="Arial" w:cs="Arial"/>
                <w:sz w:val="22"/>
                <w:szCs w:val="22"/>
              </w:rPr>
              <w:t>thu</w:t>
            </w:r>
            <w:proofErr w:type="gramEnd"/>
            <w:r w:rsidR="00F278D3" w:rsidRPr="00010F83">
              <w:rPr>
                <w:rFonts w:ascii="Arial" w:hAnsi="Arial" w:cs="Arial"/>
                <w:sz w:val="22"/>
                <w:szCs w:val="22"/>
              </w:rPr>
              <w:t xml:space="preserve"> </w:t>
            </w:r>
            <w:r w:rsidR="00C66B71" w:rsidRPr="00010F83">
              <w:rPr>
                <w:rFonts w:ascii="Arial" w:hAnsi="Arial" w:cs="Arial"/>
                <w:sz w:val="22"/>
                <w:szCs w:val="22"/>
              </w:rPr>
              <w:t xml:space="preserve">thương mại </w:t>
            </w:r>
            <w:r w:rsidR="00F278D3" w:rsidRPr="00010F83">
              <w:rPr>
                <w:rFonts w:ascii="Arial" w:hAnsi="Arial" w:cs="Arial"/>
                <w:sz w:val="22"/>
                <w:szCs w:val="22"/>
              </w:rPr>
              <w:t xml:space="preserve">có giá trị ghi sổ là 100. Doanh </w:t>
            </w:r>
            <w:proofErr w:type="gramStart"/>
            <w:r w:rsidR="00F278D3" w:rsidRPr="00010F83">
              <w:rPr>
                <w:rFonts w:ascii="Arial" w:hAnsi="Arial" w:cs="Arial"/>
                <w:sz w:val="22"/>
                <w:szCs w:val="22"/>
              </w:rPr>
              <w:t>thu</w:t>
            </w:r>
            <w:proofErr w:type="gramEnd"/>
            <w:r w:rsidR="00F278D3" w:rsidRPr="00010F83">
              <w:rPr>
                <w:rFonts w:ascii="Arial" w:hAnsi="Arial" w:cs="Arial"/>
                <w:sz w:val="22"/>
                <w:szCs w:val="22"/>
              </w:rPr>
              <w:t xml:space="preserve"> </w:t>
            </w:r>
            <w:r w:rsidRPr="00010F83">
              <w:rPr>
                <w:rFonts w:ascii="Arial" w:hAnsi="Arial" w:cs="Arial"/>
                <w:sz w:val="22"/>
                <w:szCs w:val="22"/>
              </w:rPr>
              <w:t xml:space="preserve">tương ứng của khoản phải thu thương mại </w:t>
            </w:r>
            <w:r w:rsidR="00F278D3" w:rsidRPr="00010F83">
              <w:rPr>
                <w:rFonts w:ascii="Arial" w:hAnsi="Arial" w:cs="Arial"/>
                <w:sz w:val="22"/>
                <w:szCs w:val="22"/>
              </w:rPr>
              <w:t xml:space="preserve">đã được tính vào </w:t>
            </w:r>
            <w:r w:rsidR="00C66B71" w:rsidRPr="00010F83">
              <w:rPr>
                <w:rFonts w:ascii="Arial" w:hAnsi="Arial" w:cs="Arial"/>
                <w:sz w:val="22"/>
                <w:szCs w:val="22"/>
              </w:rPr>
              <w:t>thu nhập</w:t>
            </w:r>
            <w:r w:rsidR="00F278D3" w:rsidRPr="00010F83">
              <w:rPr>
                <w:rFonts w:ascii="Arial" w:hAnsi="Arial" w:cs="Arial"/>
                <w:sz w:val="22"/>
                <w:szCs w:val="22"/>
              </w:rPr>
              <w:t xml:space="preserve"> chịu thuế (lỗ </w:t>
            </w:r>
            <w:r w:rsidR="00C66B71" w:rsidRPr="00010F83">
              <w:rPr>
                <w:rFonts w:ascii="Arial" w:hAnsi="Arial" w:cs="Arial"/>
                <w:sz w:val="22"/>
                <w:szCs w:val="22"/>
              </w:rPr>
              <w:t xml:space="preserve">tính </w:t>
            </w:r>
            <w:r w:rsidR="00F278D3" w:rsidRPr="00010F83">
              <w:rPr>
                <w:rFonts w:ascii="Arial" w:hAnsi="Arial" w:cs="Arial"/>
                <w:sz w:val="22"/>
                <w:szCs w:val="22"/>
              </w:rPr>
              <w:t xml:space="preserve">thuế). </w:t>
            </w:r>
            <w:r w:rsidR="00F278D3" w:rsidRPr="00010F83">
              <w:rPr>
                <w:rFonts w:ascii="Arial" w:hAnsi="Arial" w:cs="Arial"/>
                <w:i/>
                <w:sz w:val="22"/>
                <w:szCs w:val="22"/>
              </w:rPr>
              <w:t xml:space="preserve">Cơ sở tính thuế của khoản phải </w:t>
            </w:r>
            <w:proofErr w:type="gramStart"/>
            <w:r w:rsidR="00F278D3" w:rsidRPr="00010F83">
              <w:rPr>
                <w:rFonts w:ascii="Arial" w:hAnsi="Arial" w:cs="Arial"/>
                <w:i/>
                <w:sz w:val="22"/>
                <w:szCs w:val="22"/>
              </w:rPr>
              <w:t>thu</w:t>
            </w:r>
            <w:proofErr w:type="gramEnd"/>
            <w:r w:rsidR="00F278D3" w:rsidRPr="00010F83">
              <w:rPr>
                <w:rFonts w:ascii="Arial" w:hAnsi="Arial" w:cs="Arial"/>
                <w:i/>
                <w:sz w:val="22"/>
                <w:szCs w:val="22"/>
              </w:rPr>
              <w:t xml:space="preserve"> </w:t>
            </w:r>
            <w:r w:rsidR="00C66B71" w:rsidRPr="00010F83">
              <w:rPr>
                <w:rFonts w:ascii="Arial" w:hAnsi="Arial" w:cs="Arial"/>
                <w:i/>
                <w:sz w:val="22"/>
                <w:szCs w:val="22"/>
              </w:rPr>
              <w:t xml:space="preserve">thương mại </w:t>
            </w:r>
            <w:r w:rsidR="00F278D3" w:rsidRPr="00010F83">
              <w:rPr>
                <w:rFonts w:ascii="Arial" w:hAnsi="Arial" w:cs="Arial"/>
                <w:i/>
                <w:sz w:val="22"/>
                <w:szCs w:val="22"/>
              </w:rPr>
              <w:t>này là 100</w:t>
            </w:r>
            <w:r w:rsidR="003320E5" w:rsidRPr="00010F83">
              <w:rPr>
                <w:rFonts w:ascii="Arial" w:hAnsi="Arial" w:cs="Arial"/>
                <w:sz w:val="22"/>
                <w:szCs w:val="22"/>
              </w:rPr>
              <w:t>.</w:t>
            </w:r>
          </w:p>
          <w:p w:rsidR="00217728" w:rsidRPr="00010F83" w:rsidRDefault="00217728" w:rsidP="00217728">
            <w:pPr>
              <w:pStyle w:val="ListParagraph"/>
              <w:rPr>
                <w:rFonts w:ascii="Arial" w:hAnsi="Arial" w:cs="Arial"/>
                <w:sz w:val="22"/>
                <w:szCs w:val="22"/>
              </w:rPr>
            </w:pPr>
          </w:p>
          <w:p w:rsidR="00F278D3" w:rsidRPr="00010F83" w:rsidRDefault="0072331A" w:rsidP="002A3041">
            <w:pPr>
              <w:pStyle w:val="ListParagraph"/>
              <w:numPr>
                <w:ilvl w:val="0"/>
                <w:numId w:val="1"/>
              </w:numPr>
              <w:spacing w:after="120"/>
              <w:ind w:left="341"/>
              <w:contextualSpacing/>
              <w:jc w:val="both"/>
              <w:rPr>
                <w:rFonts w:ascii="Arial" w:hAnsi="Arial" w:cs="Arial"/>
                <w:sz w:val="22"/>
                <w:szCs w:val="22"/>
              </w:rPr>
            </w:pPr>
            <w:r w:rsidRPr="00010F83">
              <w:rPr>
                <w:rFonts w:ascii="Arial" w:hAnsi="Arial" w:cs="Arial"/>
                <w:sz w:val="22"/>
                <w:szCs w:val="22"/>
              </w:rPr>
              <w:t>Một khoản c</w:t>
            </w:r>
            <w:r w:rsidR="00F278D3" w:rsidRPr="00010F83">
              <w:rPr>
                <w:rFonts w:ascii="Arial" w:hAnsi="Arial" w:cs="Arial"/>
                <w:sz w:val="22"/>
                <w:szCs w:val="22"/>
              </w:rPr>
              <w:t xml:space="preserve">ổ tức phải </w:t>
            </w:r>
            <w:proofErr w:type="gramStart"/>
            <w:r w:rsidR="00F278D3" w:rsidRPr="00010F83">
              <w:rPr>
                <w:rFonts w:ascii="Arial" w:hAnsi="Arial" w:cs="Arial"/>
                <w:sz w:val="22"/>
                <w:szCs w:val="22"/>
              </w:rPr>
              <w:t>thu</w:t>
            </w:r>
            <w:proofErr w:type="gramEnd"/>
            <w:r w:rsidR="00F278D3" w:rsidRPr="00010F83">
              <w:rPr>
                <w:rFonts w:ascii="Arial" w:hAnsi="Arial" w:cs="Arial"/>
                <w:sz w:val="22"/>
                <w:szCs w:val="22"/>
              </w:rPr>
              <w:t xml:space="preserve"> từ một công ty con có giá trị ghi sổ là 100. </w:t>
            </w:r>
            <w:r w:rsidRPr="00010F83">
              <w:rPr>
                <w:rFonts w:ascii="Arial" w:hAnsi="Arial" w:cs="Arial"/>
                <w:sz w:val="22"/>
                <w:szCs w:val="22"/>
              </w:rPr>
              <w:t>Khoản c</w:t>
            </w:r>
            <w:r w:rsidR="00F278D3" w:rsidRPr="00010F83">
              <w:rPr>
                <w:rFonts w:ascii="Arial" w:hAnsi="Arial" w:cs="Arial"/>
                <w:sz w:val="22"/>
                <w:szCs w:val="22"/>
              </w:rPr>
              <w:t xml:space="preserve">ổ tức </w:t>
            </w:r>
            <w:r w:rsidRPr="00010F83">
              <w:rPr>
                <w:rFonts w:ascii="Arial" w:hAnsi="Arial" w:cs="Arial"/>
                <w:sz w:val="22"/>
                <w:szCs w:val="22"/>
              </w:rPr>
              <w:t>này thuộc diện</w:t>
            </w:r>
            <w:r w:rsidR="00F278D3" w:rsidRPr="00010F83">
              <w:rPr>
                <w:rFonts w:ascii="Arial" w:hAnsi="Arial" w:cs="Arial"/>
                <w:sz w:val="22"/>
                <w:szCs w:val="22"/>
              </w:rPr>
              <w:t xml:space="preserve"> không phải chịu thuế</w:t>
            </w:r>
            <w:r w:rsidRPr="00010F83">
              <w:rPr>
                <w:rFonts w:ascii="Arial" w:hAnsi="Arial" w:cs="Arial"/>
                <w:sz w:val="22"/>
                <w:szCs w:val="22"/>
              </w:rPr>
              <w:t xml:space="preserve"> </w:t>
            </w:r>
            <w:proofErr w:type="gramStart"/>
            <w:r w:rsidRPr="00010F83">
              <w:rPr>
                <w:rFonts w:ascii="Arial" w:hAnsi="Arial" w:cs="Arial"/>
                <w:sz w:val="22"/>
                <w:szCs w:val="22"/>
              </w:rPr>
              <w:t>thu</w:t>
            </w:r>
            <w:proofErr w:type="gramEnd"/>
            <w:r w:rsidRPr="00010F83">
              <w:rPr>
                <w:rFonts w:ascii="Arial" w:hAnsi="Arial" w:cs="Arial"/>
                <w:sz w:val="22"/>
                <w:szCs w:val="22"/>
              </w:rPr>
              <w:t xml:space="preserve"> nhập doanh nghiệp</w:t>
            </w:r>
            <w:r w:rsidR="00F278D3" w:rsidRPr="00010F83">
              <w:rPr>
                <w:rFonts w:ascii="Arial" w:hAnsi="Arial" w:cs="Arial"/>
                <w:sz w:val="22"/>
                <w:szCs w:val="22"/>
              </w:rPr>
              <w:t xml:space="preserve">. Về bản chất, toàn bộ giá trị ghi sổ của tài sản </w:t>
            </w:r>
            <w:r w:rsidRPr="00010F83">
              <w:rPr>
                <w:rFonts w:ascii="Arial" w:hAnsi="Arial" w:cs="Arial"/>
                <w:sz w:val="22"/>
                <w:szCs w:val="22"/>
              </w:rPr>
              <w:t xml:space="preserve">này có thể </w:t>
            </w:r>
            <w:r w:rsidR="00F278D3" w:rsidRPr="00010F83">
              <w:rPr>
                <w:rFonts w:ascii="Arial" w:hAnsi="Arial" w:cs="Arial"/>
                <w:sz w:val="22"/>
                <w:szCs w:val="22"/>
              </w:rPr>
              <w:t xml:space="preserve">được </w:t>
            </w:r>
            <w:r w:rsidR="00C66B71" w:rsidRPr="00010F83">
              <w:rPr>
                <w:rFonts w:ascii="Arial" w:hAnsi="Arial" w:cs="Arial"/>
                <w:sz w:val="22"/>
                <w:szCs w:val="22"/>
              </w:rPr>
              <w:t>giảm trừ khỏi</w:t>
            </w:r>
            <w:r w:rsidR="00F278D3" w:rsidRPr="00010F83">
              <w:rPr>
                <w:rFonts w:ascii="Arial" w:hAnsi="Arial" w:cs="Arial"/>
                <w:sz w:val="22"/>
                <w:szCs w:val="22"/>
              </w:rPr>
              <w:t xml:space="preserve"> </w:t>
            </w:r>
            <w:r w:rsidRPr="00010F83">
              <w:rPr>
                <w:rFonts w:ascii="Arial" w:hAnsi="Arial" w:cs="Arial"/>
                <w:sz w:val="22"/>
                <w:szCs w:val="22"/>
              </w:rPr>
              <w:t xml:space="preserve">các </w:t>
            </w:r>
            <w:r w:rsidR="00F278D3" w:rsidRPr="00010F83">
              <w:rPr>
                <w:rFonts w:ascii="Arial" w:hAnsi="Arial" w:cs="Arial"/>
                <w:sz w:val="22"/>
                <w:szCs w:val="22"/>
              </w:rPr>
              <w:t>lợi ích kinh tế</w:t>
            </w:r>
            <w:r w:rsidR="00C66B71" w:rsidRPr="00010F83">
              <w:rPr>
                <w:rFonts w:ascii="Arial" w:hAnsi="Arial" w:cs="Arial"/>
                <w:sz w:val="22"/>
                <w:szCs w:val="22"/>
              </w:rPr>
              <w:t xml:space="preserve"> được tạo ra</w:t>
            </w:r>
            <w:r w:rsidR="00F278D3" w:rsidRPr="00010F83">
              <w:rPr>
                <w:rFonts w:ascii="Arial" w:hAnsi="Arial" w:cs="Arial"/>
                <w:sz w:val="22"/>
                <w:szCs w:val="22"/>
              </w:rPr>
              <w:t xml:space="preserve">. </w:t>
            </w:r>
            <w:r w:rsidR="00F278D3" w:rsidRPr="00010F83">
              <w:rPr>
                <w:rFonts w:ascii="Arial" w:hAnsi="Arial" w:cs="Arial"/>
                <w:i/>
                <w:sz w:val="22"/>
                <w:szCs w:val="22"/>
              </w:rPr>
              <w:t xml:space="preserve">Do đó, cơ sở </w:t>
            </w:r>
            <w:r w:rsidR="00C66B71" w:rsidRPr="00010F83">
              <w:rPr>
                <w:rFonts w:ascii="Arial" w:hAnsi="Arial" w:cs="Arial"/>
                <w:i/>
                <w:sz w:val="22"/>
                <w:szCs w:val="22"/>
              </w:rPr>
              <w:t xml:space="preserve">tính </w:t>
            </w:r>
            <w:r w:rsidR="00F278D3" w:rsidRPr="00010F83">
              <w:rPr>
                <w:rFonts w:ascii="Arial" w:hAnsi="Arial" w:cs="Arial"/>
                <w:i/>
                <w:sz w:val="22"/>
                <w:szCs w:val="22"/>
              </w:rPr>
              <w:t xml:space="preserve">thuế của </w:t>
            </w:r>
            <w:r w:rsidRPr="00010F83">
              <w:rPr>
                <w:rFonts w:ascii="Arial" w:hAnsi="Arial" w:cs="Arial"/>
                <w:i/>
                <w:sz w:val="22"/>
                <w:szCs w:val="22"/>
              </w:rPr>
              <w:t xml:space="preserve">khoản </w:t>
            </w:r>
            <w:r w:rsidR="00F278D3" w:rsidRPr="00010F83">
              <w:rPr>
                <w:rFonts w:ascii="Arial" w:hAnsi="Arial" w:cs="Arial"/>
                <w:i/>
                <w:sz w:val="22"/>
                <w:szCs w:val="22"/>
              </w:rPr>
              <w:t>cổ tức phải thu này là 100</w:t>
            </w:r>
            <w:r w:rsidR="003320E5" w:rsidRPr="00010F83">
              <w:rPr>
                <w:rFonts w:ascii="Arial" w:hAnsi="Arial" w:cs="Arial"/>
                <w:sz w:val="22"/>
                <w:szCs w:val="22"/>
              </w:rPr>
              <w:t>.</w:t>
            </w:r>
            <w:r w:rsidR="003320E5" w:rsidRPr="00010F83">
              <w:rPr>
                <w:rFonts w:ascii="Arial" w:hAnsi="Arial" w:cs="Arial"/>
                <w:sz w:val="22"/>
                <w:szCs w:val="22"/>
                <w:vertAlign w:val="superscript"/>
              </w:rPr>
              <w:t>(a)</w:t>
            </w:r>
          </w:p>
          <w:p w:rsidR="00217728" w:rsidRPr="00010F83" w:rsidRDefault="00217728" w:rsidP="00217728">
            <w:pPr>
              <w:pStyle w:val="ListParagraph"/>
              <w:rPr>
                <w:rFonts w:ascii="Arial" w:hAnsi="Arial" w:cs="Arial"/>
                <w:sz w:val="22"/>
                <w:szCs w:val="22"/>
              </w:rPr>
            </w:pPr>
          </w:p>
          <w:p w:rsidR="00F278D3" w:rsidRPr="00010F83" w:rsidRDefault="0072331A" w:rsidP="002A3041">
            <w:pPr>
              <w:pStyle w:val="ListParagraph"/>
              <w:numPr>
                <w:ilvl w:val="0"/>
                <w:numId w:val="1"/>
              </w:numPr>
              <w:spacing w:after="120"/>
              <w:ind w:left="341"/>
              <w:contextualSpacing/>
              <w:jc w:val="both"/>
              <w:rPr>
                <w:rFonts w:ascii="Arial" w:hAnsi="Arial" w:cs="Arial"/>
                <w:sz w:val="22"/>
                <w:szCs w:val="22"/>
              </w:rPr>
            </w:pPr>
            <w:r w:rsidRPr="00010F83">
              <w:rPr>
                <w:rFonts w:ascii="Arial" w:hAnsi="Arial" w:cs="Arial"/>
                <w:sz w:val="22"/>
                <w:szCs w:val="22"/>
              </w:rPr>
              <w:t>Một k</w:t>
            </w:r>
            <w:r w:rsidR="00C66B71" w:rsidRPr="00010F83">
              <w:rPr>
                <w:rFonts w:ascii="Arial" w:hAnsi="Arial" w:cs="Arial"/>
                <w:sz w:val="22"/>
                <w:szCs w:val="22"/>
              </w:rPr>
              <w:t xml:space="preserve">hoản cho vay phải </w:t>
            </w:r>
            <w:proofErr w:type="gramStart"/>
            <w:r w:rsidR="00C66B71" w:rsidRPr="00010F83">
              <w:rPr>
                <w:rFonts w:ascii="Arial" w:hAnsi="Arial" w:cs="Arial"/>
                <w:sz w:val="22"/>
                <w:szCs w:val="22"/>
              </w:rPr>
              <w:t>thu</w:t>
            </w:r>
            <w:proofErr w:type="gramEnd"/>
            <w:r w:rsidR="00C66B71" w:rsidRPr="00010F83">
              <w:rPr>
                <w:rFonts w:ascii="Arial" w:hAnsi="Arial" w:cs="Arial"/>
                <w:sz w:val="22"/>
                <w:szCs w:val="22"/>
              </w:rPr>
              <w:t xml:space="preserve"> có giá trị ghi sổ là 100. Việc </w:t>
            </w:r>
            <w:proofErr w:type="gramStart"/>
            <w:r w:rsidR="00C66B71" w:rsidRPr="00010F83">
              <w:rPr>
                <w:rFonts w:ascii="Arial" w:hAnsi="Arial" w:cs="Arial"/>
                <w:sz w:val="22"/>
                <w:szCs w:val="22"/>
              </w:rPr>
              <w:t>thu</w:t>
            </w:r>
            <w:proofErr w:type="gramEnd"/>
            <w:r w:rsidR="00C66B71" w:rsidRPr="00010F83">
              <w:rPr>
                <w:rFonts w:ascii="Arial" w:hAnsi="Arial" w:cs="Arial"/>
                <w:sz w:val="22"/>
                <w:szCs w:val="22"/>
              </w:rPr>
              <w:t xml:space="preserve"> hồi khoản cho vay này không có ảnh hưởng về thuế</w:t>
            </w:r>
            <w:r w:rsidRPr="00010F83">
              <w:rPr>
                <w:rFonts w:ascii="Arial" w:hAnsi="Arial" w:cs="Arial"/>
                <w:sz w:val="22"/>
                <w:szCs w:val="22"/>
              </w:rPr>
              <w:t xml:space="preserve"> thu nhập</w:t>
            </w:r>
            <w:r w:rsidR="00C66B71" w:rsidRPr="00010F83">
              <w:rPr>
                <w:rFonts w:ascii="Arial" w:hAnsi="Arial" w:cs="Arial"/>
                <w:sz w:val="22"/>
                <w:szCs w:val="22"/>
              </w:rPr>
              <w:t xml:space="preserve">. </w:t>
            </w:r>
            <w:r w:rsidR="00C66B71" w:rsidRPr="00010F83">
              <w:rPr>
                <w:rFonts w:ascii="Arial" w:hAnsi="Arial" w:cs="Arial"/>
                <w:i/>
                <w:sz w:val="22"/>
                <w:szCs w:val="22"/>
              </w:rPr>
              <w:t>Cơ sở tính thuế của khoản cho vay này là 100</w:t>
            </w:r>
            <w:r w:rsidR="00C66B71" w:rsidRPr="00010F83">
              <w:rPr>
                <w:rFonts w:ascii="Arial" w:hAnsi="Arial" w:cs="Arial"/>
                <w:sz w:val="22"/>
                <w:szCs w:val="22"/>
              </w:rPr>
              <w:t>.</w:t>
            </w:r>
          </w:p>
        </w:tc>
      </w:tr>
      <w:tr w:rsidR="00F278D3" w:rsidRPr="00010F83" w:rsidTr="00217728">
        <w:trPr>
          <w:trHeight w:val="755"/>
        </w:trPr>
        <w:tc>
          <w:tcPr>
            <w:tcW w:w="8630" w:type="dxa"/>
          </w:tcPr>
          <w:p w:rsidR="00F278D3" w:rsidRPr="00010F83" w:rsidRDefault="00217728" w:rsidP="00201D3A">
            <w:pPr>
              <w:spacing w:before="120" w:after="120"/>
              <w:ind w:left="331" w:hanging="331"/>
              <w:contextualSpacing/>
              <w:jc w:val="both"/>
              <w:rPr>
                <w:rFonts w:ascii="Arial" w:hAnsi="Arial" w:cs="Arial"/>
                <w:sz w:val="16"/>
                <w:szCs w:val="16"/>
              </w:rPr>
            </w:pPr>
            <w:r w:rsidRPr="00010F83">
              <w:rPr>
                <w:rFonts w:ascii="Arial" w:hAnsi="Arial" w:cs="Arial"/>
                <w:sz w:val="16"/>
                <w:szCs w:val="16"/>
              </w:rPr>
              <w:t xml:space="preserve">(a)   </w:t>
            </w:r>
            <w:r w:rsidR="00C66B71" w:rsidRPr="00010F83">
              <w:rPr>
                <w:rFonts w:ascii="Arial" w:hAnsi="Arial" w:cs="Arial"/>
                <w:sz w:val="16"/>
                <w:szCs w:val="16"/>
              </w:rPr>
              <w:t xml:space="preserve">Theo phân tích này, ở đây không có chênh lệch tạm thời </w:t>
            </w:r>
            <w:r w:rsidR="0072331A" w:rsidRPr="00010F83">
              <w:rPr>
                <w:rFonts w:ascii="Arial" w:hAnsi="Arial" w:cs="Arial"/>
                <w:sz w:val="16"/>
                <w:szCs w:val="16"/>
              </w:rPr>
              <w:t xml:space="preserve">phải </w:t>
            </w:r>
            <w:r w:rsidR="00C66B71" w:rsidRPr="00010F83">
              <w:rPr>
                <w:rFonts w:ascii="Arial" w:hAnsi="Arial" w:cs="Arial"/>
                <w:sz w:val="16"/>
                <w:szCs w:val="16"/>
              </w:rPr>
              <w:t xml:space="preserve">chịu thuế. </w:t>
            </w:r>
            <w:r w:rsidR="0072331A" w:rsidRPr="00010F83">
              <w:rPr>
                <w:rFonts w:ascii="Arial" w:hAnsi="Arial" w:cs="Arial"/>
                <w:sz w:val="16"/>
                <w:szCs w:val="16"/>
              </w:rPr>
              <w:t>Nói</w:t>
            </w:r>
            <w:r w:rsidR="00C66B71" w:rsidRPr="00010F83">
              <w:rPr>
                <w:rFonts w:ascii="Arial" w:hAnsi="Arial" w:cs="Arial"/>
                <w:sz w:val="16"/>
                <w:szCs w:val="16"/>
              </w:rPr>
              <w:t xml:space="preserve"> </w:t>
            </w:r>
            <w:r w:rsidR="004005DA" w:rsidRPr="00010F83">
              <w:rPr>
                <w:rFonts w:ascii="Arial" w:hAnsi="Arial" w:cs="Arial"/>
                <w:sz w:val="16"/>
                <w:szCs w:val="16"/>
              </w:rPr>
              <w:t>cách khác</w:t>
            </w:r>
            <w:r w:rsidR="00CA1792" w:rsidRPr="00010F83">
              <w:rPr>
                <w:rFonts w:ascii="Arial" w:hAnsi="Arial" w:cs="Arial"/>
                <w:sz w:val="16"/>
                <w:szCs w:val="16"/>
              </w:rPr>
              <w:t>,</w:t>
            </w:r>
            <w:r w:rsidR="00C66B71" w:rsidRPr="00010F83">
              <w:rPr>
                <w:rFonts w:ascii="Arial" w:hAnsi="Arial" w:cs="Arial"/>
                <w:sz w:val="16"/>
                <w:szCs w:val="16"/>
              </w:rPr>
              <w:t xml:space="preserve"> khoản cổ tức phải thu này có cơ sở tính thuế </w:t>
            </w:r>
            <w:r w:rsidR="004005DA" w:rsidRPr="00010F83">
              <w:rPr>
                <w:rFonts w:ascii="Arial" w:hAnsi="Arial" w:cs="Arial"/>
                <w:sz w:val="16"/>
                <w:szCs w:val="16"/>
              </w:rPr>
              <w:t>bằng</w:t>
            </w:r>
            <w:r w:rsidR="00C66B71" w:rsidRPr="00010F83">
              <w:rPr>
                <w:rFonts w:ascii="Arial" w:hAnsi="Arial" w:cs="Arial"/>
                <w:sz w:val="16"/>
                <w:szCs w:val="16"/>
              </w:rPr>
              <w:t xml:space="preserve"> không </w:t>
            </w:r>
            <w:r w:rsidR="003320E5" w:rsidRPr="00010F83">
              <w:rPr>
                <w:rFonts w:ascii="Arial" w:hAnsi="Arial" w:cs="Arial"/>
                <w:sz w:val="16"/>
                <w:szCs w:val="16"/>
              </w:rPr>
              <w:t xml:space="preserve">dẫn đến </w:t>
            </w:r>
            <w:r w:rsidR="00C66B71" w:rsidRPr="00010F83">
              <w:rPr>
                <w:rFonts w:ascii="Arial" w:hAnsi="Arial" w:cs="Arial"/>
                <w:sz w:val="16"/>
                <w:szCs w:val="16"/>
              </w:rPr>
              <w:t>khoản chênh lệch tạm phải chịu thuế phát sinh là 100</w:t>
            </w:r>
            <w:r w:rsidR="004005DA" w:rsidRPr="00010F83">
              <w:rPr>
                <w:rFonts w:ascii="Arial" w:hAnsi="Arial" w:cs="Arial"/>
                <w:sz w:val="16"/>
                <w:szCs w:val="16"/>
              </w:rPr>
              <w:t>, nhưng áp dụng thuế suất 0% cho cổ tức</w:t>
            </w:r>
            <w:r w:rsidR="00C66B71" w:rsidRPr="00010F83">
              <w:rPr>
                <w:rFonts w:ascii="Arial" w:hAnsi="Arial" w:cs="Arial"/>
                <w:sz w:val="16"/>
                <w:szCs w:val="16"/>
              </w:rPr>
              <w:t xml:space="preserve">. </w:t>
            </w:r>
            <w:r w:rsidR="00D85469" w:rsidRPr="00010F83">
              <w:rPr>
                <w:rFonts w:ascii="Arial" w:hAnsi="Arial" w:cs="Arial"/>
                <w:sz w:val="16"/>
                <w:szCs w:val="16"/>
              </w:rPr>
              <w:t>C</w:t>
            </w:r>
            <w:r w:rsidR="00C66B71" w:rsidRPr="00010F83">
              <w:rPr>
                <w:rFonts w:ascii="Arial" w:hAnsi="Arial" w:cs="Arial"/>
                <w:sz w:val="16"/>
                <w:szCs w:val="16"/>
              </w:rPr>
              <w:t xml:space="preserve">ả hai cách </w:t>
            </w:r>
            <w:r w:rsidR="004005DA" w:rsidRPr="00010F83">
              <w:rPr>
                <w:rFonts w:ascii="Arial" w:hAnsi="Arial" w:cs="Arial"/>
                <w:sz w:val="16"/>
                <w:szCs w:val="16"/>
              </w:rPr>
              <w:t xml:space="preserve">phân tích </w:t>
            </w:r>
            <w:r w:rsidR="00C66B71" w:rsidRPr="00010F83">
              <w:rPr>
                <w:rFonts w:ascii="Arial" w:hAnsi="Arial" w:cs="Arial"/>
                <w:sz w:val="16"/>
                <w:szCs w:val="16"/>
              </w:rPr>
              <w:t xml:space="preserve">trên đều </w:t>
            </w:r>
            <w:r w:rsidR="00D85469" w:rsidRPr="00010F83">
              <w:rPr>
                <w:rFonts w:ascii="Arial" w:hAnsi="Arial" w:cs="Arial"/>
                <w:sz w:val="16"/>
                <w:szCs w:val="16"/>
              </w:rPr>
              <w:t xml:space="preserve">dẫn đến kết quả </w:t>
            </w:r>
            <w:r w:rsidR="00C66B71" w:rsidRPr="00010F83">
              <w:rPr>
                <w:rFonts w:ascii="Arial" w:hAnsi="Arial" w:cs="Arial"/>
                <w:sz w:val="16"/>
                <w:szCs w:val="16"/>
              </w:rPr>
              <w:t xml:space="preserve">không </w:t>
            </w:r>
            <w:r w:rsidR="00D85469" w:rsidRPr="00010F83">
              <w:rPr>
                <w:rFonts w:ascii="Arial" w:hAnsi="Arial" w:cs="Arial"/>
                <w:sz w:val="16"/>
                <w:szCs w:val="16"/>
              </w:rPr>
              <w:t>ghi nhận</w:t>
            </w:r>
            <w:r w:rsidR="00C66B71" w:rsidRPr="00010F83">
              <w:rPr>
                <w:rFonts w:ascii="Arial" w:hAnsi="Arial" w:cs="Arial"/>
                <w:sz w:val="16"/>
                <w:szCs w:val="16"/>
              </w:rPr>
              <w:t xml:space="preserve"> </w:t>
            </w:r>
            <w:r w:rsidR="00731917" w:rsidRPr="00010F83">
              <w:rPr>
                <w:rFonts w:ascii="Arial" w:hAnsi="Arial" w:cs="Arial"/>
                <w:sz w:val="16"/>
                <w:szCs w:val="16"/>
              </w:rPr>
              <w:t>thuế TNDN</w:t>
            </w:r>
            <w:r w:rsidR="003320E5" w:rsidRPr="00010F83">
              <w:rPr>
                <w:rFonts w:ascii="Arial" w:hAnsi="Arial" w:cs="Arial"/>
                <w:sz w:val="16"/>
                <w:szCs w:val="16"/>
              </w:rPr>
              <w:t xml:space="preserve"> </w:t>
            </w:r>
            <w:r w:rsidR="00C66B71" w:rsidRPr="00010F83">
              <w:rPr>
                <w:rFonts w:ascii="Arial" w:hAnsi="Arial" w:cs="Arial"/>
                <w:sz w:val="16"/>
                <w:szCs w:val="16"/>
              </w:rPr>
              <w:t>hoãn lại phải trả.</w:t>
            </w:r>
          </w:p>
        </w:tc>
      </w:tr>
    </w:tbl>
    <w:p w:rsidR="00F278D3" w:rsidRPr="00010F83" w:rsidRDefault="00F278D3" w:rsidP="00590853">
      <w:pPr>
        <w:autoSpaceDE w:val="0"/>
        <w:autoSpaceDN w:val="0"/>
        <w:adjustRightInd w:val="0"/>
        <w:spacing w:after="120" w:line="240" w:lineRule="auto"/>
        <w:jc w:val="both"/>
        <w:rPr>
          <w:rFonts w:ascii="Arial" w:hAnsi="Arial" w:cs="Arial"/>
          <w:bCs/>
        </w:rPr>
      </w:pPr>
    </w:p>
    <w:p w:rsidR="00F278D3" w:rsidRPr="00010F83" w:rsidRDefault="00F278D3" w:rsidP="002A3041">
      <w:pPr>
        <w:autoSpaceDE w:val="0"/>
        <w:autoSpaceDN w:val="0"/>
        <w:adjustRightInd w:val="0"/>
        <w:spacing w:after="120" w:line="240" w:lineRule="auto"/>
        <w:ind w:left="720" w:hanging="720"/>
        <w:jc w:val="both"/>
        <w:rPr>
          <w:rFonts w:ascii="Arial" w:hAnsi="Arial" w:cs="Arial"/>
          <w:bCs/>
        </w:rPr>
      </w:pPr>
      <w:r w:rsidRPr="00010F83">
        <w:rPr>
          <w:rFonts w:ascii="Arial" w:hAnsi="Arial" w:cs="Arial"/>
          <w:bCs/>
        </w:rPr>
        <w:t>8</w:t>
      </w:r>
      <w:r w:rsidRPr="00010F83">
        <w:rPr>
          <w:rFonts w:ascii="Arial" w:hAnsi="Arial" w:cs="Arial"/>
          <w:bCs/>
        </w:rPr>
        <w:tab/>
      </w:r>
      <w:r w:rsidR="003320E5" w:rsidRPr="00010F83">
        <w:rPr>
          <w:rFonts w:ascii="Arial" w:hAnsi="Arial" w:cs="Arial"/>
          <w:bCs/>
        </w:rPr>
        <w:t xml:space="preserve">Cơ sở tính thuế của một khoản nợ phải trả </w:t>
      </w:r>
      <w:r w:rsidR="00C646D0" w:rsidRPr="00010F83">
        <w:rPr>
          <w:rFonts w:ascii="Arial" w:hAnsi="Arial" w:cs="Arial"/>
          <w:bCs/>
        </w:rPr>
        <w:t>bằng</w:t>
      </w:r>
      <w:r w:rsidR="003320E5" w:rsidRPr="00010F83">
        <w:rPr>
          <w:rFonts w:ascii="Arial" w:hAnsi="Arial" w:cs="Arial"/>
          <w:bCs/>
        </w:rPr>
        <w:t xml:space="preserve"> giá trị ghi sổ của </w:t>
      </w:r>
      <w:r w:rsidR="00C646D0" w:rsidRPr="00010F83">
        <w:rPr>
          <w:rFonts w:ascii="Arial" w:hAnsi="Arial" w:cs="Arial"/>
          <w:bCs/>
        </w:rPr>
        <w:t>khoản nợ đó</w:t>
      </w:r>
      <w:r w:rsidR="003320E5" w:rsidRPr="00010F83">
        <w:rPr>
          <w:rFonts w:ascii="Arial" w:hAnsi="Arial" w:cs="Arial"/>
          <w:bCs/>
        </w:rPr>
        <w:t xml:space="preserve"> trừ đi giá trị sẽ được khấu trừ cho mục đích tính thuế </w:t>
      </w:r>
      <w:proofErr w:type="gramStart"/>
      <w:r w:rsidR="0072331A" w:rsidRPr="00010F83">
        <w:rPr>
          <w:rFonts w:ascii="Arial" w:hAnsi="Arial" w:cs="Arial"/>
          <w:bCs/>
        </w:rPr>
        <w:t>thu</w:t>
      </w:r>
      <w:proofErr w:type="gramEnd"/>
      <w:r w:rsidR="0072331A" w:rsidRPr="00010F83">
        <w:rPr>
          <w:rFonts w:ascii="Arial" w:hAnsi="Arial" w:cs="Arial"/>
          <w:bCs/>
        </w:rPr>
        <w:t xml:space="preserve"> nhập </w:t>
      </w:r>
      <w:r w:rsidR="003320E5" w:rsidRPr="00010F83">
        <w:rPr>
          <w:rFonts w:ascii="Arial" w:hAnsi="Arial" w:cs="Arial"/>
          <w:bCs/>
        </w:rPr>
        <w:t xml:space="preserve">của khoản nợ phải trả đó trong các kỳ tương lai. </w:t>
      </w:r>
      <w:r w:rsidR="00722968" w:rsidRPr="00010F83">
        <w:rPr>
          <w:rFonts w:ascii="Arial" w:hAnsi="Arial" w:cs="Arial"/>
          <w:bCs/>
        </w:rPr>
        <w:t>Đối với</w:t>
      </w:r>
      <w:r w:rsidR="003320E5" w:rsidRPr="00010F83">
        <w:rPr>
          <w:rFonts w:ascii="Arial" w:hAnsi="Arial" w:cs="Arial"/>
          <w:bCs/>
        </w:rPr>
        <w:t xml:space="preserve"> doanh </w:t>
      </w:r>
      <w:proofErr w:type="gramStart"/>
      <w:r w:rsidR="003320E5" w:rsidRPr="00010F83">
        <w:rPr>
          <w:rFonts w:ascii="Arial" w:hAnsi="Arial" w:cs="Arial"/>
          <w:bCs/>
        </w:rPr>
        <w:t>thu</w:t>
      </w:r>
      <w:proofErr w:type="gramEnd"/>
      <w:r w:rsidR="003320E5" w:rsidRPr="00010F83">
        <w:rPr>
          <w:rFonts w:ascii="Arial" w:hAnsi="Arial" w:cs="Arial"/>
          <w:bCs/>
        </w:rPr>
        <w:t xml:space="preserve"> nhận trước, cơ sở tính thuế của khoản </w:t>
      </w:r>
      <w:r w:rsidR="00C646D0" w:rsidRPr="00010F83">
        <w:rPr>
          <w:rFonts w:ascii="Arial" w:hAnsi="Arial" w:cs="Arial"/>
          <w:bCs/>
        </w:rPr>
        <w:t>doanh thu</w:t>
      </w:r>
      <w:r w:rsidR="003320E5" w:rsidRPr="00010F83">
        <w:rPr>
          <w:rFonts w:ascii="Arial" w:hAnsi="Arial" w:cs="Arial"/>
          <w:bCs/>
        </w:rPr>
        <w:t xml:space="preserve"> nhận trước </w:t>
      </w:r>
      <w:r w:rsidR="00C646D0" w:rsidRPr="00010F83">
        <w:rPr>
          <w:rFonts w:ascii="Arial" w:hAnsi="Arial" w:cs="Arial"/>
          <w:bCs/>
        </w:rPr>
        <w:t>bằng</w:t>
      </w:r>
      <w:r w:rsidR="003320E5" w:rsidRPr="00010F83">
        <w:rPr>
          <w:rFonts w:ascii="Arial" w:hAnsi="Arial" w:cs="Arial"/>
          <w:bCs/>
        </w:rPr>
        <w:t xml:space="preserve"> giá trị ghi sổ, trừ đi phần </w:t>
      </w:r>
      <w:r w:rsidR="00722968" w:rsidRPr="00010F83">
        <w:rPr>
          <w:rFonts w:ascii="Arial" w:hAnsi="Arial" w:cs="Arial"/>
          <w:bCs/>
        </w:rPr>
        <w:t xml:space="preserve">giá trị của </w:t>
      </w:r>
      <w:r w:rsidR="003320E5" w:rsidRPr="00010F83">
        <w:rPr>
          <w:rFonts w:ascii="Arial" w:hAnsi="Arial" w:cs="Arial"/>
          <w:bCs/>
        </w:rPr>
        <w:t xml:space="preserve">doanh thu </w:t>
      </w:r>
      <w:r w:rsidR="00722968" w:rsidRPr="00010F83">
        <w:rPr>
          <w:rFonts w:ascii="Arial" w:hAnsi="Arial" w:cs="Arial"/>
          <w:bCs/>
        </w:rPr>
        <w:t xml:space="preserve">đó sẽ được ghi nhận nhưng </w:t>
      </w:r>
      <w:r w:rsidR="003320E5" w:rsidRPr="00010F83">
        <w:rPr>
          <w:rFonts w:ascii="Arial" w:hAnsi="Arial" w:cs="Arial"/>
          <w:bCs/>
        </w:rPr>
        <w:t xml:space="preserve">không phải chịu thuế </w:t>
      </w:r>
      <w:r w:rsidR="00722968" w:rsidRPr="00010F83">
        <w:rPr>
          <w:rFonts w:ascii="Arial" w:hAnsi="Arial" w:cs="Arial"/>
          <w:bCs/>
        </w:rPr>
        <w:t xml:space="preserve">thu nhập </w:t>
      </w:r>
      <w:r w:rsidR="003320E5" w:rsidRPr="00010F83">
        <w:rPr>
          <w:rFonts w:ascii="Arial" w:hAnsi="Arial" w:cs="Arial"/>
          <w:bCs/>
        </w:rPr>
        <w:t>trong tương lai.</w:t>
      </w:r>
    </w:p>
    <w:p w:rsidR="00F278D3" w:rsidRPr="00010F83" w:rsidRDefault="00F278D3" w:rsidP="00590853">
      <w:pPr>
        <w:autoSpaceDE w:val="0"/>
        <w:autoSpaceDN w:val="0"/>
        <w:adjustRightInd w:val="0"/>
        <w:spacing w:after="120" w:line="240" w:lineRule="auto"/>
        <w:jc w:val="both"/>
        <w:rPr>
          <w:rFonts w:ascii="Arial" w:hAnsi="Arial" w:cs="Arial"/>
          <w:bCs/>
        </w:rPr>
      </w:pPr>
    </w:p>
    <w:tbl>
      <w:tblPr>
        <w:tblStyle w:val="TableGrid"/>
        <w:tblW w:w="0" w:type="auto"/>
        <w:tblInd w:w="720" w:type="dxa"/>
        <w:tblLook w:val="04A0"/>
      </w:tblPr>
      <w:tblGrid>
        <w:gridCol w:w="8630"/>
      </w:tblGrid>
      <w:tr w:rsidR="00F278D3" w:rsidRPr="00010F83" w:rsidTr="00E16242">
        <w:tc>
          <w:tcPr>
            <w:tcW w:w="8630" w:type="dxa"/>
            <w:tcBorders>
              <w:bottom w:val="single" w:sz="4" w:space="0" w:color="auto"/>
            </w:tcBorders>
          </w:tcPr>
          <w:p w:rsidR="00F278D3" w:rsidRPr="00010F83" w:rsidRDefault="00201D3A" w:rsidP="00590853">
            <w:pPr>
              <w:pStyle w:val="ListParagraph"/>
              <w:spacing w:after="120"/>
              <w:ind w:left="0"/>
              <w:jc w:val="both"/>
              <w:rPr>
                <w:rFonts w:ascii="Arial" w:hAnsi="Arial" w:cs="Arial"/>
                <w:b/>
                <w:sz w:val="22"/>
                <w:szCs w:val="22"/>
              </w:rPr>
            </w:pPr>
            <w:r w:rsidRPr="00010F83">
              <w:rPr>
                <w:rFonts w:ascii="Arial" w:hAnsi="Arial" w:cs="Arial"/>
                <w:b/>
                <w:sz w:val="22"/>
                <w:szCs w:val="22"/>
              </w:rPr>
              <w:t>Ví dụ</w:t>
            </w:r>
          </w:p>
        </w:tc>
      </w:tr>
      <w:tr w:rsidR="00F278D3" w:rsidRPr="00010F83" w:rsidTr="00E16242">
        <w:trPr>
          <w:trHeight w:val="1655"/>
        </w:trPr>
        <w:tc>
          <w:tcPr>
            <w:tcW w:w="8630" w:type="dxa"/>
            <w:tcBorders>
              <w:bottom w:val="nil"/>
            </w:tcBorders>
          </w:tcPr>
          <w:p w:rsidR="00F278D3" w:rsidRPr="00010F83" w:rsidRDefault="00722968" w:rsidP="002A3041">
            <w:pPr>
              <w:pStyle w:val="ListParagraph"/>
              <w:numPr>
                <w:ilvl w:val="0"/>
                <w:numId w:val="3"/>
              </w:numPr>
              <w:spacing w:after="120"/>
              <w:ind w:left="341"/>
              <w:contextualSpacing/>
              <w:jc w:val="both"/>
              <w:rPr>
                <w:rFonts w:ascii="Arial" w:hAnsi="Arial" w:cs="Arial"/>
                <w:sz w:val="22"/>
                <w:szCs w:val="22"/>
              </w:rPr>
            </w:pPr>
            <w:r w:rsidRPr="00010F83">
              <w:rPr>
                <w:rFonts w:ascii="Arial" w:hAnsi="Arial" w:cs="Arial"/>
                <w:sz w:val="22"/>
                <w:szCs w:val="22"/>
              </w:rPr>
              <w:lastRenderedPageBreak/>
              <w:t xml:space="preserve">Nợ phải trả ngắn hạn có khoản chi phí trích trước </w:t>
            </w:r>
            <w:r w:rsidR="003320E5" w:rsidRPr="00010F83">
              <w:rPr>
                <w:rFonts w:ascii="Arial" w:hAnsi="Arial" w:cs="Arial"/>
                <w:sz w:val="22"/>
                <w:szCs w:val="22"/>
              </w:rPr>
              <w:t xml:space="preserve">có giá trị ghi sổ là 100. Chi phí tương ứng được </w:t>
            </w:r>
            <w:r w:rsidR="00C646D0" w:rsidRPr="00010F83">
              <w:rPr>
                <w:rFonts w:ascii="Arial" w:hAnsi="Arial" w:cs="Arial"/>
                <w:sz w:val="22"/>
                <w:szCs w:val="22"/>
              </w:rPr>
              <w:t xml:space="preserve">khấu </w:t>
            </w:r>
            <w:r w:rsidR="003320E5" w:rsidRPr="00010F83">
              <w:rPr>
                <w:rFonts w:ascii="Arial" w:hAnsi="Arial" w:cs="Arial"/>
                <w:sz w:val="22"/>
                <w:szCs w:val="22"/>
              </w:rPr>
              <w:t xml:space="preserve">trừ cho mục đích tính thuế </w:t>
            </w:r>
            <w:proofErr w:type="gramStart"/>
            <w:r w:rsidRPr="00010F83">
              <w:rPr>
                <w:rFonts w:ascii="Arial" w:hAnsi="Arial" w:cs="Arial"/>
                <w:sz w:val="22"/>
                <w:szCs w:val="22"/>
              </w:rPr>
              <w:t>thu</w:t>
            </w:r>
            <w:proofErr w:type="gramEnd"/>
            <w:r w:rsidRPr="00010F83">
              <w:rPr>
                <w:rFonts w:ascii="Arial" w:hAnsi="Arial" w:cs="Arial"/>
                <w:sz w:val="22"/>
                <w:szCs w:val="22"/>
              </w:rPr>
              <w:t xml:space="preserve"> nhập là </w:t>
            </w:r>
            <w:r w:rsidR="003320E5" w:rsidRPr="00010F83">
              <w:rPr>
                <w:rFonts w:ascii="Arial" w:hAnsi="Arial" w:cs="Arial"/>
                <w:sz w:val="22"/>
                <w:szCs w:val="22"/>
              </w:rPr>
              <w:t xml:space="preserve">trên cơ sở thực chi. </w:t>
            </w:r>
            <w:r w:rsidR="003320E5" w:rsidRPr="00010F83">
              <w:rPr>
                <w:rFonts w:ascii="Arial" w:hAnsi="Arial" w:cs="Arial"/>
                <w:i/>
                <w:sz w:val="22"/>
                <w:szCs w:val="22"/>
              </w:rPr>
              <w:t xml:space="preserve">Cơ sở tính thuế của chi phí phải trả này </w:t>
            </w:r>
            <w:r w:rsidR="00C646D0" w:rsidRPr="00010F83">
              <w:rPr>
                <w:rFonts w:ascii="Arial" w:hAnsi="Arial" w:cs="Arial"/>
                <w:i/>
                <w:sz w:val="22"/>
                <w:szCs w:val="22"/>
              </w:rPr>
              <w:t>bằng</w:t>
            </w:r>
            <w:r w:rsidR="003320E5" w:rsidRPr="00010F83">
              <w:rPr>
                <w:rFonts w:ascii="Arial" w:hAnsi="Arial" w:cs="Arial"/>
                <w:i/>
                <w:sz w:val="22"/>
                <w:szCs w:val="22"/>
              </w:rPr>
              <w:t xml:space="preserve"> không</w:t>
            </w:r>
            <w:r w:rsidR="003320E5" w:rsidRPr="00010F83">
              <w:rPr>
                <w:rFonts w:ascii="Arial" w:hAnsi="Arial" w:cs="Arial"/>
                <w:sz w:val="22"/>
                <w:szCs w:val="22"/>
              </w:rPr>
              <w:t>.</w:t>
            </w:r>
          </w:p>
          <w:p w:rsidR="00201D3A" w:rsidRPr="00010F83" w:rsidRDefault="00201D3A" w:rsidP="00201D3A">
            <w:pPr>
              <w:pStyle w:val="ListParagraph"/>
              <w:spacing w:after="120"/>
              <w:ind w:left="341"/>
              <w:contextualSpacing/>
              <w:jc w:val="both"/>
              <w:rPr>
                <w:rFonts w:ascii="Arial" w:hAnsi="Arial" w:cs="Arial"/>
                <w:sz w:val="22"/>
                <w:szCs w:val="22"/>
              </w:rPr>
            </w:pPr>
          </w:p>
          <w:p w:rsidR="00F278D3" w:rsidRPr="00010F83" w:rsidRDefault="00722968" w:rsidP="00E16242">
            <w:pPr>
              <w:pStyle w:val="ListParagraph"/>
              <w:numPr>
                <w:ilvl w:val="0"/>
                <w:numId w:val="3"/>
              </w:numPr>
              <w:spacing w:after="120"/>
              <w:ind w:left="341"/>
              <w:contextualSpacing/>
              <w:jc w:val="both"/>
              <w:rPr>
                <w:rFonts w:ascii="Arial" w:hAnsi="Arial" w:cs="Arial"/>
                <w:sz w:val="22"/>
                <w:szCs w:val="22"/>
              </w:rPr>
            </w:pPr>
            <w:r w:rsidRPr="00010F83">
              <w:rPr>
                <w:rFonts w:ascii="Arial" w:hAnsi="Arial" w:cs="Arial"/>
                <w:sz w:val="22"/>
                <w:szCs w:val="22"/>
              </w:rPr>
              <w:t xml:space="preserve">Nợ phải trả ngắn hạn có khoản </w:t>
            </w:r>
            <w:proofErr w:type="gramStart"/>
            <w:r w:rsidRPr="00010F83">
              <w:rPr>
                <w:rFonts w:ascii="Arial" w:hAnsi="Arial" w:cs="Arial"/>
                <w:sz w:val="22"/>
                <w:szCs w:val="22"/>
              </w:rPr>
              <w:t>t</w:t>
            </w:r>
            <w:r w:rsidR="00C646D0" w:rsidRPr="00010F83">
              <w:rPr>
                <w:rFonts w:ascii="Arial" w:hAnsi="Arial" w:cs="Arial"/>
                <w:sz w:val="22"/>
                <w:szCs w:val="22"/>
              </w:rPr>
              <w:t>hu</w:t>
            </w:r>
            <w:proofErr w:type="gramEnd"/>
            <w:r w:rsidR="00C646D0" w:rsidRPr="00010F83">
              <w:rPr>
                <w:rFonts w:ascii="Arial" w:hAnsi="Arial" w:cs="Arial"/>
                <w:sz w:val="22"/>
                <w:szCs w:val="22"/>
              </w:rPr>
              <w:t xml:space="preserve"> nhập lãi </w:t>
            </w:r>
            <w:r w:rsidR="003320E5" w:rsidRPr="00010F83">
              <w:rPr>
                <w:rFonts w:ascii="Arial" w:hAnsi="Arial" w:cs="Arial"/>
                <w:sz w:val="22"/>
                <w:szCs w:val="22"/>
              </w:rPr>
              <w:t xml:space="preserve">nhận trước có giá trị ghi sổ là 100. </w:t>
            </w:r>
            <w:r w:rsidR="00C646D0" w:rsidRPr="00010F83">
              <w:rPr>
                <w:rFonts w:ascii="Arial" w:hAnsi="Arial" w:cs="Arial"/>
                <w:sz w:val="22"/>
                <w:szCs w:val="22"/>
              </w:rPr>
              <w:t>Thu nhập lãi tiền gửi</w:t>
            </w:r>
            <w:r w:rsidR="003320E5" w:rsidRPr="00010F83">
              <w:rPr>
                <w:rFonts w:ascii="Arial" w:hAnsi="Arial" w:cs="Arial"/>
                <w:sz w:val="22"/>
                <w:szCs w:val="22"/>
              </w:rPr>
              <w:t xml:space="preserve"> chịu thuế trên cơ sở thực </w:t>
            </w:r>
            <w:proofErr w:type="gramStart"/>
            <w:r w:rsidR="003320E5" w:rsidRPr="00010F83">
              <w:rPr>
                <w:rFonts w:ascii="Arial" w:hAnsi="Arial" w:cs="Arial"/>
                <w:sz w:val="22"/>
                <w:szCs w:val="22"/>
              </w:rPr>
              <w:t>thu</w:t>
            </w:r>
            <w:proofErr w:type="gramEnd"/>
            <w:r w:rsidR="003320E5" w:rsidRPr="00010F83">
              <w:rPr>
                <w:rFonts w:ascii="Arial" w:hAnsi="Arial" w:cs="Arial"/>
                <w:sz w:val="22"/>
                <w:szCs w:val="22"/>
              </w:rPr>
              <w:t xml:space="preserve">. </w:t>
            </w:r>
            <w:r w:rsidR="003320E5" w:rsidRPr="00010F83">
              <w:rPr>
                <w:rFonts w:ascii="Arial" w:hAnsi="Arial" w:cs="Arial"/>
                <w:i/>
                <w:sz w:val="22"/>
                <w:szCs w:val="22"/>
              </w:rPr>
              <w:t xml:space="preserve">Cơ sở tính thuế của khoản </w:t>
            </w:r>
            <w:proofErr w:type="gramStart"/>
            <w:r w:rsidR="00C646D0" w:rsidRPr="00010F83">
              <w:rPr>
                <w:rFonts w:ascii="Arial" w:hAnsi="Arial" w:cs="Arial"/>
                <w:i/>
                <w:sz w:val="22"/>
                <w:szCs w:val="22"/>
              </w:rPr>
              <w:t>thu</w:t>
            </w:r>
            <w:proofErr w:type="gramEnd"/>
            <w:r w:rsidR="00C646D0" w:rsidRPr="00010F83">
              <w:rPr>
                <w:rFonts w:ascii="Arial" w:hAnsi="Arial" w:cs="Arial"/>
                <w:i/>
                <w:sz w:val="22"/>
                <w:szCs w:val="22"/>
              </w:rPr>
              <w:t xml:space="preserve"> nhập </w:t>
            </w:r>
            <w:r w:rsidR="003320E5" w:rsidRPr="00010F83">
              <w:rPr>
                <w:rFonts w:ascii="Arial" w:hAnsi="Arial" w:cs="Arial"/>
                <w:i/>
                <w:sz w:val="22"/>
                <w:szCs w:val="22"/>
              </w:rPr>
              <w:t xml:space="preserve">lãi </w:t>
            </w:r>
            <w:r w:rsidR="00C646D0" w:rsidRPr="00010F83">
              <w:rPr>
                <w:rFonts w:ascii="Arial" w:hAnsi="Arial" w:cs="Arial"/>
                <w:i/>
                <w:sz w:val="22"/>
                <w:szCs w:val="22"/>
              </w:rPr>
              <w:t xml:space="preserve">tiền gửi </w:t>
            </w:r>
            <w:r w:rsidR="003320E5" w:rsidRPr="00010F83">
              <w:rPr>
                <w:rFonts w:ascii="Arial" w:hAnsi="Arial" w:cs="Arial"/>
                <w:i/>
                <w:sz w:val="22"/>
                <w:szCs w:val="22"/>
              </w:rPr>
              <w:t xml:space="preserve">nhận trước này </w:t>
            </w:r>
            <w:r w:rsidR="00C646D0" w:rsidRPr="00010F83">
              <w:rPr>
                <w:rFonts w:ascii="Arial" w:hAnsi="Arial" w:cs="Arial"/>
                <w:i/>
                <w:sz w:val="22"/>
                <w:szCs w:val="22"/>
              </w:rPr>
              <w:t>bằng</w:t>
            </w:r>
            <w:r w:rsidR="003320E5" w:rsidRPr="00010F83">
              <w:rPr>
                <w:rFonts w:ascii="Arial" w:hAnsi="Arial" w:cs="Arial"/>
                <w:i/>
                <w:sz w:val="22"/>
                <w:szCs w:val="22"/>
              </w:rPr>
              <w:t xml:space="preserve"> không</w:t>
            </w:r>
            <w:r w:rsidR="00E16242" w:rsidRPr="00010F83">
              <w:rPr>
                <w:rFonts w:ascii="Arial" w:hAnsi="Arial" w:cs="Arial"/>
                <w:sz w:val="22"/>
                <w:szCs w:val="22"/>
              </w:rPr>
              <w:t>.</w:t>
            </w:r>
          </w:p>
        </w:tc>
      </w:tr>
    </w:tbl>
    <w:p w:rsidR="00E16242" w:rsidRPr="00010F83" w:rsidRDefault="00E16242" w:rsidP="00E16242">
      <w:pPr>
        <w:autoSpaceDE w:val="0"/>
        <w:autoSpaceDN w:val="0"/>
        <w:adjustRightInd w:val="0"/>
        <w:spacing w:before="240" w:after="120" w:line="240" w:lineRule="auto"/>
        <w:jc w:val="both"/>
        <w:rPr>
          <w:rFonts w:ascii="Arial" w:hAnsi="Arial" w:cs="Arial"/>
          <w:bCs/>
          <w:sz w:val="18"/>
          <w:szCs w:val="18"/>
        </w:rPr>
      </w:pPr>
      <w:r w:rsidRPr="00010F83">
        <w:rPr>
          <w:rFonts w:ascii="Arial" w:hAnsi="Arial" w:cs="Arial"/>
          <w:bCs/>
        </w:rPr>
        <w:tab/>
      </w:r>
      <w:r w:rsidRPr="00010F83">
        <w:rPr>
          <w:rFonts w:ascii="Arial" w:hAnsi="Arial" w:cs="Arial"/>
          <w:bCs/>
        </w:rPr>
        <w:tab/>
      </w:r>
      <w:r w:rsidRPr="00010F83">
        <w:rPr>
          <w:rFonts w:ascii="Arial" w:hAnsi="Arial" w:cs="Arial"/>
          <w:bCs/>
        </w:rPr>
        <w:tab/>
      </w:r>
      <w:r w:rsidRPr="00010F83">
        <w:rPr>
          <w:rFonts w:ascii="Arial" w:hAnsi="Arial" w:cs="Arial"/>
          <w:bCs/>
        </w:rPr>
        <w:tab/>
      </w:r>
      <w:r w:rsidRPr="00010F83">
        <w:rPr>
          <w:rFonts w:ascii="Arial" w:hAnsi="Arial" w:cs="Arial"/>
          <w:bCs/>
        </w:rPr>
        <w:tab/>
      </w:r>
      <w:r w:rsidRPr="00010F83">
        <w:rPr>
          <w:rFonts w:ascii="Arial" w:hAnsi="Arial" w:cs="Arial"/>
          <w:bCs/>
        </w:rPr>
        <w:tab/>
      </w:r>
      <w:r w:rsidRPr="00010F83">
        <w:rPr>
          <w:rFonts w:ascii="Arial" w:hAnsi="Arial" w:cs="Arial"/>
          <w:bCs/>
        </w:rPr>
        <w:tab/>
      </w:r>
      <w:r w:rsidRPr="00010F83">
        <w:rPr>
          <w:rFonts w:ascii="Arial" w:hAnsi="Arial" w:cs="Arial"/>
          <w:bCs/>
        </w:rPr>
        <w:tab/>
      </w:r>
      <w:r w:rsidRPr="00010F83">
        <w:rPr>
          <w:rFonts w:ascii="Arial" w:hAnsi="Arial" w:cs="Arial"/>
          <w:bCs/>
        </w:rPr>
        <w:tab/>
      </w:r>
      <w:r w:rsidRPr="00010F83">
        <w:rPr>
          <w:rFonts w:ascii="Arial" w:hAnsi="Arial" w:cs="Arial"/>
          <w:bCs/>
        </w:rPr>
        <w:tab/>
      </w:r>
      <w:r w:rsidRPr="00010F83">
        <w:rPr>
          <w:rFonts w:ascii="Arial" w:hAnsi="Arial" w:cs="Arial"/>
          <w:bCs/>
        </w:rPr>
        <w:tab/>
      </w:r>
      <w:proofErr w:type="gramStart"/>
      <w:r w:rsidRPr="00010F83">
        <w:rPr>
          <w:rFonts w:ascii="Arial" w:hAnsi="Arial" w:cs="Arial"/>
          <w:bCs/>
          <w:i/>
          <w:sz w:val="18"/>
          <w:szCs w:val="18"/>
        </w:rPr>
        <w:t>tiếp</w:t>
      </w:r>
      <w:proofErr w:type="gramEnd"/>
      <w:r w:rsidRPr="00010F83">
        <w:rPr>
          <w:rFonts w:ascii="Arial" w:hAnsi="Arial" w:cs="Arial"/>
          <w:bCs/>
          <w:i/>
          <w:sz w:val="18"/>
          <w:szCs w:val="18"/>
        </w:rPr>
        <w:t xml:space="preserve"> theo</w:t>
      </w:r>
      <w:r w:rsidRPr="00010F83">
        <w:rPr>
          <w:rFonts w:ascii="Arial" w:hAnsi="Arial" w:cs="Arial"/>
          <w:bCs/>
          <w:sz w:val="18"/>
          <w:szCs w:val="18"/>
        </w:rPr>
        <w:t>…</w:t>
      </w:r>
    </w:p>
    <w:p w:rsidR="00441881" w:rsidRPr="00010F83" w:rsidRDefault="00441881" w:rsidP="00E16242">
      <w:pPr>
        <w:autoSpaceDE w:val="0"/>
        <w:autoSpaceDN w:val="0"/>
        <w:adjustRightInd w:val="0"/>
        <w:spacing w:before="240" w:after="120" w:line="240" w:lineRule="auto"/>
        <w:jc w:val="both"/>
        <w:rPr>
          <w:rFonts w:ascii="Arial" w:hAnsi="Arial" w:cs="Arial"/>
          <w:bCs/>
          <w:sz w:val="18"/>
          <w:szCs w:val="18"/>
        </w:rPr>
      </w:pPr>
    </w:p>
    <w:p w:rsidR="00E16242" w:rsidRPr="00010F83" w:rsidRDefault="00E16242" w:rsidP="00E16242">
      <w:pPr>
        <w:autoSpaceDE w:val="0"/>
        <w:autoSpaceDN w:val="0"/>
        <w:adjustRightInd w:val="0"/>
        <w:spacing w:before="240" w:after="120" w:line="240" w:lineRule="auto"/>
        <w:jc w:val="both"/>
        <w:rPr>
          <w:rFonts w:ascii="Arial" w:hAnsi="Arial" w:cs="Arial"/>
          <w:bCs/>
          <w:sz w:val="18"/>
          <w:szCs w:val="18"/>
        </w:rPr>
      </w:pPr>
      <w:r w:rsidRPr="00010F83">
        <w:rPr>
          <w:rFonts w:ascii="Arial" w:hAnsi="Arial" w:cs="Arial"/>
          <w:bCs/>
        </w:rPr>
        <w:tab/>
      </w:r>
      <w:r w:rsidRPr="00010F83">
        <w:rPr>
          <w:rFonts w:ascii="Arial" w:hAnsi="Arial" w:cs="Arial"/>
          <w:bCs/>
          <w:sz w:val="18"/>
          <w:szCs w:val="18"/>
        </w:rPr>
        <w:t>…</w:t>
      </w:r>
      <w:r w:rsidRPr="00010F83">
        <w:rPr>
          <w:rFonts w:ascii="Arial" w:hAnsi="Arial" w:cs="Arial"/>
          <w:bCs/>
          <w:i/>
          <w:sz w:val="18"/>
          <w:szCs w:val="18"/>
        </w:rPr>
        <w:t xml:space="preserve"> </w:t>
      </w:r>
      <w:proofErr w:type="gramStart"/>
      <w:r w:rsidRPr="00010F83">
        <w:rPr>
          <w:rFonts w:ascii="Arial" w:hAnsi="Arial" w:cs="Arial"/>
          <w:bCs/>
          <w:i/>
          <w:sz w:val="18"/>
          <w:szCs w:val="18"/>
        </w:rPr>
        <w:t>tiếp</w:t>
      </w:r>
      <w:proofErr w:type="gramEnd"/>
      <w:r w:rsidRPr="00010F83">
        <w:rPr>
          <w:rFonts w:ascii="Arial" w:hAnsi="Arial" w:cs="Arial"/>
          <w:bCs/>
          <w:i/>
          <w:sz w:val="18"/>
          <w:szCs w:val="18"/>
        </w:rPr>
        <w:t xml:space="preserve"> theo</w:t>
      </w:r>
    </w:p>
    <w:tbl>
      <w:tblPr>
        <w:tblStyle w:val="TableGrid"/>
        <w:tblW w:w="0" w:type="auto"/>
        <w:tblInd w:w="720" w:type="dxa"/>
        <w:tblLook w:val="04A0"/>
      </w:tblPr>
      <w:tblGrid>
        <w:gridCol w:w="8630"/>
      </w:tblGrid>
      <w:tr w:rsidR="00E16242" w:rsidRPr="00010F83" w:rsidTr="008307CC">
        <w:tc>
          <w:tcPr>
            <w:tcW w:w="8630" w:type="dxa"/>
          </w:tcPr>
          <w:p w:rsidR="00E16242" w:rsidRPr="00010F83" w:rsidRDefault="00E16242" w:rsidP="008307CC">
            <w:pPr>
              <w:pStyle w:val="ListParagraph"/>
              <w:spacing w:after="120"/>
              <w:ind w:left="0"/>
              <w:jc w:val="both"/>
              <w:rPr>
                <w:rFonts w:ascii="Arial" w:hAnsi="Arial" w:cs="Arial"/>
                <w:b/>
                <w:sz w:val="22"/>
                <w:szCs w:val="22"/>
              </w:rPr>
            </w:pPr>
            <w:r w:rsidRPr="00010F83">
              <w:rPr>
                <w:rFonts w:ascii="Arial" w:hAnsi="Arial" w:cs="Arial"/>
                <w:bCs/>
              </w:rPr>
              <w:br w:type="page"/>
            </w:r>
            <w:r w:rsidR="00201D3A" w:rsidRPr="00010F83">
              <w:rPr>
                <w:rFonts w:ascii="Arial" w:hAnsi="Arial" w:cs="Arial"/>
                <w:b/>
                <w:sz w:val="22"/>
                <w:szCs w:val="22"/>
              </w:rPr>
              <w:t>Ví dụ</w:t>
            </w:r>
          </w:p>
        </w:tc>
      </w:tr>
      <w:tr w:rsidR="00E16242" w:rsidRPr="00010F83" w:rsidTr="008307CC">
        <w:trPr>
          <w:trHeight w:val="1655"/>
        </w:trPr>
        <w:tc>
          <w:tcPr>
            <w:tcW w:w="8630" w:type="dxa"/>
          </w:tcPr>
          <w:p w:rsidR="00E16242" w:rsidRPr="00010F83" w:rsidRDefault="00722968" w:rsidP="00E16242">
            <w:pPr>
              <w:pStyle w:val="ListParagraph"/>
              <w:numPr>
                <w:ilvl w:val="0"/>
                <w:numId w:val="47"/>
              </w:numPr>
              <w:spacing w:after="120"/>
              <w:ind w:left="341"/>
              <w:contextualSpacing/>
              <w:jc w:val="both"/>
              <w:rPr>
                <w:rFonts w:ascii="Arial" w:hAnsi="Arial" w:cs="Arial"/>
                <w:i/>
                <w:sz w:val="22"/>
                <w:szCs w:val="22"/>
              </w:rPr>
            </w:pPr>
            <w:r w:rsidRPr="00010F83">
              <w:rPr>
                <w:rFonts w:ascii="Arial" w:hAnsi="Arial" w:cs="Arial"/>
                <w:sz w:val="22"/>
                <w:szCs w:val="22"/>
              </w:rPr>
              <w:t xml:space="preserve">Nợ phải trả ngắn hạn có khoản chi phí trích trước </w:t>
            </w:r>
            <w:r w:rsidR="00E16242" w:rsidRPr="00010F83">
              <w:rPr>
                <w:rFonts w:ascii="Arial" w:hAnsi="Arial" w:cs="Arial"/>
                <w:sz w:val="22"/>
                <w:szCs w:val="22"/>
              </w:rPr>
              <w:t xml:space="preserve">có giá trị ghi sổ là 100. Chi phí </w:t>
            </w:r>
            <w:r w:rsidRPr="00010F83">
              <w:rPr>
                <w:rFonts w:ascii="Arial" w:hAnsi="Arial" w:cs="Arial"/>
                <w:sz w:val="22"/>
                <w:szCs w:val="22"/>
              </w:rPr>
              <w:t>phải trả</w:t>
            </w:r>
            <w:r w:rsidR="00E16242" w:rsidRPr="00010F83">
              <w:rPr>
                <w:rFonts w:ascii="Arial" w:hAnsi="Arial" w:cs="Arial"/>
                <w:sz w:val="22"/>
                <w:szCs w:val="22"/>
              </w:rPr>
              <w:t xml:space="preserve"> này đã được khấu trừ cho mục đích tính thuế. </w:t>
            </w:r>
            <w:r w:rsidR="00E16242" w:rsidRPr="00010F83">
              <w:rPr>
                <w:rFonts w:ascii="Arial" w:hAnsi="Arial" w:cs="Arial"/>
                <w:i/>
                <w:sz w:val="22"/>
                <w:szCs w:val="22"/>
              </w:rPr>
              <w:t>Cơ sở tính thuế của chi phí phải trả này bằng 100.</w:t>
            </w:r>
          </w:p>
          <w:p w:rsidR="00201D3A" w:rsidRPr="00010F83" w:rsidRDefault="00201D3A" w:rsidP="00201D3A">
            <w:pPr>
              <w:pStyle w:val="ListParagraph"/>
              <w:spacing w:after="120"/>
              <w:ind w:left="341"/>
              <w:contextualSpacing/>
              <w:jc w:val="both"/>
              <w:rPr>
                <w:rFonts w:ascii="Arial" w:hAnsi="Arial" w:cs="Arial"/>
                <w:i/>
                <w:sz w:val="22"/>
                <w:szCs w:val="22"/>
              </w:rPr>
            </w:pPr>
          </w:p>
          <w:p w:rsidR="00201D3A" w:rsidRPr="00010F83" w:rsidRDefault="00E16242" w:rsidP="00201D3A">
            <w:pPr>
              <w:pStyle w:val="ListParagraph"/>
              <w:numPr>
                <w:ilvl w:val="0"/>
                <w:numId w:val="47"/>
              </w:numPr>
              <w:spacing w:after="120"/>
              <w:ind w:left="341"/>
              <w:contextualSpacing/>
              <w:jc w:val="both"/>
              <w:rPr>
                <w:rFonts w:ascii="Arial" w:hAnsi="Arial" w:cs="Arial"/>
                <w:sz w:val="22"/>
                <w:szCs w:val="22"/>
              </w:rPr>
            </w:pPr>
            <w:r w:rsidRPr="00010F83">
              <w:rPr>
                <w:rFonts w:ascii="Arial" w:hAnsi="Arial" w:cs="Arial"/>
                <w:sz w:val="22"/>
                <w:szCs w:val="22"/>
              </w:rPr>
              <w:t xml:space="preserve">Nợ </w:t>
            </w:r>
            <w:r w:rsidR="00722968" w:rsidRPr="00010F83">
              <w:rPr>
                <w:rFonts w:ascii="Arial" w:hAnsi="Arial" w:cs="Arial"/>
                <w:sz w:val="22"/>
                <w:szCs w:val="22"/>
              </w:rPr>
              <w:t xml:space="preserve">phải trả ngắn hạn có khoản </w:t>
            </w:r>
            <w:r w:rsidRPr="00010F83">
              <w:rPr>
                <w:rFonts w:ascii="Arial" w:hAnsi="Arial" w:cs="Arial"/>
                <w:sz w:val="22"/>
                <w:szCs w:val="22"/>
              </w:rPr>
              <w:t>tiền phạt phải trả có giá trị ghi sổ là 100. Chi phí tiền phạt không được khấu trừ cho mục đích tính thuế</w:t>
            </w:r>
            <w:r w:rsidR="00722968" w:rsidRPr="00010F83">
              <w:rPr>
                <w:rFonts w:ascii="Arial" w:hAnsi="Arial" w:cs="Arial"/>
                <w:sz w:val="22"/>
                <w:szCs w:val="22"/>
              </w:rPr>
              <w:t xml:space="preserve"> </w:t>
            </w:r>
            <w:proofErr w:type="gramStart"/>
            <w:r w:rsidR="00722968" w:rsidRPr="00010F83">
              <w:rPr>
                <w:rFonts w:ascii="Arial" w:hAnsi="Arial" w:cs="Arial"/>
                <w:sz w:val="22"/>
                <w:szCs w:val="22"/>
              </w:rPr>
              <w:t>thu</w:t>
            </w:r>
            <w:proofErr w:type="gramEnd"/>
            <w:r w:rsidR="00722968" w:rsidRPr="00010F83">
              <w:rPr>
                <w:rFonts w:ascii="Arial" w:hAnsi="Arial" w:cs="Arial"/>
                <w:sz w:val="22"/>
                <w:szCs w:val="22"/>
              </w:rPr>
              <w:t xml:space="preserve"> nhập</w:t>
            </w:r>
            <w:r w:rsidRPr="00010F83">
              <w:rPr>
                <w:rFonts w:ascii="Arial" w:hAnsi="Arial" w:cs="Arial"/>
                <w:sz w:val="22"/>
                <w:szCs w:val="22"/>
              </w:rPr>
              <w:t xml:space="preserve">. </w:t>
            </w:r>
            <w:r w:rsidRPr="00010F83">
              <w:rPr>
                <w:rFonts w:ascii="Arial" w:hAnsi="Arial" w:cs="Arial"/>
                <w:i/>
                <w:sz w:val="22"/>
                <w:szCs w:val="22"/>
              </w:rPr>
              <w:t>Cơ sở tính thuế của khoản nợ tiền phạt phải trả này bằng 100</w:t>
            </w:r>
            <w:r w:rsidRPr="00010F83">
              <w:rPr>
                <w:rFonts w:ascii="Arial" w:hAnsi="Arial" w:cs="Arial"/>
                <w:sz w:val="22"/>
                <w:szCs w:val="22"/>
              </w:rPr>
              <w:t>.</w:t>
            </w:r>
            <w:r w:rsidRPr="00010F83">
              <w:rPr>
                <w:rFonts w:ascii="Arial" w:hAnsi="Arial" w:cs="Arial"/>
                <w:sz w:val="22"/>
                <w:szCs w:val="22"/>
                <w:vertAlign w:val="superscript"/>
              </w:rPr>
              <w:t>(a)</w:t>
            </w:r>
          </w:p>
          <w:p w:rsidR="00201D3A" w:rsidRPr="00010F83" w:rsidRDefault="00201D3A" w:rsidP="00201D3A">
            <w:pPr>
              <w:pStyle w:val="ListParagraph"/>
              <w:rPr>
                <w:rFonts w:ascii="Arial" w:hAnsi="Arial" w:cs="Arial"/>
                <w:sz w:val="22"/>
                <w:szCs w:val="22"/>
              </w:rPr>
            </w:pPr>
          </w:p>
          <w:p w:rsidR="00E16242" w:rsidRPr="00010F83" w:rsidRDefault="00722968" w:rsidP="00E16242">
            <w:pPr>
              <w:pStyle w:val="ListParagraph"/>
              <w:numPr>
                <w:ilvl w:val="0"/>
                <w:numId w:val="47"/>
              </w:numPr>
              <w:spacing w:after="120"/>
              <w:ind w:left="341"/>
              <w:contextualSpacing/>
              <w:jc w:val="both"/>
              <w:rPr>
                <w:rFonts w:ascii="Arial" w:hAnsi="Arial" w:cs="Arial"/>
                <w:sz w:val="22"/>
                <w:szCs w:val="22"/>
              </w:rPr>
            </w:pPr>
            <w:r w:rsidRPr="00010F83">
              <w:rPr>
                <w:rFonts w:ascii="Arial" w:hAnsi="Arial" w:cs="Arial"/>
                <w:sz w:val="22"/>
                <w:szCs w:val="22"/>
              </w:rPr>
              <w:t>Môt khoản n</w:t>
            </w:r>
            <w:r w:rsidR="00E16242" w:rsidRPr="00010F83">
              <w:rPr>
                <w:rFonts w:ascii="Arial" w:hAnsi="Arial" w:cs="Arial"/>
                <w:sz w:val="22"/>
                <w:szCs w:val="22"/>
              </w:rPr>
              <w:t>ợ vay phải trả có giá trị ghi sổ là 100. Việc thanh toán khoản vay này không</w:t>
            </w:r>
            <w:r w:rsidRPr="00010F83">
              <w:rPr>
                <w:rFonts w:ascii="Arial" w:hAnsi="Arial" w:cs="Arial"/>
                <w:sz w:val="22"/>
                <w:szCs w:val="22"/>
              </w:rPr>
              <w:t xml:space="preserve"> có</w:t>
            </w:r>
            <w:r w:rsidR="00E16242" w:rsidRPr="00010F83">
              <w:rPr>
                <w:rFonts w:ascii="Arial" w:hAnsi="Arial" w:cs="Arial"/>
                <w:sz w:val="22"/>
                <w:szCs w:val="22"/>
              </w:rPr>
              <w:t xml:space="preserve"> ảnh hưởng đến thuế</w:t>
            </w:r>
            <w:r w:rsidRPr="00010F83">
              <w:rPr>
                <w:rFonts w:ascii="Arial" w:hAnsi="Arial" w:cs="Arial"/>
                <w:sz w:val="22"/>
                <w:szCs w:val="22"/>
              </w:rPr>
              <w:t xml:space="preserve"> </w:t>
            </w:r>
            <w:proofErr w:type="gramStart"/>
            <w:r w:rsidRPr="00010F83">
              <w:rPr>
                <w:rFonts w:ascii="Arial" w:hAnsi="Arial" w:cs="Arial"/>
                <w:sz w:val="22"/>
                <w:szCs w:val="22"/>
              </w:rPr>
              <w:t>thu</w:t>
            </w:r>
            <w:proofErr w:type="gramEnd"/>
            <w:r w:rsidRPr="00010F83">
              <w:rPr>
                <w:rFonts w:ascii="Arial" w:hAnsi="Arial" w:cs="Arial"/>
                <w:sz w:val="22"/>
                <w:szCs w:val="22"/>
              </w:rPr>
              <w:t xml:space="preserve"> nhập</w:t>
            </w:r>
            <w:r w:rsidR="00E16242" w:rsidRPr="00010F83">
              <w:rPr>
                <w:rFonts w:ascii="Arial" w:hAnsi="Arial" w:cs="Arial"/>
                <w:sz w:val="22"/>
                <w:szCs w:val="22"/>
              </w:rPr>
              <w:t xml:space="preserve">. </w:t>
            </w:r>
            <w:r w:rsidR="00E16242" w:rsidRPr="00010F83">
              <w:rPr>
                <w:rFonts w:ascii="Arial" w:hAnsi="Arial" w:cs="Arial"/>
                <w:i/>
                <w:sz w:val="22"/>
                <w:szCs w:val="22"/>
              </w:rPr>
              <w:t>Cơ sở tính thuế của khoản nợ vay phải trả này là 100</w:t>
            </w:r>
            <w:r w:rsidR="00E16242" w:rsidRPr="00010F83">
              <w:rPr>
                <w:rFonts w:ascii="Arial" w:hAnsi="Arial" w:cs="Arial"/>
                <w:sz w:val="22"/>
                <w:szCs w:val="22"/>
              </w:rPr>
              <w:t>.</w:t>
            </w:r>
          </w:p>
        </w:tc>
      </w:tr>
      <w:tr w:rsidR="00E16242" w:rsidRPr="00010F83" w:rsidTr="00201D3A">
        <w:trPr>
          <w:trHeight w:val="800"/>
        </w:trPr>
        <w:tc>
          <w:tcPr>
            <w:tcW w:w="8630" w:type="dxa"/>
          </w:tcPr>
          <w:p w:rsidR="00E16242" w:rsidRPr="00010F83" w:rsidRDefault="00201D3A" w:rsidP="00201D3A">
            <w:pPr>
              <w:spacing w:before="480" w:after="120"/>
              <w:ind w:left="331" w:hanging="331"/>
              <w:contextualSpacing/>
              <w:jc w:val="both"/>
              <w:rPr>
                <w:rFonts w:ascii="Arial" w:hAnsi="Arial" w:cs="Arial"/>
                <w:sz w:val="16"/>
                <w:szCs w:val="16"/>
              </w:rPr>
            </w:pPr>
            <w:r w:rsidRPr="00010F83">
              <w:rPr>
                <w:rFonts w:ascii="Arial" w:hAnsi="Arial" w:cs="Arial"/>
                <w:sz w:val="16"/>
                <w:szCs w:val="16"/>
              </w:rPr>
              <w:t xml:space="preserve">(a)   </w:t>
            </w:r>
            <w:r w:rsidR="00E16242" w:rsidRPr="00010F83">
              <w:rPr>
                <w:rFonts w:ascii="Arial" w:hAnsi="Arial" w:cs="Arial"/>
                <w:sz w:val="16"/>
                <w:szCs w:val="16"/>
              </w:rPr>
              <w:t xml:space="preserve">Theo phân tích này, ở đây không có chênh lệch tạm thời được khấu trừ thuế. </w:t>
            </w:r>
            <w:r w:rsidR="00722968" w:rsidRPr="00010F83">
              <w:rPr>
                <w:rFonts w:ascii="Arial" w:hAnsi="Arial" w:cs="Arial"/>
                <w:sz w:val="16"/>
                <w:szCs w:val="16"/>
              </w:rPr>
              <w:t>Nói</w:t>
            </w:r>
            <w:r w:rsidR="00E16242" w:rsidRPr="00010F83">
              <w:rPr>
                <w:rFonts w:ascii="Arial" w:hAnsi="Arial" w:cs="Arial"/>
                <w:sz w:val="16"/>
                <w:szCs w:val="16"/>
              </w:rPr>
              <w:t xml:space="preserve"> cách khác, khoản tiền phạt phải trả này có cơ sở tính thuế bằng không, dẫn đến khoản chênh lệch tạm thời được khấu trừ thuế phát sinh là 100 </w:t>
            </w:r>
            <w:r w:rsidR="00722968" w:rsidRPr="00010F83">
              <w:rPr>
                <w:rFonts w:ascii="Arial" w:hAnsi="Arial" w:cs="Arial"/>
                <w:sz w:val="16"/>
                <w:szCs w:val="16"/>
              </w:rPr>
              <w:t>và</w:t>
            </w:r>
            <w:r w:rsidR="00E16242" w:rsidRPr="00010F83">
              <w:rPr>
                <w:rFonts w:ascii="Arial" w:hAnsi="Arial" w:cs="Arial"/>
                <w:sz w:val="16"/>
                <w:szCs w:val="16"/>
              </w:rPr>
              <w:t xml:space="preserve"> thuế suất </w:t>
            </w:r>
            <w:r w:rsidR="00722968" w:rsidRPr="00010F83">
              <w:rPr>
                <w:rFonts w:ascii="Arial" w:hAnsi="Arial" w:cs="Arial"/>
                <w:sz w:val="16"/>
                <w:szCs w:val="16"/>
              </w:rPr>
              <w:t xml:space="preserve">thuế thu nhập là </w:t>
            </w:r>
            <w:r w:rsidR="00E16242" w:rsidRPr="00010F83">
              <w:rPr>
                <w:rFonts w:ascii="Arial" w:hAnsi="Arial" w:cs="Arial"/>
                <w:sz w:val="16"/>
                <w:szCs w:val="16"/>
              </w:rPr>
              <w:t>0%. Cả hai cách phân tích trên đều dẫn đến kết quả là không ghi nhận tài sản thuế TNDN hoãn lại.</w:t>
            </w:r>
          </w:p>
        </w:tc>
      </w:tr>
    </w:tbl>
    <w:p w:rsidR="00E16242" w:rsidRPr="00010F83" w:rsidRDefault="00E16242" w:rsidP="00590853">
      <w:pPr>
        <w:autoSpaceDE w:val="0"/>
        <w:autoSpaceDN w:val="0"/>
        <w:adjustRightInd w:val="0"/>
        <w:spacing w:after="120" w:line="240" w:lineRule="auto"/>
        <w:jc w:val="both"/>
        <w:rPr>
          <w:rFonts w:ascii="Arial" w:hAnsi="Arial" w:cs="Arial"/>
          <w:bCs/>
        </w:rPr>
      </w:pPr>
    </w:p>
    <w:p w:rsidR="00F278D3" w:rsidRPr="00010F83" w:rsidRDefault="00F278D3" w:rsidP="00E16242">
      <w:pPr>
        <w:autoSpaceDE w:val="0"/>
        <w:autoSpaceDN w:val="0"/>
        <w:adjustRightInd w:val="0"/>
        <w:spacing w:after="120" w:line="240" w:lineRule="auto"/>
        <w:ind w:left="720" w:hanging="720"/>
        <w:jc w:val="both"/>
        <w:rPr>
          <w:rFonts w:ascii="Arial" w:hAnsi="Arial" w:cs="Arial"/>
          <w:bCs/>
        </w:rPr>
      </w:pPr>
      <w:r w:rsidRPr="00010F83">
        <w:rPr>
          <w:rFonts w:ascii="Arial" w:hAnsi="Arial" w:cs="Arial"/>
          <w:bCs/>
        </w:rPr>
        <w:t>9</w:t>
      </w:r>
      <w:r w:rsidRPr="00010F83">
        <w:rPr>
          <w:rFonts w:ascii="Arial" w:hAnsi="Arial" w:cs="Arial"/>
          <w:bCs/>
        </w:rPr>
        <w:tab/>
      </w:r>
      <w:r w:rsidR="001E5421" w:rsidRPr="00010F83">
        <w:rPr>
          <w:rFonts w:ascii="Arial" w:hAnsi="Arial" w:cs="Arial"/>
          <w:bCs/>
        </w:rPr>
        <w:t xml:space="preserve">Một vài khoản mục có cơ sở tính thuế nhưng lại không được ghi nhận là tài sản </w:t>
      </w:r>
      <w:r w:rsidR="00861158" w:rsidRPr="00010F83">
        <w:rPr>
          <w:rFonts w:ascii="Arial" w:hAnsi="Arial" w:cs="Arial"/>
          <w:bCs/>
        </w:rPr>
        <w:t>hay</w:t>
      </w:r>
      <w:r w:rsidR="001E5421" w:rsidRPr="00010F83">
        <w:rPr>
          <w:rFonts w:ascii="Arial" w:hAnsi="Arial" w:cs="Arial"/>
          <w:bCs/>
        </w:rPr>
        <w:t xml:space="preserve"> nợ phải trả trên </w:t>
      </w:r>
      <w:r w:rsidR="00722968" w:rsidRPr="00010F83">
        <w:rPr>
          <w:rFonts w:ascii="Arial" w:hAnsi="Arial" w:cs="Arial"/>
          <w:bCs/>
        </w:rPr>
        <w:t>Bảng cân đối kế toán</w:t>
      </w:r>
      <w:r w:rsidR="001E5421" w:rsidRPr="00010F83">
        <w:rPr>
          <w:rFonts w:ascii="Arial" w:hAnsi="Arial" w:cs="Arial"/>
          <w:bCs/>
        </w:rPr>
        <w:t xml:space="preserve">. Ví dụ, các chi phí nghiên cứu được ghi nhận là chi phí khi xác định lợi nhuận kế toán trong kỳ mà các chi phí này phát sinh nhưng có thể </w:t>
      </w:r>
      <w:r w:rsidR="009472A9" w:rsidRPr="00010F83">
        <w:rPr>
          <w:rFonts w:ascii="Arial" w:hAnsi="Arial" w:cs="Arial"/>
          <w:bCs/>
        </w:rPr>
        <w:t>chỉ</w:t>
      </w:r>
      <w:r w:rsidR="001E5421" w:rsidRPr="00010F83">
        <w:rPr>
          <w:rFonts w:ascii="Arial" w:hAnsi="Arial" w:cs="Arial"/>
          <w:bCs/>
        </w:rPr>
        <w:t xml:space="preserve"> được tính là khoản chi phí được trừ khi xác định </w:t>
      </w:r>
      <w:proofErr w:type="gramStart"/>
      <w:r w:rsidR="001E5421" w:rsidRPr="00010F83">
        <w:rPr>
          <w:rFonts w:ascii="Arial" w:hAnsi="Arial" w:cs="Arial"/>
          <w:bCs/>
        </w:rPr>
        <w:t>thu</w:t>
      </w:r>
      <w:proofErr w:type="gramEnd"/>
      <w:r w:rsidR="001E5421" w:rsidRPr="00010F83">
        <w:rPr>
          <w:rFonts w:ascii="Arial" w:hAnsi="Arial" w:cs="Arial"/>
          <w:bCs/>
        </w:rPr>
        <w:t xml:space="preserve"> nhập chịu thuế (lỗ tính thuế) </w:t>
      </w:r>
      <w:r w:rsidR="009472A9" w:rsidRPr="00010F83">
        <w:rPr>
          <w:rFonts w:ascii="Arial" w:hAnsi="Arial" w:cs="Arial"/>
          <w:bCs/>
        </w:rPr>
        <w:t>tại</w:t>
      </w:r>
      <w:r w:rsidR="001E5421" w:rsidRPr="00010F83">
        <w:rPr>
          <w:rFonts w:ascii="Arial" w:hAnsi="Arial" w:cs="Arial"/>
          <w:bCs/>
        </w:rPr>
        <w:t xml:space="preserve"> một kỳ </w:t>
      </w:r>
      <w:r w:rsidR="009472A9" w:rsidRPr="00010F83">
        <w:rPr>
          <w:rFonts w:ascii="Arial" w:hAnsi="Arial" w:cs="Arial"/>
          <w:bCs/>
        </w:rPr>
        <w:t>trong tương lai</w:t>
      </w:r>
      <w:r w:rsidR="001E5421" w:rsidRPr="00010F83">
        <w:rPr>
          <w:rFonts w:ascii="Arial" w:hAnsi="Arial" w:cs="Arial"/>
          <w:bCs/>
        </w:rPr>
        <w:t>. Chênh lệch giữa cơ sở tính thuế</w:t>
      </w:r>
      <w:r w:rsidR="00722968" w:rsidRPr="00010F83">
        <w:rPr>
          <w:rFonts w:ascii="Arial" w:hAnsi="Arial" w:cs="Arial"/>
          <w:bCs/>
        </w:rPr>
        <w:t xml:space="preserve"> thu nhập</w:t>
      </w:r>
      <w:r w:rsidR="001E5421" w:rsidRPr="00010F83">
        <w:rPr>
          <w:rFonts w:ascii="Arial" w:hAnsi="Arial" w:cs="Arial"/>
          <w:bCs/>
        </w:rPr>
        <w:t xml:space="preserve"> của các chi phí nghiên cứu này, tức là </w:t>
      </w:r>
      <w:r w:rsidR="00722968" w:rsidRPr="00010F83">
        <w:rPr>
          <w:rFonts w:ascii="Arial" w:hAnsi="Arial" w:cs="Arial"/>
          <w:bCs/>
        </w:rPr>
        <w:t>giá trị</w:t>
      </w:r>
      <w:r w:rsidR="001E5421" w:rsidRPr="00010F83">
        <w:rPr>
          <w:rFonts w:ascii="Arial" w:hAnsi="Arial" w:cs="Arial"/>
          <w:bCs/>
        </w:rPr>
        <w:t xml:space="preserve"> mà cơ quan thuế cho phép được khấu trừ </w:t>
      </w:r>
      <w:r w:rsidR="009472A9" w:rsidRPr="00010F83">
        <w:rPr>
          <w:rFonts w:ascii="Arial" w:hAnsi="Arial" w:cs="Arial"/>
          <w:bCs/>
        </w:rPr>
        <w:t>tại</w:t>
      </w:r>
      <w:r w:rsidR="001E5421" w:rsidRPr="00010F83">
        <w:rPr>
          <w:rFonts w:ascii="Arial" w:hAnsi="Arial" w:cs="Arial"/>
          <w:bCs/>
        </w:rPr>
        <w:t xml:space="preserve"> các kỳ </w:t>
      </w:r>
      <w:r w:rsidR="009472A9" w:rsidRPr="00010F83">
        <w:rPr>
          <w:rFonts w:ascii="Arial" w:hAnsi="Arial" w:cs="Arial"/>
          <w:bCs/>
        </w:rPr>
        <w:t xml:space="preserve">trong </w:t>
      </w:r>
      <w:r w:rsidR="001E5421" w:rsidRPr="00010F83">
        <w:rPr>
          <w:rFonts w:ascii="Arial" w:hAnsi="Arial" w:cs="Arial"/>
          <w:bCs/>
        </w:rPr>
        <w:t xml:space="preserve">tương lai, </w:t>
      </w:r>
      <w:r w:rsidR="00722968" w:rsidRPr="00010F83">
        <w:rPr>
          <w:rFonts w:ascii="Arial" w:hAnsi="Arial" w:cs="Arial"/>
          <w:bCs/>
        </w:rPr>
        <w:t>với</w:t>
      </w:r>
      <w:r w:rsidR="001E5421" w:rsidRPr="00010F83">
        <w:rPr>
          <w:rFonts w:ascii="Arial" w:hAnsi="Arial" w:cs="Arial"/>
          <w:bCs/>
        </w:rPr>
        <w:t xml:space="preserve"> giá trị ghi sổ bằng không của </w:t>
      </w:r>
      <w:r w:rsidR="00331C73" w:rsidRPr="00010F83">
        <w:rPr>
          <w:rFonts w:ascii="Arial" w:hAnsi="Arial" w:cs="Arial"/>
          <w:bCs/>
        </w:rPr>
        <w:t>chi phí đó</w:t>
      </w:r>
      <w:r w:rsidR="001E5421" w:rsidRPr="00010F83">
        <w:rPr>
          <w:rFonts w:ascii="Arial" w:hAnsi="Arial" w:cs="Arial"/>
          <w:bCs/>
        </w:rPr>
        <w:t xml:space="preserve"> là khoản chênh lệch tạm thời được khấu trừ</w:t>
      </w:r>
      <w:r w:rsidR="00201D3A" w:rsidRPr="00010F83">
        <w:rPr>
          <w:rFonts w:ascii="Arial" w:hAnsi="Arial" w:cs="Arial"/>
          <w:bCs/>
        </w:rPr>
        <w:t>,</w:t>
      </w:r>
      <w:r w:rsidR="00331C73" w:rsidRPr="00010F83">
        <w:rPr>
          <w:rFonts w:ascii="Arial" w:hAnsi="Arial" w:cs="Arial"/>
          <w:bCs/>
        </w:rPr>
        <w:t xml:space="preserve"> </w:t>
      </w:r>
      <w:r w:rsidR="00722968" w:rsidRPr="00010F83">
        <w:rPr>
          <w:rFonts w:ascii="Arial" w:hAnsi="Arial" w:cs="Arial"/>
          <w:bCs/>
        </w:rPr>
        <w:t xml:space="preserve">và </w:t>
      </w:r>
      <w:r w:rsidR="001E5421" w:rsidRPr="00010F83">
        <w:rPr>
          <w:rFonts w:ascii="Arial" w:hAnsi="Arial" w:cs="Arial"/>
          <w:bCs/>
        </w:rPr>
        <w:t xml:space="preserve">sẽ tạo ra một tài sản </w:t>
      </w:r>
      <w:r w:rsidR="00731917" w:rsidRPr="00010F83">
        <w:rPr>
          <w:rFonts w:ascii="Arial" w:hAnsi="Arial" w:cs="Arial"/>
          <w:bCs/>
        </w:rPr>
        <w:t xml:space="preserve">thuế </w:t>
      </w:r>
      <w:r w:rsidR="00722968" w:rsidRPr="00010F83">
        <w:rPr>
          <w:rFonts w:ascii="Arial" w:hAnsi="Arial" w:cs="Arial"/>
          <w:bCs/>
        </w:rPr>
        <w:t>thu nhập</w:t>
      </w:r>
      <w:r w:rsidR="00331C73" w:rsidRPr="00010F83">
        <w:rPr>
          <w:rFonts w:ascii="Arial" w:hAnsi="Arial" w:cs="Arial"/>
          <w:bCs/>
        </w:rPr>
        <w:t xml:space="preserve"> </w:t>
      </w:r>
      <w:r w:rsidR="001E5421" w:rsidRPr="00010F83">
        <w:rPr>
          <w:rFonts w:ascii="Arial" w:hAnsi="Arial" w:cs="Arial"/>
          <w:bCs/>
        </w:rPr>
        <w:t>hoãn lại.</w:t>
      </w:r>
    </w:p>
    <w:p w:rsidR="00F278D3" w:rsidRPr="00010F83" w:rsidRDefault="00F278D3" w:rsidP="00E16242">
      <w:pPr>
        <w:autoSpaceDE w:val="0"/>
        <w:autoSpaceDN w:val="0"/>
        <w:adjustRightInd w:val="0"/>
        <w:spacing w:after="120" w:line="240" w:lineRule="auto"/>
        <w:ind w:left="720" w:hanging="720"/>
        <w:jc w:val="both"/>
        <w:rPr>
          <w:rFonts w:ascii="Arial" w:hAnsi="Arial" w:cs="Arial"/>
          <w:bCs/>
        </w:rPr>
      </w:pPr>
      <w:r w:rsidRPr="00010F83">
        <w:rPr>
          <w:rFonts w:ascii="Arial" w:hAnsi="Arial" w:cs="Arial"/>
          <w:bCs/>
        </w:rPr>
        <w:t>10</w:t>
      </w:r>
      <w:r w:rsidRPr="00010F83">
        <w:rPr>
          <w:rFonts w:ascii="Arial" w:hAnsi="Arial" w:cs="Arial"/>
          <w:bCs/>
        </w:rPr>
        <w:tab/>
      </w:r>
      <w:r w:rsidR="00876136" w:rsidRPr="00010F83">
        <w:rPr>
          <w:rFonts w:ascii="Arial" w:hAnsi="Arial" w:cs="Arial"/>
          <w:bCs/>
        </w:rPr>
        <w:t xml:space="preserve">Khi cơ sở tính thuế của một tài sản hay một khoản nợ phải trả chưa rõ ràng, </w:t>
      </w:r>
      <w:r w:rsidR="00E006F3" w:rsidRPr="00010F83">
        <w:rPr>
          <w:rFonts w:ascii="Arial" w:hAnsi="Arial" w:cs="Arial"/>
          <w:bCs/>
        </w:rPr>
        <w:t>ngoại trừ một số trường hợp nhất định, cần phải</w:t>
      </w:r>
      <w:r w:rsidR="00876136" w:rsidRPr="00010F83">
        <w:rPr>
          <w:rFonts w:ascii="Arial" w:hAnsi="Arial" w:cs="Arial"/>
          <w:bCs/>
        </w:rPr>
        <w:t xml:space="preserve"> xem xét đến nguyên tắc cơ bản </w:t>
      </w:r>
      <w:r w:rsidR="00A229C1" w:rsidRPr="00010F83">
        <w:rPr>
          <w:rFonts w:ascii="Arial" w:hAnsi="Arial" w:cs="Arial"/>
          <w:bCs/>
        </w:rPr>
        <w:t>của</w:t>
      </w:r>
      <w:r w:rsidR="00876136" w:rsidRPr="00010F83">
        <w:rPr>
          <w:rFonts w:ascii="Arial" w:hAnsi="Arial" w:cs="Arial"/>
          <w:bCs/>
        </w:rPr>
        <w:t xml:space="preserve"> chuẩn mực này</w:t>
      </w:r>
      <w:r w:rsidR="00E006F3" w:rsidRPr="00010F83">
        <w:rPr>
          <w:rFonts w:ascii="Arial" w:hAnsi="Arial" w:cs="Arial"/>
          <w:bCs/>
        </w:rPr>
        <w:t xml:space="preserve">, là </w:t>
      </w:r>
      <w:r w:rsidR="00876136" w:rsidRPr="00010F83">
        <w:rPr>
          <w:rFonts w:ascii="Arial" w:hAnsi="Arial" w:cs="Arial"/>
          <w:bCs/>
        </w:rPr>
        <w:t xml:space="preserve">đơn vị sẽ </w:t>
      </w:r>
      <w:r w:rsidR="00E006F3" w:rsidRPr="00010F83">
        <w:rPr>
          <w:rFonts w:ascii="Arial" w:hAnsi="Arial" w:cs="Arial"/>
          <w:bCs/>
        </w:rPr>
        <w:t xml:space="preserve">phải </w:t>
      </w:r>
      <w:r w:rsidR="00876136" w:rsidRPr="00010F83">
        <w:rPr>
          <w:rFonts w:ascii="Arial" w:hAnsi="Arial" w:cs="Arial"/>
          <w:bCs/>
        </w:rPr>
        <w:t xml:space="preserve">ghi nhận một khoản </w:t>
      </w:r>
      <w:r w:rsidR="00731917" w:rsidRPr="00010F83">
        <w:rPr>
          <w:rFonts w:ascii="Arial" w:hAnsi="Arial" w:cs="Arial"/>
          <w:bCs/>
        </w:rPr>
        <w:t>thuế TNDN</w:t>
      </w:r>
      <w:r w:rsidR="00925137" w:rsidRPr="00010F83">
        <w:rPr>
          <w:rFonts w:ascii="Arial" w:hAnsi="Arial" w:cs="Arial"/>
          <w:bCs/>
        </w:rPr>
        <w:t xml:space="preserve"> </w:t>
      </w:r>
      <w:r w:rsidR="00876136" w:rsidRPr="00010F83">
        <w:rPr>
          <w:rFonts w:ascii="Arial" w:hAnsi="Arial" w:cs="Arial"/>
          <w:bCs/>
        </w:rPr>
        <w:t xml:space="preserve">hoãn lại phải trả (tài sản </w:t>
      </w:r>
      <w:r w:rsidR="00731917" w:rsidRPr="00010F83">
        <w:rPr>
          <w:rFonts w:ascii="Arial" w:hAnsi="Arial" w:cs="Arial"/>
          <w:bCs/>
        </w:rPr>
        <w:t>thuế</w:t>
      </w:r>
      <w:r w:rsidR="00E006F3" w:rsidRPr="00010F83">
        <w:rPr>
          <w:rFonts w:ascii="Arial" w:hAnsi="Arial" w:cs="Arial"/>
          <w:bCs/>
        </w:rPr>
        <w:t xml:space="preserve"> thu nhập</w:t>
      </w:r>
      <w:r w:rsidR="00925137" w:rsidRPr="00010F83">
        <w:rPr>
          <w:rFonts w:ascii="Arial" w:hAnsi="Arial" w:cs="Arial"/>
          <w:bCs/>
        </w:rPr>
        <w:t xml:space="preserve"> </w:t>
      </w:r>
      <w:r w:rsidR="00876136" w:rsidRPr="00010F83">
        <w:rPr>
          <w:rFonts w:ascii="Arial" w:hAnsi="Arial" w:cs="Arial"/>
          <w:bCs/>
        </w:rPr>
        <w:t xml:space="preserve">hoãn lại) khi </w:t>
      </w:r>
      <w:r w:rsidR="00A229C1" w:rsidRPr="00010F83">
        <w:rPr>
          <w:rFonts w:ascii="Arial" w:hAnsi="Arial" w:cs="Arial"/>
          <w:bCs/>
        </w:rPr>
        <w:t>mà</w:t>
      </w:r>
      <w:r w:rsidR="00876136" w:rsidRPr="00010F83">
        <w:rPr>
          <w:rFonts w:ascii="Arial" w:hAnsi="Arial" w:cs="Arial"/>
          <w:bCs/>
        </w:rPr>
        <w:t xml:space="preserve"> việc thu hồi hay thanh toán giá trị ghi sổ của </w:t>
      </w:r>
      <w:r w:rsidR="00E006F3" w:rsidRPr="00010F83">
        <w:rPr>
          <w:rFonts w:ascii="Arial" w:hAnsi="Arial" w:cs="Arial"/>
          <w:bCs/>
        </w:rPr>
        <w:t xml:space="preserve">một </w:t>
      </w:r>
      <w:r w:rsidR="00876136" w:rsidRPr="00010F83">
        <w:rPr>
          <w:rFonts w:ascii="Arial" w:hAnsi="Arial" w:cs="Arial"/>
          <w:bCs/>
        </w:rPr>
        <w:t xml:space="preserve">tài sản hoặc khoản nợ phải trả </w:t>
      </w:r>
      <w:r w:rsidR="00E006F3" w:rsidRPr="00010F83">
        <w:rPr>
          <w:rFonts w:ascii="Arial" w:hAnsi="Arial" w:cs="Arial"/>
          <w:bCs/>
        </w:rPr>
        <w:t>làm cho</w:t>
      </w:r>
      <w:r w:rsidR="00876136" w:rsidRPr="00010F83">
        <w:rPr>
          <w:rFonts w:ascii="Arial" w:hAnsi="Arial" w:cs="Arial"/>
          <w:bCs/>
        </w:rPr>
        <w:t xml:space="preserve"> khoản </w:t>
      </w:r>
      <w:r w:rsidR="00E006F3" w:rsidRPr="00010F83">
        <w:rPr>
          <w:rFonts w:ascii="Arial" w:hAnsi="Arial" w:cs="Arial"/>
          <w:bCs/>
        </w:rPr>
        <w:t xml:space="preserve">phải </w:t>
      </w:r>
      <w:r w:rsidR="00876136" w:rsidRPr="00010F83">
        <w:rPr>
          <w:rFonts w:ascii="Arial" w:hAnsi="Arial" w:cs="Arial"/>
          <w:bCs/>
        </w:rPr>
        <w:t xml:space="preserve">nộp thuế </w:t>
      </w:r>
      <w:r w:rsidR="00E006F3" w:rsidRPr="00010F83">
        <w:rPr>
          <w:rFonts w:ascii="Arial" w:hAnsi="Arial" w:cs="Arial"/>
          <w:bCs/>
        </w:rPr>
        <w:t xml:space="preserve">thu  nhập </w:t>
      </w:r>
      <w:r w:rsidR="00876136" w:rsidRPr="00010F83">
        <w:rPr>
          <w:rFonts w:ascii="Arial" w:hAnsi="Arial" w:cs="Arial"/>
          <w:bCs/>
        </w:rPr>
        <w:t xml:space="preserve">trong tương lai </w:t>
      </w:r>
      <w:r w:rsidR="00E006F3" w:rsidRPr="00010F83">
        <w:rPr>
          <w:rFonts w:ascii="Arial" w:hAnsi="Arial" w:cs="Arial"/>
          <w:bCs/>
        </w:rPr>
        <w:t>nhiều</w:t>
      </w:r>
      <w:r w:rsidR="00876136" w:rsidRPr="00010F83">
        <w:rPr>
          <w:rFonts w:ascii="Arial" w:hAnsi="Arial" w:cs="Arial"/>
          <w:bCs/>
        </w:rPr>
        <w:t xml:space="preserve"> hơn (</w:t>
      </w:r>
      <w:r w:rsidR="00E006F3" w:rsidRPr="00010F83">
        <w:rPr>
          <w:rFonts w:ascii="Arial" w:hAnsi="Arial" w:cs="Arial"/>
          <w:bCs/>
        </w:rPr>
        <w:t>hay ít đi</w:t>
      </w:r>
      <w:r w:rsidR="00876136" w:rsidRPr="00010F83">
        <w:rPr>
          <w:rFonts w:ascii="Arial" w:hAnsi="Arial" w:cs="Arial"/>
          <w:bCs/>
        </w:rPr>
        <w:t>) so với số thuế</w:t>
      </w:r>
      <w:r w:rsidR="00E006F3" w:rsidRPr="00010F83">
        <w:rPr>
          <w:rFonts w:ascii="Arial" w:hAnsi="Arial" w:cs="Arial"/>
          <w:bCs/>
        </w:rPr>
        <w:t xml:space="preserve"> thu nhập</w:t>
      </w:r>
      <w:r w:rsidR="00876136" w:rsidRPr="00010F83">
        <w:rPr>
          <w:rFonts w:ascii="Arial" w:hAnsi="Arial" w:cs="Arial"/>
          <w:bCs/>
        </w:rPr>
        <w:t xml:space="preserve"> phải </w:t>
      </w:r>
      <w:r w:rsidR="00E006F3" w:rsidRPr="00010F83">
        <w:rPr>
          <w:rFonts w:ascii="Arial" w:hAnsi="Arial" w:cs="Arial"/>
          <w:bCs/>
        </w:rPr>
        <w:t xml:space="preserve">nộp trong năm hiện hành nếu </w:t>
      </w:r>
      <w:r w:rsidR="00876136" w:rsidRPr="00010F83">
        <w:rPr>
          <w:rFonts w:ascii="Arial" w:hAnsi="Arial" w:cs="Arial"/>
          <w:bCs/>
        </w:rPr>
        <w:t>việc thu hồi hay thanh toán này không có ảnh hưở</w:t>
      </w:r>
      <w:r w:rsidR="00A229C1" w:rsidRPr="00010F83">
        <w:rPr>
          <w:rFonts w:ascii="Arial" w:hAnsi="Arial" w:cs="Arial"/>
          <w:bCs/>
        </w:rPr>
        <w:t>ng</w:t>
      </w:r>
      <w:r w:rsidR="00E006F3" w:rsidRPr="00010F83">
        <w:rPr>
          <w:rFonts w:ascii="Arial" w:hAnsi="Arial" w:cs="Arial"/>
          <w:bCs/>
        </w:rPr>
        <w:t xml:space="preserve"> đến</w:t>
      </w:r>
      <w:r w:rsidR="00876136" w:rsidRPr="00010F83">
        <w:rPr>
          <w:rFonts w:ascii="Arial" w:hAnsi="Arial" w:cs="Arial"/>
          <w:bCs/>
        </w:rPr>
        <w:t xml:space="preserve"> thuế</w:t>
      </w:r>
      <w:r w:rsidR="00E006F3" w:rsidRPr="00010F83">
        <w:rPr>
          <w:rFonts w:ascii="Arial" w:hAnsi="Arial" w:cs="Arial"/>
          <w:bCs/>
        </w:rPr>
        <w:t xml:space="preserve"> thu nhập</w:t>
      </w:r>
      <w:r w:rsidR="00876136" w:rsidRPr="00010F83">
        <w:rPr>
          <w:rFonts w:ascii="Arial" w:hAnsi="Arial" w:cs="Arial"/>
          <w:bCs/>
        </w:rPr>
        <w:t xml:space="preserve">. Ví dụ C </w:t>
      </w:r>
      <w:r w:rsidR="00A229C1" w:rsidRPr="00010F83">
        <w:rPr>
          <w:rFonts w:ascii="Arial" w:hAnsi="Arial" w:cs="Arial"/>
          <w:bCs/>
        </w:rPr>
        <w:t>của</w:t>
      </w:r>
      <w:r w:rsidR="00876136" w:rsidRPr="00010F83">
        <w:rPr>
          <w:rFonts w:ascii="Arial" w:hAnsi="Arial" w:cs="Arial"/>
          <w:bCs/>
        </w:rPr>
        <w:t xml:space="preserve"> đoạn 51A </w:t>
      </w:r>
      <w:r w:rsidR="003061C6" w:rsidRPr="00010F83">
        <w:rPr>
          <w:rFonts w:ascii="Arial" w:hAnsi="Arial" w:cs="Arial"/>
          <w:bCs/>
        </w:rPr>
        <w:t>minh họa</w:t>
      </w:r>
      <w:r w:rsidR="00876136" w:rsidRPr="00010F83">
        <w:rPr>
          <w:rFonts w:ascii="Arial" w:hAnsi="Arial" w:cs="Arial"/>
          <w:bCs/>
        </w:rPr>
        <w:t xml:space="preserve"> các trường hợp có thể hữ</w:t>
      </w:r>
      <w:r w:rsidR="00A229C1" w:rsidRPr="00010F83">
        <w:rPr>
          <w:rFonts w:ascii="Arial" w:hAnsi="Arial" w:cs="Arial"/>
          <w:bCs/>
        </w:rPr>
        <w:t xml:space="preserve">u ích khi xem xét </w:t>
      </w:r>
      <w:r w:rsidR="00876136" w:rsidRPr="00010F83">
        <w:rPr>
          <w:rFonts w:ascii="Arial" w:hAnsi="Arial" w:cs="Arial"/>
          <w:bCs/>
        </w:rPr>
        <w:t xml:space="preserve">nguyên tắc cơ bản này, </w:t>
      </w:r>
      <w:r w:rsidR="00E006F3" w:rsidRPr="00010F83">
        <w:rPr>
          <w:rFonts w:ascii="Arial" w:hAnsi="Arial" w:cs="Arial"/>
          <w:bCs/>
        </w:rPr>
        <w:t>ví dụ khi</w:t>
      </w:r>
      <w:r w:rsidR="00876136" w:rsidRPr="00010F83">
        <w:rPr>
          <w:rFonts w:ascii="Arial" w:hAnsi="Arial" w:cs="Arial"/>
          <w:bCs/>
        </w:rPr>
        <w:t xml:space="preserve"> cơ sở tính thuế của tài sản hoặc nợ phải trả phụ thuộc vào cách thức thu hồi hoặc thanh toán dự kiến</w:t>
      </w:r>
      <w:r w:rsidR="00A229C1" w:rsidRPr="00010F83">
        <w:rPr>
          <w:rFonts w:ascii="Arial" w:hAnsi="Arial" w:cs="Arial"/>
          <w:bCs/>
        </w:rPr>
        <w:t xml:space="preserve"> trong tương lai</w:t>
      </w:r>
      <w:r w:rsidR="00876136" w:rsidRPr="00010F83">
        <w:rPr>
          <w:rFonts w:ascii="Arial" w:hAnsi="Arial" w:cs="Arial"/>
          <w:bCs/>
        </w:rPr>
        <w:t>.</w:t>
      </w:r>
    </w:p>
    <w:p w:rsidR="00F278D3" w:rsidRPr="00010F83" w:rsidRDefault="00F278D3" w:rsidP="00E16242">
      <w:pPr>
        <w:autoSpaceDE w:val="0"/>
        <w:autoSpaceDN w:val="0"/>
        <w:adjustRightInd w:val="0"/>
        <w:spacing w:after="120" w:line="240" w:lineRule="auto"/>
        <w:ind w:left="720" w:hanging="720"/>
        <w:jc w:val="both"/>
        <w:rPr>
          <w:rFonts w:ascii="Arial" w:hAnsi="Arial" w:cs="Arial"/>
          <w:bCs/>
        </w:rPr>
      </w:pPr>
      <w:r w:rsidRPr="00010F83">
        <w:rPr>
          <w:rFonts w:ascii="Arial" w:hAnsi="Arial" w:cs="Arial"/>
          <w:bCs/>
        </w:rPr>
        <w:lastRenderedPageBreak/>
        <w:t>11</w:t>
      </w:r>
      <w:r w:rsidRPr="00010F83">
        <w:rPr>
          <w:rFonts w:ascii="Arial" w:hAnsi="Arial" w:cs="Arial"/>
          <w:bCs/>
        </w:rPr>
        <w:tab/>
        <w:t xml:space="preserve">Trong báo cáo tài chính hợp nhất, chênh lệch tạm thời được xác định bằng cách so sánh giá trị ghi sổ của tài sản và nợ phải trả trong báo cáo tài chính hợp nhất với cơ sở tính thuế thích hợp. </w:t>
      </w:r>
      <w:proofErr w:type="gramStart"/>
      <w:r w:rsidRPr="00010F83">
        <w:rPr>
          <w:rFonts w:ascii="Arial" w:hAnsi="Arial" w:cs="Arial"/>
          <w:bCs/>
        </w:rPr>
        <w:t xml:space="preserve">Cơ sở tính thuế được xác định bằng cách tham chiếu đến tờ khai thuế hợp nhất </w:t>
      </w:r>
      <w:r w:rsidR="003061C6" w:rsidRPr="00010F83">
        <w:rPr>
          <w:rFonts w:ascii="Arial" w:hAnsi="Arial" w:cs="Arial"/>
          <w:bCs/>
        </w:rPr>
        <w:t>tại các khu vực</w:t>
      </w:r>
      <w:r w:rsidRPr="00010F83">
        <w:rPr>
          <w:rFonts w:ascii="Arial" w:hAnsi="Arial" w:cs="Arial"/>
          <w:bCs/>
        </w:rPr>
        <w:t xml:space="preserve"> </w:t>
      </w:r>
      <w:r w:rsidR="003061C6" w:rsidRPr="00010F83">
        <w:rPr>
          <w:rFonts w:ascii="Arial" w:hAnsi="Arial" w:cs="Arial"/>
          <w:bCs/>
        </w:rPr>
        <w:t>pháp lý</w:t>
      </w:r>
      <w:r w:rsidRPr="00010F83">
        <w:rPr>
          <w:rFonts w:ascii="Arial" w:hAnsi="Arial" w:cs="Arial"/>
          <w:bCs/>
        </w:rPr>
        <w:t xml:space="preserve"> mà tờ khai </w:t>
      </w:r>
      <w:r w:rsidR="003061C6" w:rsidRPr="00010F83">
        <w:rPr>
          <w:rFonts w:ascii="Arial" w:hAnsi="Arial" w:cs="Arial"/>
          <w:bCs/>
        </w:rPr>
        <w:t xml:space="preserve">thuế hợp </w:t>
      </w:r>
      <w:r w:rsidR="00E006F3" w:rsidRPr="00010F83">
        <w:rPr>
          <w:rFonts w:ascii="Arial" w:hAnsi="Arial" w:cs="Arial"/>
          <w:bCs/>
        </w:rPr>
        <w:t>nhất</w:t>
      </w:r>
      <w:r w:rsidR="003061C6" w:rsidRPr="00010F83">
        <w:rPr>
          <w:rFonts w:ascii="Arial" w:hAnsi="Arial" w:cs="Arial"/>
          <w:bCs/>
        </w:rPr>
        <w:t xml:space="preserve"> </w:t>
      </w:r>
      <w:r w:rsidRPr="00010F83">
        <w:rPr>
          <w:rFonts w:ascii="Arial" w:hAnsi="Arial" w:cs="Arial"/>
          <w:bCs/>
        </w:rPr>
        <w:t xml:space="preserve">được </w:t>
      </w:r>
      <w:r w:rsidR="00E006F3" w:rsidRPr="00010F83">
        <w:rPr>
          <w:rFonts w:ascii="Arial" w:hAnsi="Arial" w:cs="Arial"/>
          <w:bCs/>
        </w:rPr>
        <w:t xml:space="preserve">kê khai và </w:t>
      </w:r>
      <w:r w:rsidR="00A229C1" w:rsidRPr="00010F83">
        <w:rPr>
          <w:rFonts w:ascii="Arial" w:hAnsi="Arial" w:cs="Arial"/>
          <w:bCs/>
        </w:rPr>
        <w:t>chấp nhận</w:t>
      </w:r>
      <w:r w:rsidRPr="00010F83">
        <w:rPr>
          <w:rFonts w:ascii="Arial" w:hAnsi="Arial" w:cs="Arial"/>
          <w:bCs/>
        </w:rPr>
        <w:t>.</w:t>
      </w:r>
      <w:proofErr w:type="gramEnd"/>
      <w:r w:rsidRPr="00010F83">
        <w:rPr>
          <w:rFonts w:ascii="Arial" w:hAnsi="Arial" w:cs="Arial"/>
          <w:bCs/>
        </w:rPr>
        <w:t xml:space="preserve"> </w:t>
      </w:r>
      <w:proofErr w:type="gramStart"/>
      <w:r w:rsidRPr="00010F83">
        <w:rPr>
          <w:rFonts w:ascii="Arial" w:hAnsi="Arial" w:cs="Arial"/>
          <w:bCs/>
        </w:rPr>
        <w:t>T</w:t>
      </w:r>
      <w:r w:rsidR="00A229C1" w:rsidRPr="00010F83">
        <w:rPr>
          <w:rFonts w:ascii="Arial" w:hAnsi="Arial" w:cs="Arial"/>
          <w:bCs/>
        </w:rPr>
        <w:t>ại một số</w:t>
      </w:r>
      <w:r w:rsidRPr="00010F83">
        <w:rPr>
          <w:rFonts w:ascii="Arial" w:hAnsi="Arial" w:cs="Arial"/>
          <w:bCs/>
        </w:rPr>
        <w:t xml:space="preserve"> </w:t>
      </w:r>
      <w:r w:rsidR="003061C6" w:rsidRPr="00010F83">
        <w:rPr>
          <w:rFonts w:ascii="Arial" w:hAnsi="Arial" w:cs="Arial"/>
          <w:bCs/>
        </w:rPr>
        <w:t>khu vực</w:t>
      </w:r>
      <w:r w:rsidRPr="00010F83">
        <w:rPr>
          <w:rFonts w:ascii="Arial" w:hAnsi="Arial" w:cs="Arial"/>
          <w:bCs/>
        </w:rPr>
        <w:t xml:space="preserve"> pháp lý khác, cơ sở tính thuế được xác định bằng cách tham chiếu đến tờ khai thuế của từng đơn vị trong </w:t>
      </w:r>
      <w:r w:rsidR="003061C6" w:rsidRPr="00010F83">
        <w:rPr>
          <w:rFonts w:ascii="Arial" w:hAnsi="Arial" w:cs="Arial"/>
          <w:bCs/>
        </w:rPr>
        <w:t>tập đoàn</w:t>
      </w:r>
      <w:r w:rsidRPr="00010F83">
        <w:rPr>
          <w:rFonts w:ascii="Arial" w:hAnsi="Arial" w:cs="Arial"/>
          <w:bCs/>
        </w:rPr>
        <w:t>.</w:t>
      </w:r>
      <w:proofErr w:type="gramEnd"/>
    </w:p>
    <w:p w:rsidR="00F278D3" w:rsidRPr="00010F83" w:rsidRDefault="00F278D3" w:rsidP="00590853">
      <w:pPr>
        <w:autoSpaceDE w:val="0"/>
        <w:autoSpaceDN w:val="0"/>
        <w:adjustRightInd w:val="0"/>
        <w:spacing w:after="120" w:line="240" w:lineRule="auto"/>
        <w:jc w:val="both"/>
        <w:rPr>
          <w:rFonts w:ascii="Arial" w:hAnsi="Arial" w:cs="Arial"/>
          <w:bCs/>
        </w:rPr>
      </w:pPr>
    </w:p>
    <w:p w:rsidR="00F278D3" w:rsidRPr="00010F83" w:rsidRDefault="0055128B" w:rsidP="00590853">
      <w:pPr>
        <w:autoSpaceDE w:val="0"/>
        <w:autoSpaceDN w:val="0"/>
        <w:adjustRightInd w:val="0"/>
        <w:spacing w:after="120" w:line="240" w:lineRule="auto"/>
        <w:jc w:val="both"/>
        <w:rPr>
          <w:rFonts w:ascii="Arial" w:hAnsi="Arial" w:cs="Arial"/>
          <w:b/>
          <w:bCs/>
          <w:sz w:val="24"/>
          <w:szCs w:val="24"/>
        </w:rPr>
      </w:pPr>
      <w:r w:rsidRPr="00010F83">
        <w:rPr>
          <w:rFonts w:ascii="Arial" w:hAnsi="Arial" w:cs="Arial"/>
          <w:b/>
          <w:bCs/>
          <w:sz w:val="24"/>
          <w:szCs w:val="24"/>
        </w:rPr>
        <w:t xml:space="preserve">Ghi nhận thuế </w:t>
      </w:r>
      <w:r w:rsidR="00201D3A" w:rsidRPr="00010F83">
        <w:rPr>
          <w:rFonts w:ascii="Arial" w:hAnsi="Arial" w:cs="Arial"/>
          <w:b/>
          <w:bCs/>
          <w:sz w:val="24"/>
          <w:szCs w:val="24"/>
        </w:rPr>
        <w:t>TNDN</w:t>
      </w:r>
      <w:r w:rsidRPr="00010F83">
        <w:rPr>
          <w:rFonts w:ascii="Arial" w:hAnsi="Arial" w:cs="Arial"/>
          <w:b/>
          <w:bCs/>
          <w:sz w:val="24"/>
          <w:szCs w:val="24"/>
        </w:rPr>
        <w:t xml:space="preserve"> hiện hành phải </w:t>
      </w:r>
      <w:r w:rsidR="005E06DC" w:rsidRPr="00010F83">
        <w:rPr>
          <w:rFonts w:ascii="Arial" w:hAnsi="Arial" w:cs="Arial"/>
          <w:b/>
          <w:bCs/>
          <w:sz w:val="24"/>
          <w:szCs w:val="24"/>
        </w:rPr>
        <w:t>nộp</w:t>
      </w:r>
      <w:r w:rsidRPr="00010F83">
        <w:rPr>
          <w:rFonts w:ascii="Arial" w:hAnsi="Arial" w:cs="Arial"/>
          <w:b/>
          <w:bCs/>
          <w:sz w:val="24"/>
          <w:szCs w:val="24"/>
        </w:rPr>
        <w:t xml:space="preserve"> và tài sản thuế TNDN hiện hành </w:t>
      </w:r>
    </w:p>
    <w:p w:rsidR="00682403" w:rsidRPr="00010F83" w:rsidRDefault="007B64CF" w:rsidP="00FE7934">
      <w:pPr>
        <w:autoSpaceDE w:val="0"/>
        <w:autoSpaceDN w:val="0"/>
        <w:adjustRightInd w:val="0"/>
        <w:spacing w:before="240" w:after="120" w:line="240" w:lineRule="auto"/>
        <w:ind w:left="720" w:hanging="720"/>
        <w:jc w:val="both"/>
        <w:rPr>
          <w:rFonts w:ascii="Arial" w:hAnsi="Arial" w:cs="Arial"/>
          <w:bCs/>
        </w:rPr>
      </w:pPr>
      <w:r w:rsidRPr="00010F83">
        <w:rPr>
          <w:rFonts w:ascii="Arial" w:hAnsi="Arial" w:cs="Arial"/>
          <w:b/>
          <w:bCs/>
          <w:noProof/>
        </w:rPr>
        <w:pict>
          <v:line id="Straight Connector 6" o:spid="_x0000_s1038"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" strokecolor="black [3200]" strokeweight=".5pt">
            <v:stroke joinstyle="miter"/>
          </v:line>
        </w:pict>
      </w:r>
      <w:proofErr w:type="gramStart"/>
      <w:r w:rsidR="00F278D3" w:rsidRPr="00010F83">
        <w:rPr>
          <w:rFonts w:ascii="Arial" w:hAnsi="Arial" w:cs="Arial"/>
          <w:b/>
          <w:bCs/>
        </w:rPr>
        <w:t>12</w:t>
      </w:r>
      <w:r w:rsidR="00F278D3" w:rsidRPr="00010F83">
        <w:rPr>
          <w:rFonts w:ascii="Arial" w:hAnsi="Arial" w:cs="Arial"/>
          <w:bCs/>
        </w:rPr>
        <w:tab/>
      </w:r>
      <w:r w:rsidR="004B0FAC" w:rsidRPr="00010F83">
        <w:rPr>
          <w:rFonts w:ascii="Arial" w:hAnsi="Arial" w:cs="Arial"/>
          <w:b/>
          <w:bCs/>
        </w:rPr>
        <w:t xml:space="preserve">Thuế </w:t>
      </w:r>
      <w:r w:rsidR="00E006F3" w:rsidRPr="00010F83">
        <w:rPr>
          <w:rFonts w:ascii="Arial" w:hAnsi="Arial" w:cs="Arial"/>
          <w:b/>
          <w:bCs/>
        </w:rPr>
        <w:t xml:space="preserve">thu nhập </w:t>
      </w:r>
      <w:r w:rsidR="004B0FAC" w:rsidRPr="00010F83">
        <w:rPr>
          <w:rFonts w:ascii="Arial" w:hAnsi="Arial" w:cs="Arial"/>
          <w:b/>
          <w:bCs/>
        </w:rPr>
        <w:t>hiện hành của kỳ hiện tại và các kỳ trước, nếu chưa nộp</w:t>
      </w:r>
      <w:proofErr w:type="gramEnd"/>
      <w:r w:rsidR="004B0FAC" w:rsidRPr="00010F83">
        <w:rPr>
          <w:rFonts w:ascii="Arial" w:hAnsi="Arial" w:cs="Arial"/>
          <w:b/>
          <w:bCs/>
        </w:rPr>
        <w:t>, phải được ghi nhận là nợ phải trả. Nếu giá trị đã nộp trong kỳ hiện tại và các kỳ trước vượt quá số phải nộp cho các kỳ đó, thì phần giá trị nộp thừa sẽ được ghi nhận là tài sản</w:t>
      </w:r>
      <w:r w:rsidR="00682403" w:rsidRPr="00010F83">
        <w:rPr>
          <w:rFonts w:ascii="Arial" w:hAnsi="Arial" w:cs="Arial"/>
          <w:b/>
          <w:bCs/>
        </w:rPr>
        <w:t>.</w:t>
      </w:r>
    </w:p>
    <w:p w:rsidR="00000000" w:rsidRPr="00010F83" w:rsidRDefault="00F278D3">
      <w:pPr>
        <w:tabs>
          <w:tab w:val="left" w:pos="1110"/>
        </w:tabs>
        <w:ind w:left="720" w:hanging="720"/>
        <w:rPr>
          <w:rFonts w:ascii="Arial" w:hAnsi="Arial" w:cs="Arial"/>
          <w:bCs/>
        </w:rPr>
      </w:pPr>
      <w:r w:rsidRPr="00010F83">
        <w:rPr>
          <w:rFonts w:ascii="Arial" w:hAnsi="Arial" w:cs="Arial"/>
          <w:bCs/>
        </w:rPr>
        <w:t>13.</w:t>
      </w:r>
      <w:r w:rsidRPr="00010F83">
        <w:rPr>
          <w:rFonts w:ascii="Arial" w:hAnsi="Arial" w:cs="Arial"/>
          <w:bCs/>
        </w:rPr>
        <w:tab/>
      </w:r>
      <w:r w:rsidR="004B0FAC" w:rsidRPr="00010F83">
        <w:rPr>
          <w:rFonts w:ascii="Arial" w:hAnsi="Arial" w:cs="Arial"/>
          <w:bCs/>
        </w:rPr>
        <w:t>Lợi ích liên quan đến lỗ tính thuế đượ</w:t>
      </w:r>
      <w:r w:rsidR="00DC0A74" w:rsidRPr="00010F83">
        <w:rPr>
          <w:rFonts w:ascii="Arial" w:hAnsi="Arial" w:cs="Arial"/>
          <w:bCs/>
        </w:rPr>
        <w:t>c sử dụng để</w:t>
      </w:r>
      <w:r w:rsidR="004B0FAC" w:rsidRPr="00010F83">
        <w:rPr>
          <w:rFonts w:ascii="Arial" w:hAnsi="Arial" w:cs="Arial"/>
          <w:bCs/>
        </w:rPr>
        <w:t xml:space="preserve"> </w:t>
      </w:r>
      <w:r w:rsidR="00E006F3" w:rsidRPr="00010F83">
        <w:rPr>
          <w:rFonts w:ascii="Arial" w:hAnsi="Arial" w:cs="Arial"/>
          <w:bCs/>
        </w:rPr>
        <w:t xml:space="preserve">trừ lùi (nói cách khác là chuyển lỗ </w:t>
      </w:r>
      <w:bookmarkStart w:id="0" w:name="_GoBack"/>
      <w:bookmarkEnd w:id="0"/>
      <w:r w:rsidR="00E006F3" w:rsidRPr="00010F83">
        <w:rPr>
          <w:rFonts w:ascii="Arial" w:hAnsi="Arial" w:cs="Arial"/>
          <w:bCs/>
        </w:rPr>
        <w:t>hồi tố vào các năm trước, nếu có quy định)</w:t>
      </w:r>
      <w:r w:rsidR="004B0FAC" w:rsidRPr="00010F83">
        <w:rPr>
          <w:rFonts w:ascii="Arial" w:hAnsi="Arial" w:cs="Arial"/>
          <w:bCs/>
        </w:rPr>
        <w:t xml:space="preserve"> vào khoản thuế hiện hành của một kỳ trước đó sẽ được ghi nhận là tài sản.</w:t>
      </w:r>
    </w:p>
    <w:p w:rsidR="00F278D3" w:rsidRPr="00010F83" w:rsidRDefault="00F278D3" w:rsidP="00FE7934">
      <w:pPr>
        <w:autoSpaceDE w:val="0"/>
        <w:autoSpaceDN w:val="0"/>
        <w:adjustRightInd w:val="0"/>
        <w:spacing w:after="120" w:line="280" w:lineRule="atLeast"/>
        <w:ind w:left="720" w:hanging="720"/>
        <w:jc w:val="both"/>
        <w:rPr>
          <w:rFonts w:ascii="Arial" w:hAnsi="Arial" w:cs="Arial"/>
          <w:bCs/>
        </w:rPr>
      </w:pPr>
      <w:r w:rsidRPr="00010F83">
        <w:rPr>
          <w:rFonts w:ascii="Arial" w:hAnsi="Arial" w:cs="Arial"/>
          <w:bCs/>
        </w:rPr>
        <w:t>14.</w:t>
      </w:r>
      <w:r w:rsidRPr="00010F83">
        <w:rPr>
          <w:rFonts w:ascii="Arial" w:hAnsi="Arial" w:cs="Arial"/>
          <w:bCs/>
        </w:rPr>
        <w:tab/>
      </w:r>
      <w:r w:rsidR="004B0FAC" w:rsidRPr="00010F83">
        <w:rPr>
          <w:rFonts w:ascii="Arial" w:hAnsi="Arial" w:cs="Arial"/>
          <w:bCs/>
        </w:rPr>
        <w:t xml:space="preserve">Khi lỗ tính thuế được sử dụng để </w:t>
      </w:r>
      <w:r w:rsidR="00E006F3" w:rsidRPr="00010F83">
        <w:rPr>
          <w:rFonts w:ascii="Arial" w:hAnsi="Arial" w:cs="Arial"/>
          <w:bCs/>
        </w:rPr>
        <w:t>trừ lùi</w:t>
      </w:r>
      <w:r w:rsidR="004B0FAC" w:rsidRPr="00010F83">
        <w:rPr>
          <w:rFonts w:ascii="Arial" w:hAnsi="Arial" w:cs="Arial"/>
          <w:bCs/>
        </w:rPr>
        <w:t xml:space="preserve"> vào số thuế hiện hành của một kỳ trước đó, đơn vị ghi nhận lợi ích này như một tài sản trong kỳ mà khoản lỗ tính thuế phát sinh vì nhiều khả năng đơn vị sẽ thu được lợi ích này và giá trị của lợi ích có thể xác định được một cách đáng tin cậy.</w:t>
      </w:r>
    </w:p>
    <w:p w:rsidR="00F278D3" w:rsidRPr="00010F83" w:rsidRDefault="00F278D3" w:rsidP="00FE7934">
      <w:pPr>
        <w:autoSpaceDE w:val="0"/>
        <w:autoSpaceDN w:val="0"/>
        <w:adjustRightInd w:val="0"/>
        <w:spacing w:after="120" w:line="280" w:lineRule="atLeast"/>
        <w:jc w:val="both"/>
        <w:rPr>
          <w:rFonts w:ascii="Arial" w:hAnsi="Arial" w:cs="Arial"/>
          <w:bCs/>
        </w:rPr>
      </w:pPr>
    </w:p>
    <w:p w:rsidR="00F278D3" w:rsidRPr="00010F83" w:rsidRDefault="0055128B" w:rsidP="00FE7934">
      <w:pPr>
        <w:autoSpaceDE w:val="0"/>
        <w:autoSpaceDN w:val="0"/>
        <w:adjustRightInd w:val="0"/>
        <w:spacing w:after="120" w:line="280" w:lineRule="atLeast"/>
        <w:jc w:val="both"/>
        <w:rPr>
          <w:rFonts w:ascii="Arial" w:hAnsi="Arial" w:cs="Arial"/>
          <w:b/>
          <w:bCs/>
          <w:sz w:val="24"/>
          <w:szCs w:val="24"/>
        </w:rPr>
      </w:pPr>
      <w:r w:rsidRPr="00010F83">
        <w:rPr>
          <w:rFonts w:ascii="Arial" w:hAnsi="Arial" w:cs="Arial"/>
          <w:b/>
          <w:bCs/>
          <w:sz w:val="24"/>
          <w:szCs w:val="24"/>
        </w:rPr>
        <w:t xml:space="preserve">Ghi nhận thuế </w:t>
      </w:r>
      <w:proofErr w:type="gramStart"/>
      <w:r w:rsidR="00E006F3" w:rsidRPr="00010F83">
        <w:rPr>
          <w:rFonts w:ascii="Arial" w:hAnsi="Arial" w:cs="Arial"/>
          <w:b/>
          <w:bCs/>
          <w:sz w:val="24"/>
          <w:szCs w:val="24"/>
        </w:rPr>
        <w:t>thu</w:t>
      </w:r>
      <w:proofErr w:type="gramEnd"/>
      <w:r w:rsidR="00E006F3" w:rsidRPr="00010F83">
        <w:rPr>
          <w:rFonts w:ascii="Arial" w:hAnsi="Arial" w:cs="Arial"/>
          <w:b/>
          <w:bCs/>
          <w:sz w:val="24"/>
          <w:szCs w:val="24"/>
        </w:rPr>
        <w:t xml:space="preserve"> nhập </w:t>
      </w:r>
      <w:r w:rsidRPr="00010F83">
        <w:rPr>
          <w:rFonts w:ascii="Arial" w:hAnsi="Arial" w:cs="Arial"/>
          <w:b/>
          <w:bCs/>
          <w:sz w:val="24"/>
          <w:szCs w:val="24"/>
        </w:rPr>
        <w:t xml:space="preserve">hoãn lại phải trả và tài sản thuế </w:t>
      </w:r>
      <w:r w:rsidR="00E006F3" w:rsidRPr="00010F83">
        <w:rPr>
          <w:rFonts w:ascii="Arial" w:hAnsi="Arial" w:cs="Arial"/>
          <w:b/>
          <w:bCs/>
          <w:sz w:val="24"/>
          <w:szCs w:val="24"/>
        </w:rPr>
        <w:t>thu nhập</w:t>
      </w:r>
      <w:r w:rsidRPr="00010F83">
        <w:rPr>
          <w:rFonts w:ascii="Arial" w:hAnsi="Arial" w:cs="Arial"/>
          <w:b/>
          <w:bCs/>
          <w:sz w:val="24"/>
          <w:szCs w:val="24"/>
        </w:rPr>
        <w:t xml:space="preserve"> hoãn lại</w:t>
      </w:r>
    </w:p>
    <w:p w:rsidR="00F278D3" w:rsidRPr="00010F83" w:rsidRDefault="007B64CF" w:rsidP="00FE7934">
      <w:pPr>
        <w:autoSpaceDE w:val="0"/>
        <w:autoSpaceDN w:val="0"/>
        <w:adjustRightInd w:val="0"/>
        <w:spacing w:before="240" w:after="120" w:line="280" w:lineRule="atLeast"/>
        <w:jc w:val="both"/>
        <w:rPr>
          <w:rFonts w:ascii="Arial" w:hAnsi="Arial" w:cs="Arial"/>
          <w:b/>
          <w:bCs/>
        </w:rPr>
      </w:pPr>
      <w:r w:rsidRPr="00010F83">
        <w:rPr>
          <w:rFonts w:ascii="Arial" w:hAnsi="Arial" w:cs="Arial"/>
          <w:b/>
          <w:bCs/>
          <w:noProof/>
        </w:rPr>
        <w:pict>
          <v:line id="Straight Connector 7" o:spid="_x0000_s1037"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0,-.05pt" to="46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" strokecolor="black [3200]" strokeweight=".5pt">
            <v:stroke joinstyle="miter"/>
          </v:line>
        </w:pict>
      </w:r>
      <w:r w:rsidR="00F278D3" w:rsidRPr="00010F83">
        <w:rPr>
          <w:rFonts w:ascii="Arial" w:hAnsi="Arial" w:cs="Arial"/>
          <w:b/>
          <w:bCs/>
        </w:rPr>
        <w:tab/>
      </w:r>
      <w:r w:rsidR="004B0FAC" w:rsidRPr="00010F83">
        <w:rPr>
          <w:rFonts w:ascii="Arial" w:hAnsi="Arial" w:cs="Arial"/>
          <w:b/>
          <w:bCs/>
        </w:rPr>
        <w:t xml:space="preserve">Chênh lệch tạm thời </w:t>
      </w:r>
      <w:r w:rsidR="00E006F3" w:rsidRPr="00010F83">
        <w:rPr>
          <w:rFonts w:ascii="Arial" w:hAnsi="Arial" w:cs="Arial"/>
          <w:b/>
          <w:bCs/>
        </w:rPr>
        <w:t xml:space="preserve">phải </w:t>
      </w:r>
      <w:r w:rsidR="004B0FAC" w:rsidRPr="00010F83">
        <w:rPr>
          <w:rFonts w:ascii="Arial" w:hAnsi="Arial" w:cs="Arial"/>
          <w:b/>
          <w:bCs/>
        </w:rPr>
        <w:t>chịu thuế</w:t>
      </w:r>
      <w:r w:rsidR="00E006F3" w:rsidRPr="00010F83">
        <w:rPr>
          <w:rFonts w:ascii="Arial" w:hAnsi="Arial" w:cs="Arial"/>
          <w:b/>
          <w:bCs/>
        </w:rPr>
        <w:t xml:space="preserve"> </w:t>
      </w:r>
      <w:proofErr w:type="gramStart"/>
      <w:r w:rsidR="00E006F3" w:rsidRPr="00010F83">
        <w:rPr>
          <w:rFonts w:ascii="Arial" w:hAnsi="Arial" w:cs="Arial"/>
          <w:b/>
          <w:bCs/>
        </w:rPr>
        <w:t>thu</w:t>
      </w:r>
      <w:proofErr w:type="gramEnd"/>
      <w:r w:rsidR="00E006F3" w:rsidRPr="00010F83">
        <w:rPr>
          <w:rFonts w:ascii="Arial" w:hAnsi="Arial" w:cs="Arial"/>
          <w:b/>
          <w:bCs/>
        </w:rPr>
        <w:t xml:space="preserve"> nhập doanh nghiệp</w:t>
      </w:r>
    </w:p>
    <w:p w:rsidR="00F278D3" w:rsidRPr="00010F83" w:rsidRDefault="00F278D3" w:rsidP="00FE7934">
      <w:pPr>
        <w:autoSpaceDE w:val="0"/>
        <w:autoSpaceDN w:val="0"/>
        <w:adjustRightInd w:val="0"/>
        <w:spacing w:after="120" w:line="280" w:lineRule="atLeast"/>
        <w:ind w:left="720" w:hanging="720"/>
        <w:jc w:val="both"/>
        <w:rPr>
          <w:rFonts w:ascii="Arial" w:hAnsi="Arial" w:cs="Arial"/>
          <w:b/>
          <w:bCs/>
        </w:rPr>
      </w:pPr>
      <w:r w:rsidRPr="00010F83">
        <w:rPr>
          <w:rFonts w:ascii="Arial" w:hAnsi="Arial" w:cs="Arial"/>
          <w:b/>
          <w:bCs/>
        </w:rPr>
        <w:t>15.</w:t>
      </w:r>
      <w:r w:rsidRPr="00010F83">
        <w:rPr>
          <w:rFonts w:ascii="Arial" w:hAnsi="Arial" w:cs="Arial"/>
          <w:bCs/>
        </w:rPr>
        <w:tab/>
      </w:r>
      <w:r w:rsidR="007B64CF" w:rsidRPr="00010F83">
        <w:rPr>
          <w:rFonts w:ascii="Arial" w:hAnsi="Arial" w:cs="Arial"/>
          <w:b/>
          <w:bCs/>
        </w:rPr>
        <w:t xml:space="preserve">Cần ghi nhận một khoản </w:t>
      </w:r>
      <w:r w:rsidR="00B617EA" w:rsidRPr="00010F83">
        <w:rPr>
          <w:rFonts w:ascii="Arial" w:hAnsi="Arial" w:cs="Arial"/>
          <w:b/>
          <w:bCs/>
        </w:rPr>
        <w:t xml:space="preserve">thuế thu nhập </w:t>
      </w:r>
      <w:r w:rsidR="004B0FAC" w:rsidRPr="00010F83">
        <w:rPr>
          <w:rFonts w:ascii="Arial" w:hAnsi="Arial" w:cs="Arial"/>
          <w:b/>
          <w:bCs/>
        </w:rPr>
        <w:t xml:space="preserve">hoãn lại phải trả cho tất cả các khoản chênh lệch tạm thời </w:t>
      </w:r>
      <w:r w:rsidR="00B617EA" w:rsidRPr="00010F83">
        <w:rPr>
          <w:rFonts w:ascii="Arial" w:hAnsi="Arial" w:cs="Arial"/>
          <w:b/>
          <w:bCs/>
        </w:rPr>
        <w:t xml:space="preserve">phải </w:t>
      </w:r>
      <w:r w:rsidR="004B0FAC" w:rsidRPr="00010F83">
        <w:rPr>
          <w:rFonts w:ascii="Arial" w:hAnsi="Arial" w:cs="Arial"/>
          <w:b/>
          <w:bCs/>
        </w:rPr>
        <w:t xml:space="preserve">chịu thuế, ngoại trừ các khoản </w:t>
      </w:r>
      <w:r w:rsidR="00731917" w:rsidRPr="00010F83">
        <w:rPr>
          <w:rFonts w:ascii="Arial" w:hAnsi="Arial" w:cs="Arial"/>
          <w:b/>
          <w:bCs/>
        </w:rPr>
        <w:t xml:space="preserve">thuế </w:t>
      </w:r>
      <w:proofErr w:type="gramStart"/>
      <w:r w:rsidR="00B617EA" w:rsidRPr="00010F83">
        <w:rPr>
          <w:rFonts w:ascii="Arial" w:hAnsi="Arial" w:cs="Arial"/>
          <w:b/>
          <w:bCs/>
        </w:rPr>
        <w:t>thu</w:t>
      </w:r>
      <w:proofErr w:type="gramEnd"/>
      <w:r w:rsidR="00B617EA" w:rsidRPr="00010F83">
        <w:rPr>
          <w:rFonts w:ascii="Arial" w:hAnsi="Arial" w:cs="Arial"/>
          <w:b/>
          <w:bCs/>
        </w:rPr>
        <w:t xml:space="preserve"> nhập </w:t>
      </w:r>
      <w:r w:rsidR="004B0FAC" w:rsidRPr="00010F83">
        <w:rPr>
          <w:rFonts w:ascii="Arial" w:hAnsi="Arial" w:cs="Arial"/>
          <w:b/>
          <w:bCs/>
        </w:rPr>
        <w:t>hoãn lại phải trả phát sinh từ:</w:t>
      </w:r>
    </w:p>
    <w:p w:rsidR="000B467A" w:rsidRPr="00010F83" w:rsidRDefault="004B0FAC" w:rsidP="00FE7934">
      <w:pPr>
        <w:pStyle w:val="ListParagraph"/>
        <w:numPr>
          <w:ilvl w:val="0"/>
          <w:numId w:val="9"/>
        </w:numPr>
        <w:autoSpaceDE w:val="0"/>
        <w:autoSpaceDN w:val="0"/>
        <w:adjustRightInd w:val="0"/>
        <w:spacing w:after="120" w:line="280" w:lineRule="atLeast"/>
        <w:ind w:left="1080"/>
        <w:jc w:val="both"/>
        <w:rPr>
          <w:rFonts w:ascii="Arial" w:hAnsi="Arial" w:cs="Arial"/>
          <w:b/>
          <w:bCs/>
          <w:sz w:val="22"/>
          <w:szCs w:val="22"/>
        </w:rPr>
      </w:pPr>
      <w:r w:rsidRPr="00010F83">
        <w:rPr>
          <w:rFonts w:ascii="Arial" w:hAnsi="Arial" w:cs="Arial"/>
          <w:b/>
          <w:bCs/>
          <w:sz w:val="22"/>
          <w:szCs w:val="22"/>
        </w:rPr>
        <w:t>Việc ghi nhận ban đầu của lợi thế thương mại; hoặc</w:t>
      </w:r>
    </w:p>
    <w:p w:rsidR="00F278D3" w:rsidRPr="00010F83" w:rsidRDefault="004B0FAC" w:rsidP="00FE7934">
      <w:pPr>
        <w:pStyle w:val="ListParagraph"/>
        <w:numPr>
          <w:ilvl w:val="0"/>
          <w:numId w:val="9"/>
        </w:numPr>
        <w:autoSpaceDE w:val="0"/>
        <w:autoSpaceDN w:val="0"/>
        <w:adjustRightInd w:val="0"/>
        <w:spacing w:after="120" w:line="280" w:lineRule="atLeast"/>
        <w:ind w:left="1080"/>
        <w:jc w:val="both"/>
        <w:rPr>
          <w:rFonts w:ascii="Arial" w:hAnsi="Arial" w:cs="Arial"/>
          <w:b/>
          <w:bCs/>
          <w:sz w:val="22"/>
          <w:szCs w:val="22"/>
        </w:rPr>
      </w:pPr>
      <w:r w:rsidRPr="00010F83">
        <w:rPr>
          <w:rFonts w:ascii="Arial" w:hAnsi="Arial" w:cs="Arial"/>
          <w:b/>
          <w:bCs/>
          <w:sz w:val="22"/>
          <w:szCs w:val="22"/>
        </w:rPr>
        <w:t>Việc ghi nhận ban đầu của một tài sản hay nợ phải trả trong một giao dịch mà:</w:t>
      </w:r>
    </w:p>
    <w:p w:rsidR="004B0FAC" w:rsidRPr="00010F83" w:rsidRDefault="004B0FAC" w:rsidP="00FE7934">
      <w:pPr>
        <w:pStyle w:val="ListParagraph"/>
        <w:numPr>
          <w:ilvl w:val="0"/>
          <w:numId w:val="8"/>
        </w:numPr>
        <w:autoSpaceDE w:val="0"/>
        <w:autoSpaceDN w:val="0"/>
        <w:adjustRightInd w:val="0"/>
        <w:spacing w:after="120" w:line="280" w:lineRule="atLeast"/>
        <w:ind w:left="1440"/>
        <w:jc w:val="both"/>
        <w:rPr>
          <w:rFonts w:ascii="Arial" w:hAnsi="Arial" w:cs="Arial"/>
          <w:b/>
          <w:bCs/>
          <w:sz w:val="22"/>
          <w:szCs w:val="22"/>
        </w:rPr>
      </w:pPr>
      <w:r w:rsidRPr="00010F83">
        <w:rPr>
          <w:rFonts w:ascii="Arial" w:hAnsi="Arial" w:cs="Arial"/>
          <w:b/>
          <w:bCs/>
          <w:sz w:val="22"/>
          <w:szCs w:val="22"/>
        </w:rPr>
        <w:t xml:space="preserve">giao dịch này không phải là hợp nhất kinh doanh; và </w:t>
      </w:r>
    </w:p>
    <w:p w:rsidR="00F278D3" w:rsidRPr="00010F83" w:rsidRDefault="004B0FAC" w:rsidP="00FE7934">
      <w:pPr>
        <w:pStyle w:val="ListParagraph"/>
        <w:numPr>
          <w:ilvl w:val="0"/>
          <w:numId w:val="8"/>
        </w:numPr>
        <w:autoSpaceDE w:val="0"/>
        <w:autoSpaceDN w:val="0"/>
        <w:adjustRightInd w:val="0"/>
        <w:spacing w:after="120" w:line="280" w:lineRule="atLeast"/>
        <w:ind w:left="1440"/>
        <w:jc w:val="both"/>
        <w:rPr>
          <w:rFonts w:ascii="Arial" w:hAnsi="Arial" w:cs="Arial"/>
          <w:b/>
          <w:bCs/>
          <w:sz w:val="22"/>
          <w:szCs w:val="22"/>
        </w:rPr>
      </w:pPr>
      <w:proofErr w:type="gramStart"/>
      <w:r w:rsidRPr="00010F83">
        <w:rPr>
          <w:rFonts w:ascii="Arial" w:hAnsi="Arial" w:cs="Arial"/>
          <w:b/>
          <w:bCs/>
          <w:sz w:val="22"/>
          <w:szCs w:val="22"/>
        </w:rPr>
        <w:t>tại</w:t>
      </w:r>
      <w:proofErr w:type="gramEnd"/>
      <w:r w:rsidRPr="00010F83">
        <w:rPr>
          <w:rFonts w:ascii="Arial" w:hAnsi="Arial" w:cs="Arial"/>
          <w:b/>
          <w:bCs/>
          <w:sz w:val="22"/>
          <w:szCs w:val="22"/>
        </w:rPr>
        <w:t xml:space="preserve"> thời điểm phát sinh, giao dịch này không có ảnh hưởng đến lợi nhuận kế toán hoặc thu nhập chịu thuế (lỗ tính thuế).</w:t>
      </w:r>
    </w:p>
    <w:p w:rsidR="00F278D3" w:rsidRPr="00010F83" w:rsidRDefault="004B0FAC" w:rsidP="00FE7934">
      <w:pPr>
        <w:autoSpaceDE w:val="0"/>
        <w:autoSpaceDN w:val="0"/>
        <w:adjustRightInd w:val="0"/>
        <w:spacing w:after="120" w:line="280" w:lineRule="atLeast"/>
        <w:ind w:left="720"/>
        <w:jc w:val="both"/>
        <w:rPr>
          <w:rFonts w:ascii="Arial" w:hAnsi="Arial" w:cs="Arial"/>
          <w:b/>
          <w:bCs/>
        </w:rPr>
      </w:pPr>
      <w:r w:rsidRPr="00010F83">
        <w:rPr>
          <w:rFonts w:ascii="Arial" w:hAnsi="Arial" w:cs="Arial"/>
          <w:b/>
          <w:bCs/>
        </w:rPr>
        <w:t xml:space="preserve">Tuy nhiên, đối với chênh lệch tạm thời chịu thuế liên quan đến </w:t>
      </w:r>
      <w:r w:rsidR="00DC0A74" w:rsidRPr="00010F83">
        <w:rPr>
          <w:rFonts w:ascii="Arial" w:hAnsi="Arial" w:cs="Arial"/>
          <w:b/>
          <w:bCs/>
        </w:rPr>
        <w:t>khoản</w:t>
      </w:r>
      <w:r w:rsidRPr="00010F83">
        <w:rPr>
          <w:rFonts w:ascii="Arial" w:hAnsi="Arial" w:cs="Arial"/>
          <w:b/>
          <w:bCs/>
        </w:rPr>
        <w:t xml:space="preserve"> đầu tư vào các công ty con, chi nhánh và các công ty liên kết, và lợi ích trong các thỏa thuận </w:t>
      </w:r>
      <w:r w:rsidR="008028A9" w:rsidRPr="00010F83">
        <w:rPr>
          <w:rFonts w:ascii="Arial" w:hAnsi="Arial" w:cs="Arial"/>
          <w:b/>
          <w:bCs/>
        </w:rPr>
        <w:t>chung</w:t>
      </w:r>
      <w:r w:rsidRPr="00010F83">
        <w:rPr>
          <w:rFonts w:ascii="Arial" w:hAnsi="Arial" w:cs="Arial"/>
          <w:b/>
          <w:bCs/>
        </w:rPr>
        <w:t xml:space="preserve">, </w:t>
      </w:r>
      <w:r w:rsidR="00731917" w:rsidRPr="00010F83">
        <w:rPr>
          <w:rFonts w:ascii="Arial" w:hAnsi="Arial" w:cs="Arial"/>
          <w:b/>
          <w:bCs/>
        </w:rPr>
        <w:t xml:space="preserve">thuế </w:t>
      </w:r>
      <w:r w:rsidR="00B617EA" w:rsidRPr="00010F83">
        <w:rPr>
          <w:rFonts w:ascii="Arial" w:hAnsi="Arial" w:cs="Arial"/>
          <w:b/>
          <w:bCs/>
        </w:rPr>
        <w:t>thu nhập</w:t>
      </w:r>
      <w:r w:rsidR="008028A9" w:rsidRPr="00010F83">
        <w:rPr>
          <w:rFonts w:ascii="Arial" w:hAnsi="Arial" w:cs="Arial"/>
          <w:b/>
          <w:bCs/>
        </w:rPr>
        <w:t xml:space="preserve"> </w:t>
      </w:r>
      <w:r w:rsidRPr="00010F83">
        <w:rPr>
          <w:rFonts w:ascii="Arial" w:hAnsi="Arial" w:cs="Arial"/>
          <w:b/>
          <w:bCs/>
        </w:rPr>
        <w:t>hoãn lại phải trả sẽ được ghi nhận theo đoạn 39.</w:t>
      </w:r>
    </w:p>
    <w:p w:rsidR="00F278D3" w:rsidRPr="00010F83" w:rsidRDefault="00F278D3" w:rsidP="00FE7934">
      <w:pPr>
        <w:autoSpaceDE w:val="0"/>
        <w:autoSpaceDN w:val="0"/>
        <w:adjustRightInd w:val="0"/>
        <w:spacing w:after="120" w:line="280" w:lineRule="atLeast"/>
        <w:ind w:left="720" w:hanging="720"/>
        <w:jc w:val="both"/>
        <w:rPr>
          <w:rFonts w:ascii="Arial" w:hAnsi="Arial" w:cs="Arial"/>
          <w:bCs/>
        </w:rPr>
      </w:pPr>
      <w:r w:rsidRPr="00010F83">
        <w:rPr>
          <w:rFonts w:ascii="Arial" w:hAnsi="Arial" w:cs="Arial"/>
          <w:bCs/>
        </w:rPr>
        <w:t>16.</w:t>
      </w:r>
      <w:r w:rsidRPr="00010F83">
        <w:rPr>
          <w:rFonts w:ascii="Arial" w:hAnsi="Arial" w:cs="Arial"/>
          <w:bCs/>
        </w:rPr>
        <w:tab/>
      </w:r>
      <w:r w:rsidR="008028A9" w:rsidRPr="00010F83">
        <w:rPr>
          <w:rFonts w:ascii="Arial" w:hAnsi="Arial" w:cs="Arial"/>
          <w:bCs/>
        </w:rPr>
        <w:t>Cơ sở của việc ghi nhận một tài sản là</w:t>
      </w:r>
      <w:r w:rsidR="00B617EA" w:rsidRPr="00010F83">
        <w:rPr>
          <w:rFonts w:ascii="Arial" w:hAnsi="Arial" w:cs="Arial"/>
          <w:bCs/>
        </w:rPr>
        <w:t xml:space="preserve"> việc</w:t>
      </w:r>
      <w:r w:rsidR="008028A9" w:rsidRPr="00010F83">
        <w:rPr>
          <w:rFonts w:ascii="Arial" w:hAnsi="Arial" w:cs="Arial"/>
          <w:bCs/>
        </w:rPr>
        <w:t xml:space="preserve"> giá trị ghi sổ của tài sản đó sẽ được </w:t>
      </w:r>
      <w:proofErr w:type="gramStart"/>
      <w:r w:rsidR="008028A9" w:rsidRPr="00010F83">
        <w:rPr>
          <w:rFonts w:ascii="Arial" w:hAnsi="Arial" w:cs="Arial"/>
          <w:bCs/>
        </w:rPr>
        <w:t>thu</w:t>
      </w:r>
      <w:proofErr w:type="gramEnd"/>
      <w:r w:rsidR="008028A9" w:rsidRPr="00010F83">
        <w:rPr>
          <w:rFonts w:ascii="Arial" w:hAnsi="Arial" w:cs="Arial"/>
          <w:bCs/>
        </w:rPr>
        <w:t xml:space="preserve"> hồi thông qua </w:t>
      </w:r>
      <w:r w:rsidR="00B617EA" w:rsidRPr="00010F83">
        <w:rPr>
          <w:rFonts w:ascii="Arial" w:hAnsi="Arial" w:cs="Arial"/>
          <w:bCs/>
        </w:rPr>
        <w:t>hình thức</w:t>
      </w:r>
      <w:r w:rsidR="008028A9" w:rsidRPr="00010F83">
        <w:rPr>
          <w:rFonts w:ascii="Arial" w:hAnsi="Arial" w:cs="Arial"/>
          <w:bCs/>
        </w:rPr>
        <w:t xml:space="preserve"> đơn vị sẽ nhận được lợi ích kinh tế trong tương lai</w:t>
      </w:r>
      <w:r w:rsidR="0032763E" w:rsidRPr="00010F83">
        <w:rPr>
          <w:rFonts w:ascii="Arial" w:hAnsi="Arial" w:cs="Arial"/>
          <w:bCs/>
        </w:rPr>
        <w:t xml:space="preserve"> từ tài sản</w:t>
      </w:r>
      <w:r w:rsidR="008028A9" w:rsidRPr="00010F83">
        <w:rPr>
          <w:rFonts w:ascii="Arial" w:hAnsi="Arial" w:cs="Arial"/>
          <w:bCs/>
        </w:rPr>
        <w:t>. Khi giá trị ghi sổ của tài sản vượt quá cơ sở tính thuế</w:t>
      </w:r>
      <w:r w:rsidR="00B617EA" w:rsidRPr="00010F83">
        <w:rPr>
          <w:rFonts w:ascii="Arial" w:hAnsi="Arial" w:cs="Arial"/>
          <w:bCs/>
        </w:rPr>
        <w:t xml:space="preserve"> </w:t>
      </w:r>
      <w:proofErr w:type="gramStart"/>
      <w:r w:rsidR="00B617EA" w:rsidRPr="00010F83">
        <w:rPr>
          <w:rFonts w:ascii="Arial" w:hAnsi="Arial" w:cs="Arial"/>
          <w:bCs/>
        </w:rPr>
        <w:t>thu</w:t>
      </w:r>
      <w:proofErr w:type="gramEnd"/>
      <w:r w:rsidR="00B617EA" w:rsidRPr="00010F83">
        <w:rPr>
          <w:rFonts w:ascii="Arial" w:hAnsi="Arial" w:cs="Arial"/>
          <w:bCs/>
        </w:rPr>
        <w:t xml:space="preserve"> nhập</w:t>
      </w:r>
      <w:r w:rsidR="008028A9" w:rsidRPr="00010F83">
        <w:rPr>
          <w:rFonts w:ascii="Arial" w:hAnsi="Arial" w:cs="Arial"/>
          <w:bCs/>
        </w:rPr>
        <w:t xml:space="preserve"> của nó thì giá trị của lợi ích kinh tế phải chịu thuế </w:t>
      </w:r>
      <w:r w:rsidR="00B617EA" w:rsidRPr="00010F83">
        <w:rPr>
          <w:rFonts w:ascii="Arial" w:hAnsi="Arial" w:cs="Arial"/>
          <w:bCs/>
        </w:rPr>
        <w:t xml:space="preserve">thu nhập </w:t>
      </w:r>
      <w:r w:rsidR="008028A9" w:rsidRPr="00010F83">
        <w:rPr>
          <w:rFonts w:ascii="Arial" w:hAnsi="Arial" w:cs="Arial"/>
          <w:bCs/>
        </w:rPr>
        <w:t xml:space="preserve">sẽ vượt quá giá trị được khấu trừ cho mục đích tính thuế. Đây là chênh lệch tạm thời </w:t>
      </w:r>
      <w:r w:rsidR="00B617EA" w:rsidRPr="00010F83">
        <w:rPr>
          <w:rFonts w:ascii="Arial" w:hAnsi="Arial" w:cs="Arial"/>
          <w:bCs/>
        </w:rPr>
        <w:t xml:space="preserve">phải </w:t>
      </w:r>
      <w:r w:rsidR="008028A9" w:rsidRPr="00010F83">
        <w:rPr>
          <w:rFonts w:ascii="Arial" w:hAnsi="Arial" w:cs="Arial"/>
          <w:bCs/>
        </w:rPr>
        <w:t xml:space="preserve">chịu thuế và nghĩa vụ phải trả khoản thuế </w:t>
      </w:r>
      <w:proofErr w:type="gramStart"/>
      <w:r w:rsidR="008028A9" w:rsidRPr="00010F83">
        <w:rPr>
          <w:rFonts w:ascii="Arial" w:hAnsi="Arial" w:cs="Arial"/>
          <w:bCs/>
        </w:rPr>
        <w:t>thu</w:t>
      </w:r>
      <w:proofErr w:type="gramEnd"/>
      <w:r w:rsidR="008028A9" w:rsidRPr="00010F83">
        <w:rPr>
          <w:rFonts w:ascii="Arial" w:hAnsi="Arial" w:cs="Arial"/>
          <w:bCs/>
        </w:rPr>
        <w:t xml:space="preserve"> nhập </w:t>
      </w:r>
      <w:r w:rsidR="00B617EA" w:rsidRPr="00010F83">
        <w:rPr>
          <w:rFonts w:ascii="Arial" w:hAnsi="Arial" w:cs="Arial"/>
          <w:bCs/>
        </w:rPr>
        <w:t xml:space="preserve">do chênh lệch này </w:t>
      </w:r>
      <w:r w:rsidR="008028A9" w:rsidRPr="00010F83">
        <w:rPr>
          <w:rFonts w:ascii="Arial" w:hAnsi="Arial" w:cs="Arial"/>
          <w:bCs/>
        </w:rPr>
        <w:t xml:space="preserve">tạo ra trong tương lai chính là </w:t>
      </w:r>
      <w:r w:rsidR="00731917" w:rsidRPr="00010F83">
        <w:rPr>
          <w:rFonts w:ascii="Arial" w:hAnsi="Arial" w:cs="Arial"/>
          <w:bCs/>
        </w:rPr>
        <w:t xml:space="preserve">thuế </w:t>
      </w:r>
      <w:r w:rsidR="00B617EA" w:rsidRPr="00010F83">
        <w:rPr>
          <w:rFonts w:ascii="Arial" w:hAnsi="Arial" w:cs="Arial"/>
          <w:bCs/>
        </w:rPr>
        <w:t xml:space="preserve">thu nhập </w:t>
      </w:r>
      <w:r w:rsidR="008028A9" w:rsidRPr="00010F83">
        <w:rPr>
          <w:rFonts w:ascii="Arial" w:hAnsi="Arial" w:cs="Arial"/>
          <w:bCs/>
        </w:rPr>
        <w:t xml:space="preserve">hoãn lại phải trả. </w:t>
      </w:r>
      <w:r w:rsidR="008028A9" w:rsidRPr="00010F83">
        <w:rPr>
          <w:rFonts w:ascii="Arial" w:hAnsi="Arial" w:cs="Arial"/>
          <w:bCs/>
        </w:rPr>
        <w:lastRenderedPageBreak/>
        <w:t xml:space="preserve">Khi đơn vị thu hồi giá trị ghi sổ của tài sản đó thì khoản chênh lệch tạm thời chịu thuế sẽ hoàn nhập và đơn vị sẽ có thu nhập chịu </w:t>
      </w:r>
      <w:proofErr w:type="gramStart"/>
      <w:r w:rsidR="008028A9" w:rsidRPr="00010F83">
        <w:rPr>
          <w:rFonts w:ascii="Arial" w:hAnsi="Arial" w:cs="Arial"/>
          <w:bCs/>
        </w:rPr>
        <w:t>thuế</w:t>
      </w:r>
      <w:r w:rsidR="00B617EA" w:rsidRPr="00010F83">
        <w:rPr>
          <w:rFonts w:ascii="Arial" w:hAnsi="Arial" w:cs="Arial"/>
          <w:bCs/>
        </w:rPr>
        <w:t xml:space="preserve">  thu</w:t>
      </w:r>
      <w:proofErr w:type="gramEnd"/>
      <w:r w:rsidR="00B617EA" w:rsidRPr="00010F83">
        <w:rPr>
          <w:rFonts w:ascii="Arial" w:hAnsi="Arial" w:cs="Arial"/>
          <w:bCs/>
        </w:rPr>
        <w:t xml:space="preserve"> nhập doanh nghiệp</w:t>
      </w:r>
      <w:r w:rsidR="008028A9" w:rsidRPr="00010F83">
        <w:rPr>
          <w:rFonts w:ascii="Arial" w:hAnsi="Arial" w:cs="Arial"/>
          <w:bCs/>
        </w:rPr>
        <w:t xml:space="preserve">. Điều này khiến cho lợi ích kinh tế </w:t>
      </w:r>
      <w:r w:rsidR="00B617EA" w:rsidRPr="00010F83">
        <w:rPr>
          <w:rFonts w:ascii="Arial" w:hAnsi="Arial" w:cs="Arial"/>
          <w:bCs/>
        </w:rPr>
        <w:t>mà</w:t>
      </w:r>
      <w:r w:rsidR="008028A9" w:rsidRPr="00010F83">
        <w:rPr>
          <w:rFonts w:ascii="Arial" w:hAnsi="Arial" w:cs="Arial"/>
          <w:bCs/>
        </w:rPr>
        <w:t xml:space="preserve"> đơn vị </w:t>
      </w:r>
      <w:r w:rsidR="00B617EA" w:rsidRPr="00010F83">
        <w:rPr>
          <w:rFonts w:ascii="Arial" w:hAnsi="Arial" w:cs="Arial"/>
          <w:bCs/>
        </w:rPr>
        <w:t xml:space="preserve">nhận được sẽ </w:t>
      </w:r>
      <w:r w:rsidR="008028A9" w:rsidRPr="00010F83">
        <w:rPr>
          <w:rFonts w:ascii="Arial" w:hAnsi="Arial" w:cs="Arial"/>
          <w:bCs/>
        </w:rPr>
        <w:t xml:space="preserve">bị giảm </w:t>
      </w:r>
      <w:r w:rsidR="00B617EA" w:rsidRPr="00010F83">
        <w:rPr>
          <w:rFonts w:ascii="Arial" w:hAnsi="Arial" w:cs="Arial"/>
          <w:bCs/>
        </w:rPr>
        <w:t>đi do phải nộp</w:t>
      </w:r>
      <w:r w:rsidR="00B617EA" w:rsidRPr="00010F83" w:rsidDel="00B617EA">
        <w:rPr>
          <w:rFonts w:ascii="Arial" w:hAnsi="Arial" w:cs="Arial"/>
          <w:bCs/>
        </w:rPr>
        <w:t xml:space="preserve"> </w:t>
      </w:r>
      <w:r w:rsidR="008028A9" w:rsidRPr="00010F83">
        <w:rPr>
          <w:rFonts w:ascii="Arial" w:hAnsi="Arial" w:cs="Arial"/>
          <w:bCs/>
        </w:rPr>
        <w:t>thuế</w:t>
      </w:r>
      <w:r w:rsidR="00B617EA" w:rsidRPr="00010F83">
        <w:rPr>
          <w:rFonts w:ascii="Arial" w:hAnsi="Arial" w:cs="Arial"/>
          <w:bCs/>
        </w:rPr>
        <w:t xml:space="preserve"> </w:t>
      </w:r>
      <w:proofErr w:type="gramStart"/>
      <w:r w:rsidR="00B617EA" w:rsidRPr="00010F83">
        <w:rPr>
          <w:rFonts w:ascii="Arial" w:hAnsi="Arial" w:cs="Arial"/>
          <w:bCs/>
        </w:rPr>
        <w:t>thu</w:t>
      </w:r>
      <w:proofErr w:type="gramEnd"/>
      <w:r w:rsidR="00B617EA" w:rsidRPr="00010F83">
        <w:rPr>
          <w:rFonts w:ascii="Arial" w:hAnsi="Arial" w:cs="Arial"/>
          <w:bCs/>
        </w:rPr>
        <w:t xml:space="preserve"> nhập</w:t>
      </w:r>
      <w:r w:rsidR="008028A9" w:rsidRPr="00010F83">
        <w:rPr>
          <w:rFonts w:ascii="Arial" w:hAnsi="Arial" w:cs="Arial"/>
          <w:bCs/>
        </w:rPr>
        <w:t xml:space="preserve">. Do đó, chuẩn mực này yêu cầu phải ghi nhận tất cả các khoản </w:t>
      </w:r>
      <w:r w:rsidR="00731917" w:rsidRPr="00010F83">
        <w:rPr>
          <w:rFonts w:ascii="Arial" w:hAnsi="Arial" w:cs="Arial"/>
          <w:bCs/>
        </w:rPr>
        <w:t xml:space="preserve">thuế </w:t>
      </w:r>
      <w:proofErr w:type="gramStart"/>
      <w:r w:rsidR="00B617EA" w:rsidRPr="00010F83">
        <w:rPr>
          <w:rFonts w:ascii="Arial" w:hAnsi="Arial" w:cs="Arial"/>
          <w:bCs/>
        </w:rPr>
        <w:t>thu</w:t>
      </w:r>
      <w:proofErr w:type="gramEnd"/>
      <w:r w:rsidR="00B617EA" w:rsidRPr="00010F83">
        <w:rPr>
          <w:rFonts w:ascii="Arial" w:hAnsi="Arial" w:cs="Arial"/>
          <w:bCs/>
        </w:rPr>
        <w:t xml:space="preserve"> nhập </w:t>
      </w:r>
      <w:r w:rsidR="008028A9" w:rsidRPr="00010F83">
        <w:rPr>
          <w:rFonts w:ascii="Arial" w:hAnsi="Arial" w:cs="Arial"/>
          <w:bCs/>
        </w:rPr>
        <w:t>hoãn lại phải trả, trừ những trường hợp cụ thể được trình bày trong đoạn 15 và 39.</w:t>
      </w:r>
    </w:p>
    <w:p w:rsidR="00FE7934" w:rsidRPr="00010F83" w:rsidRDefault="00FE7934">
      <w:pPr>
        <w:rPr>
          <w:rFonts w:ascii="Arial" w:hAnsi="Arial" w:cs="Arial"/>
          <w:bCs/>
        </w:rPr>
      </w:pPr>
      <w:r w:rsidRPr="00010F83">
        <w:rPr>
          <w:rFonts w:ascii="Arial" w:hAnsi="Arial" w:cs="Arial"/>
          <w:bCs/>
        </w:rPr>
        <w:br w:type="page"/>
      </w:r>
    </w:p>
    <w:tbl>
      <w:tblPr>
        <w:tblStyle w:val="TableGrid"/>
        <w:tblW w:w="0" w:type="auto"/>
        <w:tblInd w:w="720" w:type="dxa"/>
        <w:tblLook w:val="04A0"/>
      </w:tblPr>
      <w:tblGrid>
        <w:gridCol w:w="8630"/>
      </w:tblGrid>
      <w:tr w:rsidR="00F278D3" w:rsidRPr="00010F83" w:rsidTr="00FE7934">
        <w:tc>
          <w:tcPr>
            <w:tcW w:w="8630" w:type="dxa"/>
          </w:tcPr>
          <w:p w:rsidR="00F278D3" w:rsidRPr="00010F83" w:rsidRDefault="00201D3A" w:rsidP="00590853">
            <w:pPr>
              <w:pStyle w:val="ListParagraph"/>
              <w:spacing w:after="120"/>
              <w:ind w:left="0"/>
              <w:jc w:val="both"/>
              <w:rPr>
                <w:rFonts w:ascii="Arial" w:hAnsi="Arial" w:cs="Arial"/>
                <w:b/>
                <w:sz w:val="22"/>
                <w:szCs w:val="22"/>
              </w:rPr>
            </w:pPr>
            <w:r w:rsidRPr="00010F83">
              <w:rPr>
                <w:rFonts w:ascii="Arial" w:hAnsi="Arial" w:cs="Arial"/>
                <w:b/>
                <w:sz w:val="22"/>
                <w:szCs w:val="22"/>
              </w:rPr>
              <w:lastRenderedPageBreak/>
              <w:t>Ví dụ</w:t>
            </w:r>
          </w:p>
        </w:tc>
      </w:tr>
      <w:tr w:rsidR="00F278D3" w:rsidRPr="00010F83" w:rsidTr="00FE7934">
        <w:tc>
          <w:tcPr>
            <w:tcW w:w="8630" w:type="dxa"/>
          </w:tcPr>
          <w:p w:rsidR="00F278D3" w:rsidRPr="00010F83" w:rsidRDefault="00B617EA" w:rsidP="00590853">
            <w:pPr>
              <w:pStyle w:val="ListParagraph"/>
              <w:spacing w:after="120"/>
              <w:ind w:left="0"/>
              <w:jc w:val="both"/>
              <w:rPr>
                <w:rFonts w:ascii="Arial" w:hAnsi="Arial" w:cs="Arial"/>
                <w:sz w:val="22"/>
                <w:szCs w:val="22"/>
              </w:rPr>
            </w:pPr>
            <w:r w:rsidRPr="00010F83">
              <w:rPr>
                <w:rFonts w:ascii="Arial" w:hAnsi="Arial" w:cs="Arial"/>
                <w:sz w:val="22"/>
                <w:szCs w:val="22"/>
              </w:rPr>
              <w:t>Một t</w:t>
            </w:r>
            <w:r w:rsidR="00F278D3" w:rsidRPr="00010F83">
              <w:rPr>
                <w:rFonts w:ascii="Arial" w:hAnsi="Arial" w:cs="Arial"/>
                <w:sz w:val="22"/>
                <w:szCs w:val="22"/>
              </w:rPr>
              <w:t xml:space="preserve">ài sản có </w:t>
            </w:r>
            <w:r w:rsidR="0032763E" w:rsidRPr="00010F83">
              <w:rPr>
                <w:rFonts w:ascii="Arial" w:hAnsi="Arial" w:cs="Arial"/>
                <w:sz w:val="22"/>
                <w:szCs w:val="22"/>
              </w:rPr>
              <w:t>nguyên giá</w:t>
            </w:r>
            <w:r w:rsidR="00F278D3" w:rsidRPr="00010F83">
              <w:rPr>
                <w:rFonts w:ascii="Arial" w:hAnsi="Arial" w:cs="Arial"/>
                <w:sz w:val="22"/>
                <w:szCs w:val="22"/>
              </w:rPr>
              <w:t xml:space="preserve"> 150 </w:t>
            </w:r>
            <w:r w:rsidR="0032763E" w:rsidRPr="00010F83">
              <w:rPr>
                <w:rFonts w:ascii="Arial" w:hAnsi="Arial" w:cs="Arial"/>
                <w:sz w:val="22"/>
                <w:szCs w:val="22"/>
              </w:rPr>
              <w:t>và</w:t>
            </w:r>
            <w:r w:rsidR="00F278D3" w:rsidRPr="00010F83">
              <w:rPr>
                <w:rFonts w:ascii="Arial" w:hAnsi="Arial" w:cs="Arial"/>
                <w:sz w:val="22"/>
                <w:szCs w:val="22"/>
              </w:rPr>
              <w:t xml:space="preserve"> giá trị ghi sổ </w:t>
            </w:r>
            <w:r w:rsidRPr="00010F83">
              <w:rPr>
                <w:rFonts w:ascii="Arial" w:hAnsi="Arial" w:cs="Arial"/>
                <w:sz w:val="22"/>
                <w:szCs w:val="22"/>
              </w:rPr>
              <w:t xml:space="preserve">còn lại </w:t>
            </w:r>
            <w:r w:rsidR="00F278D3" w:rsidRPr="00010F83">
              <w:rPr>
                <w:rFonts w:ascii="Arial" w:hAnsi="Arial" w:cs="Arial"/>
                <w:sz w:val="22"/>
                <w:szCs w:val="22"/>
              </w:rPr>
              <w:t xml:space="preserve">là 100. Khấu hao lũy kế cho mục đích thuế </w:t>
            </w:r>
            <w:r w:rsidRPr="00010F83">
              <w:rPr>
                <w:rFonts w:ascii="Arial" w:hAnsi="Arial" w:cs="Arial"/>
                <w:sz w:val="22"/>
                <w:szCs w:val="22"/>
              </w:rPr>
              <w:t xml:space="preserve">thu nhập </w:t>
            </w:r>
            <w:r w:rsidR="00F278D3" w:rsidRPr="00010F83">
              <w:rPr>
                <w:rFonts w:ascii="Arial" w:hAnsi="Arial" w:cs="Arial"/>
                <w:sz w:val="22"/>
                <w:szCs w:val="22"/>
              </w:rPr>
              <w:t>là 90 và thuế suất là 25%</w:t>
            </w:r>
            <w:r w:rsidR="0032763E" w:rsidRPr="00010F83">
              <w:rPr>
                <w:rFonts w:ascii="Arial" w:hAnsi="Arial" w:cs="Arial"/>
                <w:sz w:val="22"/>
                <w:szCs w:val="22"/>
              </w:rPr>
              <w:t>.</w:t>
            </w:r>
          </w:p>
          <w:p w:rsidR="00F278D3" w:rsidRPr="00010F83" w:rsidRDefault="00F278D3" w:rsidP="00D44853">
            <w:pPr>
              <w:pStyle w:val="ListParagraph"/>
              <w:spacing w:after="120"/>
              <w:ind w:left="0"/>
              <w:jc w:val="both"/>
              <w:rPr>
                <w:rFonts w:ascii="Arial" w:hAnsi="Arial" w:cs="Arial"/>
                <w:i/>
                <w:sz w:val="22"/>
                <w:szCs w:val="22"/>
              </w:rPr>
            </w:pPr>
            <w:r w:rsidRPr="00010F83">
              <w:rPr>
                <w:rFonts w:ascii="Arial" w:hAnsi="Arial" w:cs="Arial"/>
                <w:i/>
                <w:sz w:val="22"/>
                <w:szCs w:val="22"/>
              </w:rPr>
              <w:t>Cơ sở tính thuế</w:t>
            </w:r>
            <w:r w:rsidR="00B617EA" w:rsidRPr="00010F83">
              <w:rPr>
                <w:rFonts w:ascii="Arial" w:hAnsi="Arial" w:cs="Arial"/>
                <w:i/>
                <w:sz w:val="22"/>
                <w:szCs w:val="22"/>
              </w:rPr>
              <w:t xml:space="preserve"> </w:t>
            </w:r>
            <w:r w:rsidR="00B617EA" w:rsidRPr="00010F83">
              <w:rPr>
                <w:rFonts w:ascii="Arial" w:hAnsi="Arial" w:cs="Arial"/>
                <w:sz w:val="22"/>
                <w:szCs w:val="22"/>
              </w:rPr>
              <w:t>thu nhập</w:t>
            </w:r>
            <w:r w:rsidRPr="00010F83">
              <w:rPr>
                <w:rFonts w:ascii="Arial" w:hAnsi="Arial" w:cs="Arial"/>
                <w:i/>
                <w:sz w:val="22"/>
                <w:szCs w:val="22"/>
              </w:rPr>
              <w:t xml:space="preserve"> của tài sản là 60 (</w:t>
            </w:r>
            <w:r w:rsidR="00201D3A" w:rsidRPr="00010F83">
              <w:rPr>
                <w:rFonts w:ascii="Arial" w:hAnsi="Arial" w:cs="Arial"/>
                <w:i/>
                <w:sz w:val="22"/>
                <w:szCs w:val="22"/>
              </w:rPr>
              <w:t xml:space="preserve">nguyên </w:t>
            </w:r>
            <w:r w:rsidR="0032763E" w:rsidRPr="00010F83">
              <w:rPr>
                <w:rFonts w:ascii="Arial" w:hAnsi="Arial" w:cs="Arial"/>
                <w:i/>
                <w:sz w:val="22"/>
                <w:szCs w:val="22"/>
              </w:rPr>
              <w:t>giá</w:t>
            </w:r>
            <w:r w:rsidRPr="00010F83">
              <w:rPr>
                <w:rFonts w:ascii="Arial" w:hAnsi="Arial" w:cs="Arial"/>
                <w:i/>
                <w:sz w:val="22"/>
                <w:szCs w:val="22"/>
              </w:rPr>
              <w:t xml:space="preserve"> tài sản 150 trừ</w:t>
            </w:r>
            <w:r w:rsidR="00D44853" w:rsidRPr="00010F83">
              <w:rPr>
                <w:rFonts w:ascii="Arial" w:hAnsi="Arial" w:cs="Arial"/>
                <w:i/>
                <w:sz w:val="22"/>
                <w:szCs w:val="22"/>
              </w:rPr>
              <w:t xml:space="preserve"> </w:t>
            </w:r>
            <w:r w:rsidRPr="00010F83">
              <w:rPr>
                <w:rFonts w:ascii="Arial" w:hAnsi="Arial" w:cs="Arial"/>
                <w:i/>
                <w:sz w:val="22"/>
                <w:szCs w:val="22"/>
              </w:rPr>
              <w:t xml:space="preserve">khấu hao lũy kế </w:t>
            </w:r>
            <w:r w:rsidR="008028A9" w:rsidRPr="00010F83">
              <w:rPr>
                <w:rFonts w:ascii="Arial" w:hAnsi="Arial" w:cs="Arial"/>
                <w:i/>
                <w:sz w:val="22"/>
                <w:szCs w:val="22"/>
              </w:rPr>
              <w:t xml:space="preserve">cho mục đích </w:t>
            </w:r>
            <w:r w:rsidR="00D44853" w:rsidRPr="00010F83">
              <w:rPr>
                <w:rFonts w:ascii="Arial" w:hAnsi="Arial" w:cs="Arial"/>
                <w:i/>
                <w:sz w:val="22"/>
                <w:szCs w:val="22"/>
              </w:rPr>
              <w:t xml:space="preserve">tính </w:t>
            </w:r>
            <w:r w:rsidR="008028A9" w:rsidRPr="00010F83">
              <w:rPr>
                <w:rFonts w:ascii="Arial" w:hAnsi="Arial" w:cs="Arial"/>
                <w:i/>
                <w:sz w:val="22"/>
                <w:szCs w:val="22"/>
              </w:rPr>
              <w:t xml:space="preserve">thuế </w:t>
            </w:r>
            <w:r w:rsidRPr="00010F83">
              <w:rPr>
                <w:rFonts w:ascii="Arial" w:hAnsi="Arial" w:cs="Arial"/>
                <w:i/>
                <w:sz w:val="22"/>
                <w:szCs w:val="22"/>
              </w:rPr>
              <w:t>90). Để thu hồi được giá trị ghi sổ 100</w:t>
            </w:r>
            <w:r w:rsidR="00D44853" w:rsidRPr="00010F83">
              <w:rPr>
                <w:rFonts w:ascii="Arial" w:hAnsi="Arial" w:cs="Arial"/>
                <w:i/>
                <w:sz w:val="22"/>
                <w:szCs w:val="22"/>
              </w:rPr>
              <w:t xml:space="preserve"> này</w:t>
            </w:r>
            <w:r w:rsidRPr="00010F83">
              <w:rPr>
                <w:rFonts w:ascii="Arial" w:hAnsi="Arial" w:cs="Arial"/>
                <w:i/>
                <w:sz w:val="22"/>
                <w:szCs w:val="22"/>
              </w:rPr>
              <w:t xml:space="preserve">, </w:t>
            </w:r>
            <w:r w:rsidR="00D44853" w:rsidRPr="00010F83">
              <w:rPr>
                <w:rFonts w:ascii="Arial" w:hAnsi="Arial" w:cs="Arial"/>
                <w:i/>
                <w:sz w:val="22"/>
                <w:szCs w:val="22"/>
              </w:rPr>
              <w:t>đơn vị</w:t>
            </w:r>
            <w:r w:rsidRPr="00010F83">
              <w:rPr>
                <w:rFonts w:ascii="Arial" w:hAnsi="Arial" w:cs="Arial"/>
                <w:i/>
                <w:sz w:val="22"/>
                <w:szCs w:val="22"/>
              </w:rPr>
              <w:t xml:space="preserve"> phải </w:t>
            </w:r>
            <w:r w:rsidR="00D44853" w:rsidRPr="00010F83">
              <w:rPr>
                <w:rFonts w:ascii="Arial" w:hAnsi="Arial" w:cs="Arial"/>
                <w:i/>
                <w:sz w:val="22"/>
                <w:szCs w:val="22"/>
              </w:rPr>
              <w:t>có</w:t>
            </w:r>
            <w:r w:rsidRPr="00010F83">
              <w:rPr>
                <w:rFonts w:ascii="Arial" w:hAnsi="Arial" w:cs="Arial"/>
                <w:i/>
                <w:sz w:val="22"/>
                <w:szCs w:val="22"/>
              </w:rPr>
              <w:t xml:space="preserve"> thu nhập chịu thuế là 100, nhưng chỉ có thể khấu trừ </w:t>
            </w:r>
            <w:r w:rsidR="00D44853" w:rsidRPr="00010F83">
              <w:rPr>
                <w:rFonts w:ascii="Arial" w:hAnsi="Arial" w:cs="Arial"/>
                <w:i/>
                <w:sz w:val="22"/>
                <w:szCs w:val="22"/>
              </w:rPr>
              <w:t xml:space="preserve">chi phí </w:t>
            </w:r>
            <w:r w:rsidRPr="00010F83">
              <w:rPr>
                <w:rFonts w:ascii="Arial" w:hAnsi="Arial" w:cs="Arial"/>
                <w:i/>
                <w:sz w:val="22"/>
                <w:szCs w:val="22"/>
              </w:rPr>
              <w:t xml:space="preserve">khấu hao </w:t>
            </w:r>
            <w:r w:rsidR="00D44853" w:rsidRPr="00010F83">
              <w:rPr>
                <w:rFonts w:ascii="Arial" w:hAnsi="Arial" w:cs="Arial"/>
                <w:i/>
                <w:sz w:val="22"/>
                <w:szCs w:val="22"/>
              </w:rPr>
              <w:t xml:space="preserve">cho mục đích tính </w:t>
            </w:r>
            <w:r w:rsidRPr="00010F83">
              <w:rPr>
                <w:rFonts w:ascii="Arial" w:hAnsi="Arial" w:cs="Arial"/>
                <w:i/>
                <w:sz w:val="22"/>
                <w:szCs w:val="22"/>
              </w:rPr>
              <w:t xml:space="preserve">thuế là 60. </w:t>
            </w:r>
            <w:r w:rsidR="008028A9" w:rsidRPr="00010F83">
              <w:rPr>
                <w:rFonts w:ascii="Arial" w:hAnsi="Arial" w:cs="Arial"/>
                <w:i/>
                <w:sz w:val="22"/>
                <w:szCs w:val="22"/>
              </w:rPr>
              <w:t>Kết quả</w:t>
            </w:r>
            <w:r w:rsidRPr="00010F83">
              <w:rPr>
                <w:rFonts w:ascii="Arial" w:hAnsi="Arial" w:cs="Arial"/>
                <w:i/>
                <w:sz w:val="22"/>
                <w:szCs w:val="22"/>
              </w:rPr>
              <w:t xml:space="preserve">, đơn vị đó sẽ phải nộp </w:t>
            </w:r>
            <w:r w:rsidR="00731917" w:rsidRPr="00010F83">
              <w:rPr>
                <w:rFonts w:ascii="Arial" w:hAnsi="Arial" w:cs="Arial"/>
                <w:i/>
                <w:sz w:val="22"/>
                <w:szCs w:val="22"/>
              </w:rPr>
              <w:t>thuế TNDN</w:t>
            </w:r>
            <w:r w:rsidR="008028A9" w:rsidRPr="00010F83">
              <w:rPr>
                <w:rFonts w:ascii="Arial" w:hAnsi="Arial" w:cs="Arial"/>
                <w:i/>
                <w:sz w:val="22"/>
                <w:szCs w:val="22"/>
              </w:rPr>
              <w:t xml:space="preserve"> </w:t>
            </w:r>
            <w:r w:rsidRPr="00010F83">
              <w:rPr>
                <w:rFonts w:ascii="Arial" w:hAnsi="Arial" w:cs="Arial"/>
                <w:i/>
                <w:sz w:val="22"/>
                <w:szCs w:val="22"/>
              </w:rPr>
              <w:t>là 10</w:t>
            </w:r>
            <w:r w:rsidR="0032763E" w:rsidRPr="00010F83">
              <w:rPr>
                <w:rFonts w:ascii="Arial" w:hAnsi="Arial" w:cs="Arial"/>
                <w:i/>
                <w:sz w:val="22"/>
                <w:szCs w:val="22"/>
              </w:rPr>
              <w:t xml:space="preserve"> (40 nhân thuế suất 25%) khi thu hồi</w:t>
            </w:r>
            <w:r w:rsidRPr="00010F83">
              <w:rPr>
                <w:rFonts w:ascii="Arial" w:hAnsi="Arial" w:cs="Arial"/>
                <w:i/>
                <w:sz w:val="22"/>
                <w:szCs w:val="22"/>
              </w:rPr>
              <w:t xml:space="preserve"> giá trị ghi sổ của tài sản. </w:t>
            </w:r>
            <w:r w:rsidR="0032763E" w:rsidRPr="00010F83">
              <w:rPr>
                <w:rFonts w:ascii="Arial" w:hAnsi="Arial" w:cs="Arial"/>
                <w:i/>
                <w:sz w:val="22"/>
                <w:szCs w:val="22"/>
              </w:rPr>
              <w:t>C</w:t>
            </w:r>
            <w:r w:rsidRPr="00010F83">
              <w:rPr>
                <w:rFonts w:ascii="Arial" w:hAnsi="Arial" w:cs="Arial"/>
                <w:i/>
                <w:sz w:val="22"/>
                <w:szCs w:val="22"/>
              </w:rPr>
              <w:t>hênh lệch giữa giá trị ghi sổ</w:t>
            </w:r>
            <w:r w:rsidR="0032763E" w:rsidRPr="00010F83">
              <w:rPr>
                <w:rFonts w:ascii="Arial" w:hAnsi="Arial" w:cs="Arial"/>
                <w:i/>
                <w:sz w:val="22"/>
                <w:szCs w:val="22"/>
              </w:rPr>
              <w:t xml:space="preserve"> </w:t>
            </w:r>
            <w:r w:rsidRPr="00010F83">
              <w:rPr>
                <w:rFonts w:ascii="Arial" w:hAnsi="Arial" w:cs="Arial"/>
                <w:i/>
                <w:sz w:val="22"/>
                <w:szCs w:val="22"/>
              </w:rPr>
              <w:t xml:space="preserve">100 và cơ sở tính thuế 60 </w:t>
            </w:r>
            <w:r w:rsidR="0032763E" w:rsidRPr="00010F83">
              <w:rPr>
                <w:rFonts w:ascii="Arial" w:hAnsi="Arial" w:cs="Arial"/>
                <w:i/>
                <w:sz w:val="22"/>
                <w:szCs w:val="22"/>
              </w:rPr>
              <w:t xml:space="preserve">chính </w:t>
            </w:r>
            <w:r w:rsidRPr="00010F83">
              <w:rPr>
                <w:rFonts w:ascii="Arial" w:hAnsi="Arial" w:cs="Arial"/>
                <w:i/>
                <w:sz w:val="22"/>
                <w:szCs w:val="22"/>
              </w:rPr>
              <w:t xml:space="preserve">là chênh lệch tạm thời </w:t>
            </w:r>
            <w:r w:rsidR="00D44853" w:rsidRPr="00010F83">
              <w:rPr>
                <w:rFonts w:ascii="Arial" w:hAnsi="Arial" w:cs="Arial"/>
                <w:i/>
                <w:sz w:val="22"/>
                <w:szCs w:val="22"/>
              </w:rPr>
              <w:t xml:space="preserve">phải </w:t>
            </w:r>
            <w:r w:rsidRPr="00010F83">
              <w:rPr>
                <w:rFonts w:ascii="Arial" w:hAnsi="Arial" w:cs="Arial"/>
                <w:i/>
                <w:sz w:val="22"/>
                <w:szCs w:val="22"/>
              </w:rPr>
              <w:t xml:space="preserve">chịu thuế 40. Do đó, đơn vị ghi nhận khoản </w:t>
            </w:r>
            <w:r w:rsidR="00731917" w:rsidRPr="00010F83">
              <w:rPr>
                <w:rFonts w:ascii="Arial" w:hAnsi="Arial" w:cs="Arial"/>
                <w:i/>
                <w:sz w:val="22"/>
                <w:szCs w:val="22"/>
              </w:rPr>
              <w:t>thuế</w:t>
            </w:r>
            <w:r w:rsidR="00D44853" w:rsidRPr="00010F83">
              <w:rPr>
                <w:rFonts w:ascii="Arial" w:hAnsi="Arial" w:cs="Arial"/>
                <w:i/>
                <w:sz w:val="22"/>
                <w:szCs w:val="22"/>
              </w:rPr>
              <w:t xml:space="preserve"> thu nhập</w:t>
            </w:r>
            <w:r w:rsidRPr="00010F83">
              <w:rPr>
                <w:rFonts w:ascii="Arial" w:hAnsi="Arial" w:cs="Arial"/>
                <w:i/>
                <w:sz w:val="22"/>
                <w:szCs w:val="22"/>
              </w:rPr>
              <w:t xml:space="preserve"> hoãn lại phải trả là 10 (40 </w:t>
            </w:r>
            <w:r w:rsidR="0032763E" w:rsidRPr="00010F83">
              <w:rPr>
                <w:rFonts w:ascii="Arial" w:hAnsi="Arial" w:cs="Arial"/>
                <w:i/>
                <w:sz w:val="22"/>
                <w:szCs w:val="22"/>
              </w:rPr>
              <w:t>nhân thuế suất</w:t>
            </w:r>
            <w:r w:rsidRPr="00010F83">
              <w:rPr>
                <w:rFonts w:ascii="Arial" w:hAnsi="Arial" w:cs="Arial"/>
                <w:i/>
                <w:sz w:val="22"/>
                <w:szCs w:val="22"/>
              </w:rPr>
              <w:t xml:space="preserve"> 25%)</w:t>
            </w:r>
            <w:r w:rsidR="0032763E" w:rsidRPr="00010F83">
              <w:rPr>
                <w:rFonts w:ascii="Arial" w:hAnsi="Arial" w:cs="Arial"/>
                <w:i/>
                <w:sz w:val="22"/>
                <w:szCs w:val="22"/>
              </w:rPr>
              <w:t xml:space="preserve">, </w:t>
            </w:r>
            <w:r w:rsidR="00D44853" w:rsidRPr="00010F83">
              <w:rPr>
                <w:rFonts w:ascii="Arial" w:hAnsi="Arial" w:cs="Arial"/>
                <w:i/>
                <w:sz w:val="22"/>
                <w:szCs w:val="22"/>
              </w:rPr>
              <w:t>thể hiện</w:t>
            </w:r>
            <w:r w:rsidR="0032763E" w:rsidRPr="00010F83">
              <w:rPr>
                <w:rFonts w:ascii="Arial" w:hAnsi="Arial" w:cs="Arial"/>
                <w:i/>
                <w:sz w:val="22"/>
                <w:szCs w:val="22"/>
              </w:rPr>
              <w:t xml:space="preserve"> số</w:t>
            </w:r>
            <w:r w:rsidRPr="00010F83">
              <w:rPr>
                <w:rFonts w:ascii="Arial" w:hAnsi="Arial" w:cs="Arial"/>
                <w:i/>
                <w:sz w:val="22"/>
                <w:szCs w:val="22"/>
              </w:rPr>
              <w:t xml:space="preserve"> </w:t>
            </w:r>
            <w:r w:rsidR="00731917" w:rsidRPr="00010F83">
              <w:rPr>
                <w:rFonts w:ascii="Arial" w:hAnsi="Arial" w:cs="Arial"/>
                <w:i/>
                <w:sz w:val="22"/>
                <w:szCs w:val="22"/>
              </w:rPr>
              <w:t>thuế TNDN</w:t>
            </w:r>
            <w:r w:rsidRPr="00010F83">
              <w:rPr>
                <w:rFonts w:ascii="Arial" w:hAnsi="Arial" w:cs="Arial"/>
                <w:i/>
                <w:sz w:val="22"/>
                <w:szCs w:val="22"/>
              </w:rPr>
              <w:t xml:space="preserve"> mà</w:t>
            </w:r>
            <w:r w:rsidR="00D44853" w:rsidRPr="00010F83">
              <w:rPr>
                <w:rFonts w:ascii="Arial" w:hAnsi="Arial" w:cs="Arial"/>
                <w:i/>
                <w:sz w:val="22"/>
                <w:szCs w:val="22"/>
              </w:rPr>
              <w:t xml:space="preserve"> đơn vị</w:t>
            </w:r>
            <w:r w:rsidRPr="00010F83">
              <w:rPr>
                <w:rFonts w:ascii="Arial" w:hAnsi="Arial" w:cs="Arial"/>
                <w:i/>
                <w:sz w:val="22"/>
                <w:szCs w:val="22"/>
              </w:rPr>
              <w:t xml:space="preserve"> sẽ </w:t>
            </w:r>
            <w:r w:rsidR="005E06DC" w:rsidRPr="00010F83">
              <w:rPr>
                <w:rFonts w:ascii="Arial" w:hAnsi="Arial" w:cs="Arial"/>
                <w:i/>
                <w:sz w:val="22"/>
                <w:szCs w:val="22"/>
              </w:rPr>
              <w:t>phải nộp</w:t>
            </w:r>
            <w:r w:rsidRPr="00010F83">
              <w:rPr>
                <w:rFonts w:ascii="Arial" w:hAnsi="Arial" w:cs="Arial"/>
                <w:i/>
                <w:sz w:val="22"/>
                <w:szCs w:val="22"/>
              </w:rPr>
              <w:t xml:space="preserve"> </w:t>
            </w:r>
            <w:r w:rsidR="0032763E" w:rsidRPr="00010F83">
              <w:rPr>
                <w:rFonts w:ascii="Arial" w:hAnsi="Arial" w:cs="Arial"/>
                <w:i/>
                <w:sz w:val="22"/>
                <w:szCs w:val="22"/>
              </w:rPr>
              <w:t xml:space="preserve">trong tương lai </w:t>
            </w:r>
            <w:r w:rsidRPr="00010F83">
              <w:rPr>
                <w:rFonts w:ascii="Arial" w:hAnsi="Arial" w:cs="Arial"/>
                <w:i/>
                <w:sz w:val="22"/>
                <w:szCs w:val="22"/>
              </w:rPr>
              <w:t>khi thu hồi</w:t>
            </w:r>
            <w:r w:rsidR="00D44853" w:rsidRPr="00010F83">
              <w:rPr>
                <w:rFonts w:ascii="Arial" w:hAnsi="Arial" w:cs="Arial"/>
                <w:i/>
                <w:sz w:val="22"/>
                <w:szCs w:val="22"/>
              </w:rPr>
              <w:t xml:space="preserve"> được</w:t>
            </w:r>
            <w:r w:rsidRPr="00010F83">
              <w:rPr>
                <w:rFonts w:ascii="Arial" w:hAnsi="Arial" w:cs="Arial"/>
                <w:i/>
                <w:sz w:val="22"/>
                <w:szCs w:val="22"/>
              </w:rPr>
              <w:t xml:space="preserve"> giá trị ghi sổ của tài sản</w:t>
            </w:r>
            <w:r w:rsidR="0032763E" w:rsidRPr="00010F83">
              <w:rPr>
                <w:rFonts w:ascii="Arial" w:hAnsi="Arial" w:cs="Arial"/>
                <w:i/>
                <w:sz w:val="22"/>
                <w:szCs w:val="22"/>
              </w:rPr>
              <w:t>.</w:t>
            </w:r>
          </w:p>
        </w:tc>
      </w:tr>
    </w:tbl>
    <w:p w:rsidR="00F278D3" w:rsidRPr="00010F83" w:rsidRDefault="00F278D3" w:rsidP="00590853">
      <w:pPr>
        <w:autoSpaceDE w:val="0"/>
        <w:autoSpaceDN w:val="0"/>
        <w:adjustRightInd w:val="0"/>
        <w:spacing w:after="120" w:line="240" w:lineRule="auto"/>
        <w:jc w:val="both"/>
        <w:rPr>
          <w:rFonts w:ascii="Arial" w:hAnsi="Arial" w:cs="Arial"/>
          <w:bCs/>
        </w:rPr>
      </w:pPr>
    </w:p>
    <w:p w:rsidR="00F278D3" w:rsidRPr="00010F83" w:rsidRDefault="00C530A3" w:rsidP="00FE7934">
      <w:pPr>
        <w:autoSpaceDE w:val="0"/>
        <w:autoSpaceDN w:val="0"/>
        <w:adjustRightInd w:val="0"/>
        <w:spacing w:after="120" w:line="240" w:lineRule="auto"/>
        <w:ind w:left="720" w:hanging="720"/>
        <w:jc w:val="both"/>
        <w:rPr>
          <w:rFonts w:ascii="Arial" w:hAnsi="Arial" w:cs="Arial"/>
          <w:bCs/>
        </w:rPr>
      </w:pPr>
      <w:r w:rsidRPr="00010F83">
        <w:rPr>
          <w:rFonts w:ascii="Arial" w:hAnsi="Arial" w:cs="Arial"/>
          <w:bCs/>
        </w:rPr>
        <w:t>17</w:t>
      </w:r>
      <w:r w:rsidR="00F278D3" w:rsidRPr="00010F83">
        <w:rPr>
          <w:rFonts w:ascii="Arial" w:hAnsi="Arial" w:cs="Arial"/>
          <w:bCs/>
        </w:rPr>
        <w:tab/>
      </w:r>
      <w:r w:rsidR="00D44853" w:rsidRPr="00010F83">
        <w:rPr>
          <w:rFonts w:ascii="Arial" w:hAnsi="Arial" w:cs="Arial"/>
          <w:bCs/>
        </w:rPr>
        <w:t xml:space="preserve">Một số khoản chênh lệch tạm thời có thể phát sinh khi </w:t>
      </w:r>
      <w:proofErr w:type="gramStart"/>
      <w:r w:rsidR="00D44853" w:rsidRPr="00010F83">
        <w:rPr>
          <w:rFonts w:ascii="Arial" w:hAnsi="Arial" w:cs="Arial"/>
          <w:bCs/>
        </w:rPr>
        <w:t>thu</w:t>
      </w:r>
      <w:proofErr w:type="gramEnd"/>
      <w:r w:rsidR="00D44853" w:rsidRPr="00010F83">
        <w:rPr>
          <w:rFonts w:ascii="Arial" w:hAnsi="Arial" w:cs="Arial"/>
          <w:bCs/>
        </w:rPr>
        <w:t xml:space="preserve"> nhập hoặc chi phí được tính vào lợi nhuận kế toán của một kỳ, nhưng lại được tính vào thu nhập chịu thuế của một kỳ khác. Các chênh lệch tạm thời như vậy thường được gọi là các chênh lệch phát sinh do thời gian. Dưới đây là một số ví dụ về dạng chênh lệch tạm thời này, là chênh lệch tạm thời phải chịu thuế và do đó làm phát sinh các khoản thuế </w:t>
      </w:r>
      <w:proofErr w:type="gramStart"/>
      <w:r w:rsidR="00D44853" w:rsidRPr="00010F83">
        <w:rPr>
          <w:rFonts w:ascii="Arial" w:hAnsi="Arial" w:cs="Arial"/>
          <w:bCs/>
        </w:rPr>
        <w:t>thu</w:t>
      </w:r>
      <w:proofErr w:type="gramEnd"/>
      <w:r w:rsidR="00D44853" w:rsidRPr="00010F83">
        <w:rPr>
          <w:rFonts w:ascii="Arial" w:hAnsi="Arial" w:cs="Arial"/>
          <w:bCs/>
        </w:rPr>
        <w:t xml:space="preserve"> nhập hoãn lại phải trả</w:t>
      </w:r>
      <w:r w:rsidR="00F278D3" w:rsidRPr="00010F83">
        <w:rPr>
          <w:rFonts w:ascii="Arial" w:hAnsi="Arial" w:cs="Arial"/>
          <w:bCs/>
        </w:rPr>
        <w:t>:</w:t>
      </w:r>
    </w:p>
    <w:p w:rsidR="000B467A" w:rsidRPr="00010F83" w:rsidRDefault="00D44853" w:rsidP="00FE7934">
      <w:pPr>
        <w:pStyle w:val="ListParagraph"/>
        <w:numPr>
          <w:ilvl w:val="0"/>
          <w:numId w:val="10"/>
        </w:numPr>
        <w:autoSpaceDE w:val="0"/>
        <w:autoSpaceDN w:val="0"/>
        <w:adjustRightInd w:val="0"/>
        <w:spacing w:after="120"/>
        <w:ind w:left="1080"/>
        <w:jc w:val="both"/>
        <w:rPr>
          <w:rFonts w:ascii="Arial" w:hAnsi="Arial" w:cs="Arial"/>
          <w:bCs/>
          <w:sz w:val="22"/>
          <w:szCs w:val="22"/>
        </w:rPr>
      </w:pPr>
      <w:r w:rsidRPr="00010F83">
        <w:rPr>
          <w:rFonts w:ascii="Arial" w:hAnsi="Arial" w:cs="Arial"/>
          <w:bCs/>
          <w:sz w:val="22"/>
          <w:szCs w:val="22"/>
        </w:rPr>
        <w:t xml:space="preserve">Doanh </w:t>
      </w:r>
      <w:proofErr w:type="gramStart"/>
      <w:r w:rsidRPr="00010F83">
        <w:rPr>
          <w:rFonts w:ascii="Arial" w:hAnsi="Arial" w:cs="Arial"/>
          <w:bCs/>
          <w:sz w:val="22"/>
          <w:szCs w:val="22"/>
        </w:rPr>
        <w:t>thu</w:t>
      </w:r>
      <w:proofErr w:type="gramEnd"/>
      <w:r w:rsidRPr="00010F83">
        <w:rPr>
          <w:rFonts w:ascii="Arial" w:hAnsi="Arial" w:cs="Arial"/>
          <w:bCs/>
          <w:sz w:val="22"/>
          <w:szCs w:val="22"/>
        </w:rPr>
        <w:t xml:space="preserve"> tiền lãi được ghi nhận trong lợi nhuận kế toán bằng tỷ lệ phân bổ theo thời gian, nhưng ở một số khu vực địa lý, khoản doanh thu này chỉ chịu thuế khi thực nhận bằng tiền. Cơ sở tính thuế của tiền lãi phải thu ghi nhận trên Bảng cân đối kế toán là bằng không bởi vì doanh thu đó không ảnh hưởng đến thu nhập chịu thuế, cho đến khi tiền được thực nhận trong tương lai</w:t>
      </w:r>
      <w:r w:rsidR="00150465" w:rsidRPr="00010F83">
        <w:rPr>
          <w:rFonts w:ascii="Arial" w:hAnsi="Arial" w:cs="Arial"/>
          <w:bCs/>
          <w:sz w:val="22"/>
          <w:szCs w:val="22"/>
        </w:rPr>
        <w:t>;</w:t>
      </w:r>
    </w:p>
    <w:p w:rsidR="000B467A" w:rsidRPr="00010F83" w:rsidRDefault="00FE7934" w:rsidP="00FE7934">
      <w:pPr>
        <w:pStyle w:val="ListParagraph"/>
        <w:numPr>
          <w:ilvl w:val="0"/>
          <w:numId w:val="10"/>
        </w:numPr>
        <w:autoSpaceDE w:val="0"/>
        <w:autoSpaceDN w:val="0"/>
        <w:adjustRightInd w:val="0"/>
        <w:spacing w:after="120"/>
        <w:ind w:left="1080"/>
        <w:jc w:val="both"/>
        <w:rPr>
          <w:rFonts w:ascii="Arial" w:hAnsi="Arial" w:cs="Arial"/>
          <w:bCs/>
          <w:sz w:val="22"/>
          <w:szCs w:val="22"/>
        </w:rPr>
      </w:pPr>
      <w:r w:rsidRPr="00010F83">
        <w:rPr>
          <w:rFonts w:ascii="Arial" w:hAnsi="Arial" w:cs="Arial"/>
          <w:bCs/>
          <w:sz w:val="22"/>
          <w:szCs w:val="22"/>
        </w:rPr>
        <w:t xml:space="preserve">Chi </w:t>
      </w:r>
      <w:r w:rsidR="005553B4" w:rsidRPr="00010F83">
        <w:rPr>
          <w:rFonts w:ascii="Arial" w:hAnsi="Arial" w:cs="Arial"/>
          <w:bCs/>
          <w:sz w:val="22"/>
          <w:szCs w:val="22"/>
        </w:rPr>
        <w:t xml:space="preserve">phí </w:t>
      </w:r>
      <w:r w:rsidR="00150465" w:rsidRPr="00010F83">
        <w:rPr>
          <w:rFonts w:ascii="Arial" w:hAnsi="Arial" w:cs="Arial"/>
          <w:bCs/>
          <w:sz w:val="22"/>
          <w:szCs w:val="22"/>
        </w:rPr>
        <w:t xml:space="preserve">khấu hao khi xác định </w:t>
      </w:r>
      <w:proofErr w:type="gramStart"/>
      <w:r w:rsidR="004B62C7" w:rsidRPr="00010F83">
        <w:rPr>
          <w:rFonts w:ascii="Arial" w:hAnsi="Arial" w:cs="Arial"/>
          <w:bCs/>
          <w:sz w:val="22"/>
          <w:szCs w:val="22"/>
        </w:rPr>
        <w:t>thu</w:t>
      </w:r>
      <w:proofErr w:type="gramEnd"/>
      <w:r w:rsidR="004B62C7" w:rsidRPr="00010F83">
        <w:rPr>
          <w:rFonts w:ascii="Arial" w:hAnsi="Arial" w:cs="Arial"/>
          <w:bCs/>
          <w:sz w:val="22"/>
          <w:szCs w:val="22"/>
        </w:rPr>
        <w:t xml:space="preserve"> nhập</w:t>
      </w:r>
      <w:r w:rsidR="00150465" w:rsidRPr="00010F83">
        <w:rPr>
          <w:rFonts w:ascii="Arial" w:hAnsi="Arial" w:cs="Arial"/>
          <w:bCs/>
          <w:sz w:val="22"/>
          <w:szCs w:val="22"/>
        </w:rPr>
        <w:t xml:space="preserve"> </w:t>
      </w:r>
      <w:r w:rsidR="004B62C7" w:rsidRPr="00010F83">
        <w:rPr>
          <w:rFonts w:ascii="Arial" w:hAnsi="Arial" w:cs="Arial"/>
          <w:bCs/>
          <w:sz w:val="22"/>
          <w:szCs w:val="22"/>
        </w:rPr>
        <w:t>chịu</w:t>
      </w:r>
      <w:r w:rsidR="00150465" w:rsidRPr="00010F83">
        <w:rPr>
          <w:rFonts w:ascii="Arial" w:hAnsi="Arial" w:cs="Arial"/>
          <w:bCs/>
          <w:sz w:val="22"/>
          <w:szCs w:val="22"/>
        </w:rPr>
        <w:t xml:space="preserve"> thuế (lỗ tính thuế) có thể khác với </w:t>
      </w:r>
      <w:r w:rsidR="005553B4" w:rsidRPr="00010F83">
        <w:rPr>
          <w:rFonts w:ascii="Arial" w:hAnsi="Arial" w:cs="Arial"/>
          <w:bCs/>
          <w:sz w:val="22"/>
          <w:szCs w:val="22"/>
        </w:rPr>
        <w:t xml:space="preserve">chi phí </w:t>
      </w:r>
      <w:r w:rsidR="00150465" w:rsidRPr="00010F83">
        <w:rPr>
          <w:rFonts w:ascii="Arial" w:hAnsi="Arial" w:cs="Arial"/>
          <w:bCs/>
          <w:sz w:val="22"/>
          <w:szCs w:val="22"/>
        </w:rPr>
        <w:t xml:space="preserve">khấu hao khi xác định lợi nhuận kế toán. Chênh lệch tạm thời là chênh lệch giữa giá trị ghi sổ của tài sản và cơ sở tính thuế của </w:t>
      </w:r>
      <w:r w:rsidR="005553B4" w:rsidRPr="00010F83">
        <w:rPr>
          <w:rFonts w:ascii="Arial" w:hAnsi="Arial" w:cs="Arial"/>
          <w:bCs/>
          <w:sz w:val="22"/>
          <w:szCs w:val="22"/>
        </w:rPr>
        <w:t>tài sản đó, được tính bằng</w:t>
      </w:r>
      <w:r w:rsidR="00150465" w:rsidRPr="00010F83">
        <w:rPr>
          <w:rFonts w:ascii="Arial" w:hAnsi="Arial" w:cs="Arial"/>
          <w:bCs/>
          <w:sz w:val="22"/>
          <w:szCs w:val="22"/>
        </w:rPr>
        <w:t xml:space="preserve"> </w:t>
      </w:r>
      <w:r w:rsidR="005553B4" w:rsidRPr="00010F83">
        <w:rPr>
          <w:rFonts w:ascii="Arial" w:hAnsi="Arial" w:cs="Arial"/>
          <w:bCs/>
          <w:sz w:val="22"/>
          <w:szCs w:val="22"/>
        </w:rPr>
        <w:t>nguyên giá trừ đi các khoản khấu hao đã khấu</w:t>
      </w:r>
      <w:r w:rsidR="00150465" w:rsidRPr="00010F83">
        <w:rPr>
          <w:rFonts w:ascii="Arial" w:hAnsi="Arial" w:cs="Arial"/>
          <w:bCs/>
          <w:sz w:val="22"/>
          <w:szCs w:val="22"/>
        </w:rPr>
        <w:t xml:space="preserve"> trừ thuế khi xác định </w:t>
      </w:r>
      <w:proofErr w:type="gramStart"/>
      <w:r w:rsidR="00047B53" w:rsidRPr="00010F83">
        <w:rPr>
          <w:rFonts w:ascii="Arial" w:hAnsi="Arial" w:cs="Arial"/>
          <w:bCs/>
          <w:sz w:val="22"/>
          <w:szCs w:val="22"/>
        </w:rPr>
        <w:t>thu</w:t>
      </w:r>
      <w:proofErr w:type="gramEnd"/>
      <w:r w:rsidR="00047B53" w:rsidRPr="00010F83">
        <w:rPr>
          <w:rFonts w:ascii="Arial" w:hAnsi="Arial" w:cs="Arial"/>
          <w:bCs/>
          <w:sz w:val="22"/>
          <w:szCs w:val="22"/>
        </w:rPr>
        <w:t xml:space="preserve"> nhập chịu thuế</w:t>
      </w:r>
      <w:r w:rsidR="00150465" w:rsidRPr="00010F83">
        <w:rPr>
          <w:rFonts w:ascii="Arial" w:hAnsi="Arial" w:cs="Arial"/>
          <w:bCs/>
          <w:sz w:val="22"/>
          <w:szCs w:val="22"/>
        </w:rPr>
        <w:t xml:space="preserve"> của kỳ hiện </w:t>
      </w:r>
      <w:r w:rsidR="00D44853" w:rsidRPr="00010F83">
        <w:rPr>
          <w:rFonts w:ascii="Arial" w:hAnsi="Arial" w:cs="Arial"/>
          <w:bCs/>
          <w:sz w:val="22"/>
          <w:szCs w:val="22"/>
        </w:rPr>
        <w:t>hành</w:t>
      </w:r>
      <w:r w:rsidR="00150465" w:rsidRPr="00010F83">
        <w:rPr>
          <w:rFonts w:ascii="Arial" w:hAnsi="Arial" w:cs="Arial"/>
          <w:bCs/>
          <w:sz w:val="22"/>
          <w:szCs w:val="22"/>
        </w:rPr>
        <w:t xml:space="preserve"> và các kỳ trước. </w:t>
      </w:r>
      <w:r w:rsidR="00D44853" w:rsidRPr="00010F83">
        <w:rPr>
          <w:rFonts w:ascii="Arial" w:hAnsi="Arial" w:cs="Arial"/>
          <w:bCs/>
          <w:sz w:val="22"/>
          <w:szCs w:val="22"/>
        </w:rPr>
        <w:t>Một khoản c</w:t>
      </w:r>
      <w:r w:rsidR="00150465" w:rsidRPr="00010F83">
        <w:rPr>
          <w:rFonts w:ascii="Arial" w:hAnsi="Arial" w:cs="Arial"/>
          <w:bCs/>
          <w:sz w:val="22"/>
          <w:szCs w:val="22"/>
        </w:rPr>
        <w:t xml:space="preserve">hênh lệch tạm thời </w:t>
      </w:r>
      <w:r w:rsidR="00D44853" w:rsidRPr="00010F83">
        <w:rPr>
          <w:rFonts w:ascii="Arial" w:hAnsi="Arial" w:cs="Arial"/>
          <w:bCs/>
          <w:sz w:val="22"/>
          <w:szCs w:val="22"/>
        </w:rPr>
        <w:t xml:space="preserve">phải </w:t>
      </w:r>
      <w:r w:rsidR="00150465" w:rsidRPr="00010F83">
        <w:rPr>
          <w:rFonts w:ascii="Arial" w:hAnsi="Arial" w:cs="Arial"/>
          <w:bCs/>
          <w:sz w:val="22"/>
          <w:szCs w:val="22"/>
        </w:rPr>
        <w:t xml:space="preserve">chịu thuế phát sinh và </w:t>
      </w:r>
      <w:r w:rsidR="00D44853" w:rsidRPr="00010F83">
        <w:rPr>
          <w:rFonts w:ascii="Arial" w:hAnsi="Arial" w:cs="Arial"/>
          <w:bCs/>
          <w:sz w:val="22"/>
          <w:szCs w:val="22"/>
        </w:rPr>
        <w:t xml:space="preserve">tạo ra một khoản </w:t>
      </w:r>
      <w:r w:rsidR="00731917" w:rsidRPr="00010F83">
        <w:rPr>
          <w:rFonts w:ascii="Arial" w:hAnsi="Arial" w:cs="Arial"/>
          <w:bCs/>
          <w:sz w:val="22"/>
          <w:szCs w:val="22"/>
        </w:rPr>
        <w:t xml:space="preserve">thuế </w:t>
      </w:r>
      <w:r w:rsidR="00D44853" w:rsidRPr="00010F83">
        <w:rPr>
          <w:rFonts w:ascii="Arial" w:hAnsi="Arial" w:cs="Arial"/>
          <w:bCs/>
          <w:sz w:val="22"/>
          <w:szCs w:val="22"/>
        </w:rPr>
        <w:t>thu nhập</w:t>
      </w:r>
      <w:r w:rsidR="00047B53" w:rsidRPr="00010F83">
        <w:rPr>
          <w:rFonts w:ascii="Arial" w:hAnsi="Arial" w:cs="Arial"/>
          <w:bCs/>
          <w:sz w:val="22"/>
          <w:szCs w:val="22"/>
        </w:rPr>
        <w:t xml:space="preserve"> </w:t>
      </w:r>
      <w:r w:rsidR="00150465" w:rsidRPr="00010F83">
        <w:rPr>
          <w:rFonts w:ascii="Arial" w:hAnsi="Arial" w:cs="Arial"/>
          <w:bCs/>
          <w:sz w:val="22"/>
          <w:szCs w:val="22"/>
        </w:rPr>
        <w:t>hoãn lại phải trả khi tài sản được khấu hao cho mục đích tính thuế nhanh hơn so với khấu hao cho mục đích kế toán (nếu khấu hao cho mục đích tính thuế chậm hơn so với khấu hao cho mục đích kế toán sẽ phát sinh khoản chênh lệch tạm thời được khấu trừ</w:t>
      </w:r>
      <w:r w:rsidR="00D44853" w:rsidRPr="00010F83">
        <w:rPr>
          <w:rFonts w:ascii="Arial" w:hAnsi="Arial" w:cs="Arial"/>
          <w:bCs/>
          <w:sz w:val="22"/>
          <w:szCs w:val="22"/>
        </w:rPr>
        <w:t xml:space="preserve"> và</w:t>
      </w:r>
      <w:r w:rsidR="005553B4" w:rsidRPr="00010F83">
        <w:rPr>
          <w:rFonts w:ascii="Arial" w:hAnsi="Arial" w:cs="Arial"/>
          <w:bCs/>
          <w:sz w:val="22"/>
          <w:szCs w:val="22"/>
        </w:rPr>
        <w:t xml:space="preserve"> </w:t>
      </w:r>
      <w:r w:rsidR="00D44853" w:rsidRPr="00010F83">
        <w:rPr>
          <w:rFonts w:ascii="Arial" w:hAnsi="Arial" w:cs="Arial"/>
          <w:bCs/>
          <w:sz w:val="22"/>
          <w:szCs w:val="22"/>
        </w:rPr>
        <w:t xml:space="preserve">tạo ra một </w:t>
      </w:r>
      <w:r w:rsidR="00150465" w:rsidRPr="00010F83">
        <w:rPr>
          <w:rFonts w:ascii="Arial" w:hAnsi="Arial" w:cs="Arial"/>
          <w:bCs/>
          <w:sz w:val="22"/>
          <w:szCs w:val="22"/>
        </w:rPr>
        <w:t xml:space="preserve">tài sản </w:t>
      </w:r>
      <w:r w:rsidR="00731917" w:rsidRPr="00010F83">
        <w:rPr>
          <w:rFonts w:ascii="Arial" w:hAnsi="Arial" w:cs="Arial"/>
          <w:bCs/>
          <w:sz w:val="22"/>
          <w:szCs w:val="22"/>
        </w:rPr>
        <w:t xml:space="preserve">thuế </w:t>
      </w:r>
      <w:r w:rsidR="00D44853" w:rsidRPr="00010F83">
        <w:rPr>
          <w:rFonts w:ascii="Arial" w:hAnsi="Arial" w:cs="Arial"/>
          <w:bCs/>
          <w:sz w:val="22"/>
          <w:szCs w:val="22"/>
        </w:rPr>
        <w:t>thu nhập</w:t>
      </w:r>
      <w:r w:rsidR="000B467A" w:rsidRPr="00010F83">
        <w:rPr>
          <w:rFonts w:ascii="Arial" w:hAnsi="Arial" w:cs="Arial"/>
          <w:bCs/>
          <w:sz w:val="22"/>
          <w:szCs w:val="22"/>
        </w:rPr>
        <w:t xml:space="preserve"> </w:t>
      </w:r>
      <w:r w:rsidR="00150465" w:rsidRPr="00010F83">
        <w:rPr>
          <w:rFonts w:ascii="Arial" w:hAnsi="Arial" w:cs="Arial"/>
          <w:bCs/>
          <w:sz w:val="22"/>
          <w:szCs w:val="22"/>
        </w:rPr>
        <w:t>hoãn lại); và</w:t>
      </w:r>
    </w:p>
    <w:p w:rsidR="00F278D3" w:rsidRPr="00010F83" w:rsidRDefault="000B467A" w:rsidP="00FE7934">
      <w:pPr>
        <w:pStyle w:val="ListParagraph"/>
        <w:numPr>
          <w:ilvl w:val="0"/>
          <w:numId w:val="10"/>
        </w:numPr>
        <w:autoSpaceDE w:val="0"/>
        <w:autoSpaceDN w:val="0"/>
        <w:adjustRightInd w:val="0"/>
        <w:spacing w:after="120"/>
        <w:ind w:left="1080"/>
        <w:jc w:val="both"/>
        <w:rPr>
          <w:rFonts w:ascii="Arial" w:hAnsi="Arial" w:cs="Arial"/>
          <w:bCs/>
          <w:sz w:val="22"/>
          <w:szCs w:val="22"/>
        </w:rPr>
      </w:pPr>
      <w:r w:rsidRPr="00010F83">
        <w:rPr>
          <w:rFonts w:ascii="Arial" w:hAnsi="Arial" w:cs="Arial"/>
          <w:bCs/>
          <w:sz w:val="22"/>
          <w:szCs w:val="22"/>
        </w:rPr>
        <w:t xml:space="preserve">Chi phí phát triển có thể được vốn hóa và phân bổ dần trong tương lai khi xác định lợi nhuận kế toán nhưng lại được khấu trừ khi xác định </w:t>
      </w:r>
      <w:proofErr w:type="gramStart"/>
      <w:r w:rsidRPr="00010F83">
        <w:rPr>
          <w:rFonts w:ascii="Arial" w:hAnsi="Arial" w:cs="Arial"/>
          <w:bCs/>
          <w:sz w:val="22"/>
          <w:szCs w:val="22"/>
        </w:rPr>
        <w:t>thu</w:t>
      </w:r>
      <w:proofErr w:type="gramEnd"/>
      <w:r w:rsidRPr="00010F83">
        <w:rPr>
          <w:rFonts w:ascii="Arial" w:hAnsi="Arial" w:cs="Arial"/>
          <w:bCs/>
          <w:sz w:val="22"/>
          <w:szCs w:val="22"/>
        </w:rPr>
        <w:t xml:space="preserve"> nhập chịu thuế ngay trong kỳ mà chi phí này phát sinh. Chi phí phát triển này có cơ sở tính thuế bằng không vì nó đã được khấu trừ</w:t>
      </w:r>
      <w:r w:rsidR="00D44853" w:rsidRPr="00010F83">
        <w:rPr>
          <w:rFonts w:ascii="Arial" w:hAnsi="Arial" w:cs="Arial"/>
          <w:bCs/>
          <w:sz w:val="22"/>
          <w:szCs w:val="22"/>
        </w:rPr>
        <w:t xml:space="preserve"> khi tính</w:t>
      </w:r>
      <w:r w:rsidRPr="00010F83">
        <w:rPr>
          <w:rFonts w:ascii="Arial" w:hAnsi="Arial" w:cs="Arial"/>
          <w:bCs/>
          <w:sz w:val="22"/>
          <w:szCs w:val="22"/>
        </w:rPr>
        <w:t xml:space="preserve"> thuế</w:t>
      </w:r>
      <w:r w:rsidR="00D44853" w:rsidRPr="00010F83">
        <w:rPr>
          <w:rFonts w:ascii="Arial" w:hAnsi="Arial" w:cs="Arial"/>
          <w:bCs/>
          <w:sz w:val="22"/>
          <w:szCs w:val="22"/>
        </w:rPr>
        <w:t xml:space="preserve"> </w:t>
      </w:r>
      <w:proofErr w:type="gramStart"/>
      <w:r w:rsidR="00D44853" w:rsidRPr="00010F83">
        <w:rPr>
          <w:rFonts w:ascii="Arial" w:hAnsi="Arial" w:cs="Arial"/>
          <w:bCs/>
          <w:sz w:val="22"/>
          <w:szCs w:val="22"/>
        </w:rPr>
        <w:t>thu</w:t>
      </w:r>
      <w:proofErr w:type="gramEnd"/>
      <w:r w:rsidR="00D44853" w:rsidRPr="00010F83">
        <w:rPr>
          <w:rFonts w:ascii="Arial" w:hAnsi="Arial" w:cs="Arial"/>
          <w:bCs/>
          <w:sz w:val="22"/>
          <w:szCs w:val="22"/>
        </w:rPr>
        <w:t xml:space="preserve"> nhập</w:t>
      </w:r>
      <w:r w:rsidRPr="00010F83">
        <w:rPr>
          <w:rFonts w:ascii="Arial" w:hAnsi="Arial" w:cs="Arial"/>
          <w:bCs/>
          <w:sz w:val="22"/>
          <w:szCs w:val="22"/>
        </w:rPr>
        <w:t>. Chênh lệch tạm thời</w:t>
      </w:r>
      <w:r w:rsidR="005553B4" w:rsidRPr="00010F83">
        <w:rPr>
          <w:rFonts w:ascii="Arial" w:hAnsi="Arial" w:cs="Arial"/>
          <w:bCs/>
          <w:sz w:val="22"/>
          <w:szCs w:val="22"/>
        </w:rPr>
        <w:t xml:space="preserve"> là</w:t>
      </w:r>
      <w:r w:rsidRPr="00010F83">
        <w:rPr>
          <w:rFonts w:ascii="Arial" w:hAnsi="Arial" w:cs="Arial"/>
          <w:bCs/>
          <w:sz w:val="22"/>
          <w:szCs w:val="22"/>
        </w:rPr>
        <w:t xml:space="preserve"> chênh lệch giữa giá trị ghi sổ của chi phí phát triển </w:t>
      </w:r>
      <w:r w:rsidR="005553B4" w:rsidRPr="00010F83">
        <w:rPr>
          <w:rFonts w:ascii="Arial" w:hAnsi="Arial" w:cs="Arial"/>
          <w:bCs/>
          <w:sz w:val="22"/>
          <w:szCs w:val="22"/>
        </w:rPr>
        <w:t xml:space="preserve">được vốn hóa trên </w:t>
      </w:r>
      <w:r w:rsidR="007B64CF" w:rsidRPr="00010F83">
        <w:rPr>
          <w:rFonts w:ascii="Arial" w:hAnsi="Arial" w:cs="Arial"/>
          <w:bCs/>
          <w:sz w:val="22"/>
          <w:szCs w:val="22"/>
        </w:rPr>
        <w:t>Bảng cân đối kế toán</w:t>
      </w:r>
      <w:r w:rsidR="00400052" w:rsidRPr="00010F83">
        <w:rPr>
          <w:rFonts w:ascii="Arial" w:hAnsi="Arial" w:cs="Arial"/>
          <w:b/>
          <w:bCs/>
          <w:sz w:val="22"/>
          <w:szCs w:val="22"/>
        </w:rPr>
        <w:t xml:space="preserve"> </w:t>
      </w:r>
      <w:r w:rsidRPr="00010F83">
        <w:rPr>
          <w:rFonts w:ascii="Arial" w:hAnsi="Arial" w:cs="Arial"/>
          <w:bCs/>
          <w:sz w:val="22"/>
          <w:szCs w:val="22"/>
        </w:rPr>
        <w:t xml:space="preserve">và cơ sở tính thuế bằng không của </w:t>
      </w:r>
      <w:r w:rsidR="005553B4" w:rsidRPr="00010F83">
        <w:rPr>
          <w:rFonts w:ascii="Arial" w:hAnsi="Arial" w:cs="Arial"/>
          <w:bCs/>
          <w:sz w:val="22"/>
          <w:szCs w:val="22"/>
        </w:rPr>
        <w:t>tài sản</w:t>
      </w:r>
      <w:r w:rsidRPr="00010F83">
        <w:rPr>
          <w:rFonts w:ascii="Arial" w:hAnsi="Arial" w:cs="Arial"/>
          <w:bCs/>
          <w:sz w:val="22"/>
          <w:szCs w:val="22"/>
        </w:rPr>
        <w:t xml:space="preserve"> này.</w:t>
      </w:r>
    </w:p>
    <w:p w:rsidR="00F278D3" w:rsidRPr="00010F83" w:rsidRDefault="00F278D3" w:rsidP="00590853">
      <w:pPr>
        <w:autoSpaceDE w:val="0"/>
        <w:autoSpaceDN w:val="0"/>
        <w:adjustRightInd w:val="0"/>
        <w:spacing w:after="120" w:line="240" w:lineRule="auto"/>
        <w:jc w:val="both"/>
        <w:rPr>
          <w:rFonts w:ascii="Arial" w:hAnsi="Arial" w:cs="Arial"/>
          <w:bCs/>
        </w:rPr>
      </w:pPr>
      <w:r w:rsidRPr="00010F83">
        <w:rPr>
          <w:rFonts w:ascii="Arial" w:hAnsi="Arial" w:cs="Arial"/>
          <w:bCs/>
        </w:rPr>
        <w:t>18</w:t>
      </w:r>
      <w:r w:rsidRPr="00010F83">
        <w:rPr>
          <w:rFonts w:ascii="Arial" w:hAnsi="Arial" w:cs="Arial"/>
          <w:bCs/>
        </w:rPr>
        <w:tab/>
      </w:r>
      <w:r w:rsidR="000B467A" w:rsidRPr="00010F83">
        <w:rPr>
          <w:rFonts w:ascii="Arial" w:hAnsi="Arial" w:cs="Arial"/>
          <w:bCs/>
        </w:rPr>
        <w:t>Chênh lệch tạm thời cũng phát sinh khi:</w:t>
      </w:r>
    </w:p>
    <w:p w:rsidR="000B467A" w:rsidRPr="00010F83" w:rsidRDefault="000B467A" w:rsidP="00FE7934">
      <w:pPr>
        <w:pStyle w:val="ListParagraph"/>
        <w:numPr>
          <w:ilvl w:val="0"/>
          <w:numId w:val="11"/>
        </w:numPr>
        <w:autoSpaceDE w:val="0"/>
        <w:autoSpaceDN w:val="0"/>
        <w:adjustRightInd w:val="0"/>
        <w:spacing w:after="120"/>
        <w:ind w:left="1080"/>
        <w:jc w:val="both"/>
        <w:rPr>
          <w:rFonts w:ascii="Arial" w:hAnsi="Arial" w:cs="Arial"/>
          <w:bCs/>
          <w:sz w:val="22"/>
          <w:szCs w:val="22"/>
        </w:rPr>
      </w:pPr>
      <w:r w:rsidRPr="00010F83">
        <w:rPr>
          <w:rFonts w:ascii="Arial" w:hAnsi="Arial" w:cs="Arial"/>
          <w:bCs/>
          <w:sz w:val="22"/>
          <w:szCs w:val="22"/>
        </w:rPr>
        <w:t xml:space="preserve">tài sản </w:t>
      </w:r>
      <w:r w:rsidR="00061AF8" w:rsidRPr="00010F83">
        <w:rPr>
          <w:rFonts w:ascii="Arial" w:hAnsi="Arial" w:cs="Arial"/>
          <w:bCs/>
          <w:sz w:val="22"/>
          <w:szCs w:val="22"/>
        </w:rPr>
        <w:t xml:space="preserve">và nợ phải trả </w:t>
      </w:r>
      <w:r w:rsidR="00D44853" w:rsidRPr="00010F83">
        <w:rPr>
          <w:rFonts w:ascii="Arial" w:hAnsi="Arial" w:cs="Arial"/>
          <w:bCs/>
          <w:sz w:val="22"/>
          <w:szCs w:val="22"/>
        </w:rPr>
        <w:t xml:space="preserve">có thể xác định được </w:t>
      </w:r>
      <w:r w:rsidR="00061AF8" w:rsidRPr="00010F83">
        <w:rPr>
          <w:rFonts w:ascii="Arial" w:hAnsi="Arial" w:cs="Arial"/>
          <w:bCs/>
          <w:sz w:val="22"/>
          <w:szCs w:val="22"/>
        </w:rPr>
        <w:t xml:space="preserve">mua về </w:t>
      </w:r>
      <w:r w:rsidR="00D44853" w:rsidRPr="00010F83">
        <w:rPr>
          <w:rFonts w:ascii="Arial" w:hAnsi="Arial" w:cs="Arial"/>
          <w:bCs/>
          <w:sz w:val="22"/>
          <w:szCs w:val="22"/>
        </w:rPr>
        <w:t xml:space="preserve">trong </w:t>
      </w:r>
      <w:r w:rsidR="00061AF8" w:rsidRPr="00010F83">
        <w:rPr>
          <w:rFonts w:ascii="Arial" w:hAnsi="Arial" w:cs="Arial"/>
          <w:bCs/>
          <w:sz w:val="22"/>
          <w:szCs w:val="22"/>
        </w:rPr>
        <w:t>một giao dịch</w:t>
      </w:r>
      <w:r w:rsidRPr="00010F83">
        <w:rPr>
          <w:rFonts w:ascii="Arial" w:hAnsi="Arial" w:cs="Arial"/>
          <w:bCs/>
          <w:sz w:val="22"/>
          <w:szCs w:val="22"/>
        </w:rPr>
        <w:t xml:space="preserve"> hợp nhất kinh doanh được ghi nhận theo giá trị hợp lý</w:t>
      </w:r>
      <w:r w:rsidR="00061AF8" w:rsidRPr="00010F83">
        <w:rPr>
          <w:rFonts w:ascii="Arial" w:hAnsi="Arial" w:cs="Arial"/>
          <w:bCs/>
          <w:sz w:val="22"/>
          <w:szCs w:val="22"/>
        </w:rPr>
        <w:t>,</w:t>
      </w:r>
      <w:r w:rsidRPr="00010F83">
        <w:rPr>
          <w:rFonts w:ascii="Arial" w:hAnsi="Arial" w:cs="Arial"/>
          <w:bCs/>
          <w:sz w:val="22"/>
          <w:szCs w:val="22"/>
        </w:rPr>
        <w:t xml:space="preserve"> phù hợp với chuẩn mực IFRS</w:t>
      </w:r>
      <w:r w:rsidR="00201D3A" w:rsidRPr="00010F83">
        <w:rPr>
          <w:rFonts w:ascii="Arial" w:hAnsi="Arial" w:cs="Arial"/>
          <w:bCs/>
          <w:sz w:val="22"/>
          <w:szCs w:val="22"/>
        </w:rPr>
        <w:t xml:space="preserve"> </w:t>
      </w:r>
      <w:r w:rsidRPr="00010F83">
        <w:rPr>
          <w:rFonts w:ascii="Arial" w:hAnsi="Arial" w:cs="Arial"/>
          <w:bCs/>
          <w:sz w:val="22"/>
          <w:szCs w:val="22"/>
        </w:rPr>
        <w:t xml:space="preserve">3 </w:t>
      </w:r>
      <w:r w:rsidRPr="00010F83">
        <w:rPr>
          <w:rFonts w:ascii="Arial" w:hAnsi="Arial" w:cs="Arial"/>
          <w:bCs/>
          <w:i/>
          <w:sz w:val="22"/>
          <w:szCs w:val="22"/>
        </w:rPr>
        <w:t>Hợp nhất kinh doanh</w:t>
      </w:r>
      <w:r w:rsidRPr="00010F83">
        <w:rPr>
          <w:rFonts w:ascii="Arial" w:hAnsi="Arial" w:cs="Arial"/>
          <w:bCs/>
          <w:sz w:val="22"/>
          <w:szCs w:val="22"/>
        </w:rPr>
        <w:t xml:space="preserve">, </w:t>
      </w:r>
      <w:r w:rsidR="00061AF8" w:rsidRPr="00010F83">
        <w:rPr>
          <w:rFonts w:ascii="Arial" w:hAnsi="Arial" w:cs="Arial"/>
          <w:bCs/>
          <w:sz w:val="22"/>
          <w:szCs w:val="22"/>
        </w:rPr>
        <w:t xml:space="preserve">trong khi cơ sở tính thuế của các tài sản và nợ phải trả này </w:t>
      </w:r>
      <w:r w:rsidR="005E06DC" w:rsidRPr="00010F83">
        <w:rPr>
          <w:rFonts w:ascii="Arial" w:hAnsi="Arial" w:cs="Arial"/>
          <w:bCs/>
          <w:sz w:val="22"/>
          <w:szCs w:val="22"/>
        </w:rPr>
        <w:t>không đổi</w:t>
      </w:r>
      <w:r w:rsidRPr="00010F83">
        <w:rPr>
          <w:rFonts w:ascii="Arial" w:hAnsi="Arial" w:cs="Arial"/>
          <w:bCs/>
          <w:sz w:val="22"/>
          <w:szCs w:val="22"/>
        </w:rPr>
        <w:t xml:space="preserve"> (xem đoạn 19);</w:t>
      </w:r>
    </w:p>
    <w:p w:rsidR="00FE7934" w:rsidRPr="00010F83" w:rsidRDefault="00FE7934">
      <w:pPr>
        <w:rPr>
          <w:rFonts w:ascii="Arial" w:eastAsia="Times New Roman" w:hAnsi="Arial" w:cs="Arial"/>
          <w:bCs/>
        </w:rPr>
      </w:pPr>
      <w:r w:rsidRPr="00010F83">
        <w:rPr>
          <w:rFonts w:ascii="Arial" w:hAnsi="Arial" w:cs="Arial"/>
          <w:bCs/>
        </w:rPr>
        <w:br w:type="page"/>
      </w:r>
    </w:p>
    <w:p w:rsidR="000B467A" w:rsidRPr="00010F83" w:rsidRDefault="000B467A" w:rsidP="00FE7934">
      <w:pPr>
        <w:pStyle w:val="ListParagraph"/>
        <w:numPr>
          <w:ilvl w:val="0"/>
          <w:numId w:val="11"/>
        </w:numPr>
        <w:autoSpaceDE w:val="0"/>
        <w:autoSpaceDN w:val="0"/>
        <w:adjustRightInd w:val="0"/>
        <w:spacing w:after="120"/>
        <w:ind w:left="1080"/>
        <w:jc w:val="both"/>
        <w:rPr>
          <w:rFonts w:ascii="Arial" w:hAnsi="Arial" w:cs="Arial"/>
          <w:bCs/>
          <w:sz w:val="22"/>
          <w:szCs w:val="22"/>
        </w:rPr>
      </w:pPr>
      <w:r w:rsidRPr="00010F83">
        <w:rPr>
          <w:rFonts w:ascii="Arial" w:hAnsi="Arial" w:cs="Arial"/>
          <w:bCs/>
          <w:sz w:val="22"/>
          <w:szCs w:val="22"/>
        </w:rPr>
        <w:lastRenderedPageBreak/>
        <w:t>tài sản được đánh giá lại</w:t>
      </w:r>
      <w:r w:rsidR="00061AF8" w:rsidRPr="00010F83">
        <w:rPr>
          <w:rFonts w:ascii="Arial" w:hAnsi="Arial" w:cs="Arial"/>
          <w:bCs/>
          <w:sz w:val="22"/>
          <w:szCs w:val="22"/>
        </w:rPr>
        <w:t xml:space="preserve"> trên báo cáo tài chính, trong khi cơ sở tính thuế </w:t>
      </w:r>
      <w:r w:rsidR="005E06DC" w:rsidRPr="00010F83">
        <w:rPr>
          <w:rFonts w:ascii="Arial" w:hAnsi="Arial" w:cs="Arial"/>
          <w:bCs/>
          <w:sz w:val="22"/>
          <w:szCs w:val="22"/>
        </w:rPr>
        <w:t xml:space="preserve">không đổi </w:t>
      </w:r>
      <w:r w:rsidRPr="00010F83">
        <w:rPr>
          <w:rFonts w:ascii="Arial" w:hAnsi="Arial" w:cs="Arial"/>
          <w:bCs/>
          <w:sz w:val="22"/>
          <w:szCs w:val="22"/>
        </w:rPr>
        <w:t>(xem đoạn 20);</w:t>
      </w:r>
    </w:p>
    <w:p w:rsidR="000B467A" w:rsidRPr="00010F83" w:rsidRDefault="000B467A" w:rsidP="00FE7934">
      <w:pPr>
        <w:pStyle w:val="ListParagraph"/>
        <w:numPr>
          <w:ilvl w:val="0"/>
          <w:numId w:val="11"/>
        </w:numPr>
        <w:autoSpaceDE w:val="0"/>
        <w:autoSpaceDN w:val="0"/>
        <w:adjustRightInd w:val="0"/>
        <w:spacing w:after="120"/>
        <w:ind w:left="1080"/>
        <w:jc w:val="both"/>
        <w:rPr>
          <w:rFonts w:ascii="Arial" w:hAnsi="Arial" w:cs="Arial"/>
          <w:bCs/>
          <w:sz w:val="22"/>
          <w:szCs w:val="22"/>
        </w:rPr>
      </w:pPr>
      <w:proofErr w:type="gramStart"/>
      <w:r w:rsidRPr="00010F83">
        <w:rPr>
          <w:rFonts w:ascii="Arial" w:hAnsi="Arial" w:cs="Arial"/>
          <w:bCs/>
          <w:sz w:val="22"/>
          <w:szCs w:val="22"/>
        </w:rPr>
        <w:t>lợi</w:t>
      </w:r>
      <w:proofErr w:type="gramEnd"/>
      <w:r w:rsidRPr="00010F83">
        <w:rPr>
          <w:rFonts w:ascii="Arial" w:hAnsi="Arial" w:cs="Arial"/>
          <w:bCs/>
          <w:sz w:val="22"/>
          <w:szCs w:val="22"/>
        </w:rPr>
        <w:t xml:space="preserve"> thế thương mại phát sinh từ</w:t>
      </w:r>
      <w:r w:rsidR="00061AF8" w:rsidRPr="00010F83">
        <w:rPr>
          <w:rFonts w:ascii="Arial" w:hAnsi="Arial" w:cs="Arial"/>
          <w:bCs/>
          <w:sz w:val="22"/>
          <w:szCs w:val="22"/>
        </w:rPr>
        <w:t xml:space="preserve"> một giao dịch</w:t>
      </w:r>
      <w:r w:rsidRPr="00010F83">
        <w:rPr>
          <w:rFonts w:ascii="Arial" w:hAnsi="Arial" w:cs="Arial"/>
          <w:bCs/>
          <w:sz w:val="22"/>
          <w:szCs w:val="22"/>
        </w:rPr>
        <w:t xml:space="preserve"> hợp nhất kinh doanh (xem đoạn 21).</w:t>
      </w:r>
    </w:p>
    <w:p w:rsidR="000B467A" w:rsidRPr="00010F83" w:rsidRDefault="000B467A" w:rsidP="00FE7934">
      <w:pPr>
        <w:pStyle w:val="ListParagraph"/>
        <w:numPr>
          <w:ilvl w:val="0"/>
          <w:numId w:val="11"/>
        </w:numPr>
        <w:autoSpaceDE w:val="0"/>
        <w:autoSpaceDN w:val="0"/>
        <w:adjustRightInd w:val="0"/>
        <w:spacing w:after="120"/>
        <w:ind w:left="1080"/>
        <w:jc w:val="both"/>
        <w:rPr>
          <w:rFonts w:ascii="Arial" w:hAnsi="Arial" w:cs="Arial"/>
          <w:bCs/>
          <w:sz w:val="22"/>
          <w:szCs w:val="22"/>
        </w:rPr>
      </w:pPr>
      <w:r w:rsidRPr="00010F83">
        <w:rPr>
          <w:rFonts w:ascii="Arial" w:hAnsi="Arial" w:cs="Arial"/>
          <w:bCs/>
          <w:sz w:val="22"/>
          <w:szCs w:val="22"/>
        </w:rPr>
        <w:t xml:space="preserve">cơ sở tính thuế của tài sản và nợ phải trả </w:t>
      </w:r>
      <w:r w:rsidR="00061AF8" w:rsidRPr="00010F83">
        <w:rPr>
          <w:rFonts w:ascii="Arial" w:hAnsi="Arial" w:cs="Arial"/>
          <w:bCs/>
          <w:sz w:val="22"/>
          <w:szCs w:val="22"/>
        </w:rPr>
        <w:t xml:space="preserve">khác với giá trị ghi sổ ngay tại thời điểm </w:t>
      </w:r>
      <w:r w:rsidRPr="00010F83">
        <w:rPr>
          <w:rFonts w:ascii="Arial" w:hAnsi="Arial" w:cs="Arial"/>
          <w:bCs/>
          <w:sz w:val="22"/>
          <w:szCs w:val="22"/>
        </w:rPr>
        <w:t>ghi nhận ban đầu, ví dụ</w:t>
      </w:r>
      <w:r w:rsidR="00061AF8" w:rsidRPr="00010F83">
        <w:rPr>
          <w:rFonts w:ascii="Arial" w:hAnsi="Arial" w:cs="Arial"/>
          <w:bCs/>
          <w:sz w:val="22"/>
          <w:szCs w:val="22"/>
        </w:rPr>
        <w:t xml:space="preserve"> tài sản có được từ một khoản </w:t>
      </w:r>
      <w:r w:rsidR="004267A9" w:rsidRPr="00010F83">
        <w:rPr>
          <w:rFonts w:ascii="Arial" w:hAnsi="Arial" w:cs="Arial"/>
          <w:bCs/>
          <w:sz w:val="22"/>
          <w:szCs w:val="22"/>
        </w:rPr>
        <w:t>trợ cấp của chính phủ</w:t>
      </w:r>
      <w:r w:rsidR="00D44853" w:rsidRPr="00010F83">
        <w:rPr>
          <w:rFonts w:ascii="Arial" w:hAnsi="Arial" w:cs="Arial"/>
          <w:bCs/>
          <w:sz w:val="22"/>
          <w:szCs w:val="22"/>
        </w:rPr>
        <w:t xml:space="preserve"> và khoản trợ cấp này</w:t>
      </w:r>
      <w:r w:rsidRPr="00010F83">
        <w:rPr>
          <w:rFonts w:ascii="Arial" w:hAnsi="Arial" w:cs="Arial"/>
          <w:bCs/>
          <w:sz w:val="22"/>
          <w:szCs w:val="22"/>
        </w:rPr>
        <w:t xml:space="preserve"> không chịu thuế (xem đoạn 22 và 23); hoặc</w:t>
      </w:r>
    </w:p>
    <w:p w:rsidR="000E2F99" w:rsidRPr="00010F83" w:rsidRDefault="004267A9" w:rsidP="00FE7934">
      <w:pPr>
        <w:pStyle w:val="ListParagraph"/>
        <w:numPr>
          <w:ilvl w:val="0"/>
          <w:numId w:val="11"/>
        </w:numPr>
        <w:autoSpaceDE w:val="0"/>
        <w:autoSpaceDN w:val="0"/>
        <w:adjustRightInd w:val="0"/>
        <w:spacing w:after="120"/>
        <w:ind w:left="1080"/>
        <w:jc w:val="both"/>
        <w:rPr>
          <w:rFonts w:ascii="Arial" w:hAnsi="Arial" w:cs="Arial"/>
          <w:bCs/>
          <w:sz w:val="22"/>
          <w:szCs w:val="22"/>
        </w:rPr>
      </w:pPr>
      <w:proofErr w:type="gramStart"/>
      <w:r w:rsidRPr="00010F83">
        <w:rPr>
          <w:rFonts w:ascii="Arial" w:hAnsi="Arial" w:cs="Arial"/>
          <w:bCs/>
          <w:sz w:val="22"/>
          <w:szCs w:val="22"/>
        </w:rPr>
        <w:t>giá</w:t>
      </w:r>
      <w:proofErr w:type="gramEnd"/>
      <w:r w:rsidRPr="00010F83">
        <w:rPr>
          <w:rFonts w:ascii="Arial" w:hAnsi="Arial" w:cs="Arial"/>
          <w:bCs/>
          <w:sz w:val="22"/>
          <w:szCs w:val="22"/>
        </w:rPr>
        <w:t xml:space="preserve"> trị ghi sổ của khoản đầu tư vào các công ty con, chi nhánh, các công ty liên kết, hoặc lợi ích trong các thỏa thuận chung có sự khác biệt với cơ sở tính thuế của các khoản đầu tư hoặc lợi ích này (xem đoạn 38-45).</w:t>
      </w:r>
    </w:p>
    <w:p w:rsidR="00FE7934" w:rsidRPr="00010F83" w:rsidRDefault="00FE7934" w:rsidP="00FE7934">
      <w:pPr>
        <w:pStyle w:val="ListParagraph"/>
        <w:autoSpaceDE w:val="0"/>
        <w:autoSpaceDN w:val="0"/>
        <w:adjustRightInd w:val="0"/>
        <w:spacing w:after="120"/>
        <w:ind w:left="1080"/>
        <w:jc w:val="both"/>
        <w:rPr>
          <w:rFonts w:ascii="Arial" w:hAnsi="Arial" w:cs="Arial"/>
          <w:bCs/>
          <w:sz w:val="22"/>
          <w:szCs w:val="22"/>
        </w:rPr>
      </w:pPr>
    </w:p>
    <w:p w:rsidR="004267A9" w:rsidRPr="00010F83" w:rsidRDefault="004267A9" w:rsidP="00590853">
      <w:pPr>
        <w:autoSpaceDE w:val="0"/>
        <w:autoSpaceDN w:val="0"/>
        <w:adjustRightInd w:val="0"/>
        <w:spacing w:after="120" w:line="240" w:lineRule="auto"/>
        <w:ind w:left="720"/>
        <w:jc w:val="both"/>
        <w:rPr>
          <w:rFonts w:ascii="Arial" w:hAnsi="Arial" w:cs="Arial"/>
          <w:b/>
          <w:bCs/>
        </w:rPr>
      </w:pPr>
      <w:r w:rsidRPr="00010F83">
        <w:rPr>
          <w:rFonts w:ascii="Arial" w:hAnsi="Arial" w:cs="Arial"/>
          <w:b/>
          <w:bCs/>
        </w:rPr>
        <w:t>Hợp nhất kinh doanh</w:t>
      </w:r>
    </w:p>
    <w:p w:rsidR="00C530A3" w:rsidRPr="00010F83" w:rsidRDefault="00C530A3" w:rsidP="00FE7934">
      <w:pPr>
        <w:autoSpaceDE w:val="0"/>
        <w:autoSpaceDN w:val="0"/>
        <w:adjustRightInd w:val="0"/>
        <w:spacing w:after="120" w:line="240" w:lineRule="auto"/>
        <w:ind w:left="720" w:hanging="720"/>
        <w:jc w:val="both"/>
        <w:rPr>
          <w:rFonts w:ascii="Arial" w:hAnsi="Arial" w:cs="Arial"/>
          <w:bCs/>
        </w:rPr>
      </w:pPr>
      <w:r w:rsidRPr="00010F83">
        <w:rPr>
          <w:rFonts w:ascii="Arial" w:hAnsi="Arial" w:cs="Arial"/>
          <w:bCs/>
        </w:rPr>
        <w:t>19.</w:t>
      </w:r>
      <w:r w:rsidRPr="00010F83">
        <w:rPr>
          <w:rFonts w:ascii="Arial" w:hAnsi="Arial" w:cs="Arial"/>
          <w:bCs/>
        </w:rPr>
        <w:tab/>
      </w:r>
      <w:r w:rsidR="00061AF8" w:rsidRPr="00010F83">
        <w:rPr>
          <w:rFonts w:ascii="Arial" w:hAnsi="Arial" w:cs="Arial"/>
          <w:bCs/>
        </w:rPr>
        <w:t>Trừ một số</w:t>
      </w:r>
      <w:r w:rsidR="004267A9" w:rsidRPr="00010F83">
        <w:rPr>
          <w:rFonts w:ascii="Arial" w:hAnsi="Arial" w:cs="Arial"/>
          <w:bCs/>
        </w:rPr>
        <w:t xml:space="preserve"> ít</w:t>
      </w:r>
      <w:r w:rsidR="00201D3A" w:rsidRPr="00010F83">
        <w:rPr>
          <w:rFonts w:ascii="Arial" w:hAnsi="Arial" w:cs="Arial"/>
          <w:bCs/>
        </w:rPr>
        <w:t xml:space="preserve"> trường hợp</w:t>
      </w:r>
      <w:r w:rsidR="004267A9" w:rsidRPr="00010F83">
        <w:rPr>
          <w:rFonts w:ascii="Arial" w:hAnsi="Arial" w:cs="Arial"/>
          <w:bCs/>
        </w:rPr>
        <w:t xml:space="preserve"> ngoại lệ</w:t>
      </w:r>
      <w:r w:rsidR="00061AF8" w:rsidRPr="00010F83">
        <w:rPr>
          <w:rFonts w:ascii="Arial" w:hAnsi="Arial" w:cs="Arial"/>
          <w:bCs/>
        </w:rPr>
        <w:t>,</w:t>
      </w:r>
      <w:r w:rsidR="004267A9" w:rsidRPr="00010F83">
        <w:rPr>
          <w:rFonts w:ascii="Arial" w:hAnsi="Arial" w:cs="Arial"/>
          <w:bCs/>
        </w:rPr>
        <w:t xml:space="preserve"> tài sản </w:t>
      </w:r>
      <w:r w:rsidR="00061AF8" w:rsidRPr="00010F83">
        <w:rPr>
          <w:rFonts w:ascii="Arial" w:hAnsi="Arial" w:cs="Arial"/>
          <w:bCs/>
        </w:rPr>
        <w:t xml:space="preserve">và nợ phải trả mua về </w:t>
      </w:r>
      <w:r w:rsidR="00D44853" w:rsidRPr="00010F83">
        <w:rPr>
          <w:rFonts w:ascii="Arial" w:hAnsi="Arial" w:cs="Arial"/>
          <w:bCs/>
        </w:rPr>
        <w:t xml:space="preserve">trong </w:t>
      </w:r>
      <w:r w:rsidR="00061AF8" w:rsidRPr="00010F83">
        <w:rPr>
          <w:rFonts w:ascii="Arial" w:hAnsi="Arial" w:cs="Arial"/>
          <w:bCs/>
        </w:rPr>
        <w:t xml:space="preserve">một </w:t>
      </w:r>
      <w:r w:rsidR="004267A9" w:rsidRPr="00010F83">
        <w:rPr>
          <w:rFonts w:ascii="Arial" w:hAnsi="Arial" w:cs="Arial"/>
          <w:bCs/>
        </w:rPr>
        <w:t xml:space="preserve">giao dịch hợp nhất kinh doanh được ghi nhận </w:t>
      </w:r>
      <w:proofErr w:type="gramStart"/>
      <w:r w:rsidR="004267A9" w:rsidRPr="00010F83">
        <w:rPr>
          <w:rFonts w:ascii="Arial" w:hAnsi="Arial" w:cs="Arial"/>
          <w:bCs/>
        </w:rPr>
        <w:t>theo</w:t>
      </w:r>
      <w:proofErr w:type="gramEnd"/>
      <w:r w:rsidR="004267A9" w:rsidRPr="00010F83">
        <w:rPr>
          <w:rFonts w:ascii="Arial" w:hAnsi="Arial" w:cs="Arial"/>
          <w:bCs/>
        </w:rPr>
        <w:t xml:space="preserve"> giá trị hợp lý tại ngày mua. </w:t>
      </w:r>
      <w:proofErr w:type="gramStart"/>
      <w:r w:rsidR="004267A9" w:rsidRPr="00010F83">
        <w:rPr>
          <w:rFonts w:ascii="Arial" w:hAnsi="Arial" w:cs="Arial"/>
          <w:bCs/>
        </w:rPr>
        <w:t xml:space="preserve">Chênh lệch tạm thời phát sinh khi cơ sở tính thuế của những tài sản </w:t>
      </w:r>
      <w:r w:rsidR="00061AF8" w:rsidRPr="00010F83">
        <w:rPr>
          <w:rFonts w:ascii="Arial" w:hAnsi="Arial" w:cs="Arial"/>
          <w:bCs/>
        </w:rPr>
        <w:t xml:space="preserve">và </w:t>
      </w:r>
      <w:r w:rsidR="004267A9" w:rsidRPr="00010F83">
        <w:rPr>
          <w:rFonts w:ascii="Arial" w:hAnsi="Arial" w:cs="Arial"/>
          <w:bCs/>
        </w:rPr>
        <w:t xml:space="preserve">nợ phải trả này </w:t>
      </w:r>
      <w:r w:rsidR="00D44853" w:rsidRPr="00010F83">
        <w:rPr>
          <w:rFonts w:ascii="Arial" w:hAnsi="Arial" w:cs="Arial"/>
          <w:bCs/>
        </w:rPr>
        <w:t xml:space="preserve">không thay đổi </w:t>
      </w:r>
      <w:r w:rsidR="00061AF8" w:rsidRPr="00010F83">
        <w:rPr>
          <w:rFonts w:ascii="Arial" w:hAnsi="Arial" w:cs="Arial"/>
          <w:bCs/>
        </w:rPr>
        <w:t>hoặc được điều chỉnh khác với giá trị hợp lý</w:t>
      </w:r>
      <w:r w:rsidR="004267A9" w:rsidRPr="00010F83">
        <w:rPr>
          <w:rFonts w:ascii="Arial" w:hAnsi="Arial" w:cs="Arial"/>
          <w:bCs/>
        </w:rPr>
        <w:t>.</w:t>
      </w:r>
      <w:proofErr w:type="gramEnd"/>
      <w:r w:rsidR="004267A9" w:rsidRPr="00010F83">
        <w:rPr>
          <w:rFonts w:ascii="Arial" w:hAnsi="Arial" w:cs="Arial"/>
          <w:bCs/>
        </w:rPr>
        <w:t xml:space="preserve"> Ví dụ, giá trị ghi sổ của tài sản tăng lên </w:t>
      </w:r>
      <w:r w:rsidR="00D44853" w:rsidRPr="00010F83">
        <w:rPr>
          <w:rFonts w:ascii="Arial" w:hAnsi="Arial" w:cs="Arial"/>
          <w:bCs/>
        </w:rPr>
        <w:t>bằng với</w:t>
      </w:r>
      <w:r w:rsidR="004267A9" w:rsidRPr="00010F83">
        <w:rPr>
          <w:rFonts w:ascii="Arial" w:hAnsi="Arial" w:cs="Arial"/>
          <w:bCs/>
        </w:rPr>
        <w:t xml:space="preserve"> giá trị hợp lý nhưng cơ sở tính thuế của tài sản vẫn giữ ở </w:t>
      </w:r>
      <w:r w:rsidR="00D44853" w:rsidRPr="00010F83">
        <w:rPr>
          <w:rFonts w:ascii="Arial" w:hAnsi="Arial" w:cs="Arial"/>
          <w:bCs/>
        </w:rPr>
        <w:t>nguyên</w:t>
      </w:r>
      <w:r w:rsidR="004267A9" w:rsidRPr="00010F83">
        <w:rPr>
          <w:rFonts w:ascii="Arial" w:hAnsi="Arial" w:cs="Arial"/>
          <w:bCs/>
        </w:rPr>
        <w:t xml:space="preserve"> giá gốc </w:t>
      </w:r>
      <w:r w:rsidR="00061AF8" w:rsidRPr="00010F83">
        <w:rPr>
          <w:rFonts w:ascii="Arial" w:hAnsi="Arial" w:cs="Arial"/>
          <w:bCs/>
        </w:rPr>
        <w:t>mà đơn vị sở hữu trước đó đã ghi nhận; trường hợp này sẽ có</w:t>
      </w:r>
      <w:r w:rsidR="004267A9" w:rsidRPr="00010F83">
        <w:rPr>
          <w:rFonts w:ascii="Arial" w:hAnsi="Arial" w:cs="Arial"/>
          <w:bCs/>
        </w:rPr>
        <w:t xml:space="preserve"> chênh lệch tạm thời </w:t>
      </w:r>
      <w:r w:rsidR="00D44853" w:rsidRPr="00010F83">
        <w:rPr>
          <w:rFonts w:ascii="Arial" w:hAnsi="Arial" w:cs="Arial"/>
          <w:bCs/>
        </w:rPr>
        <w:t xml:space="preserve">phải </w:t>
      </w:r>
      <w:r w:rsidR="004267A9" w:rsidRPr="00010F83">
        <w:rPr>
          <w:rFonts w:ascii="Arial" w:hAnsi="Arial" w:cs="Arial"/>
          <w:bCs/>
        </w:rPr>
        <w:t xml:space="preserve">chịu thuế dẫn đến </w:t>
      </w:r>
      <w:r w:rsidR="00061AF8" w:rsidRPr="00010F83">
        <w:rPr>
          <w:rFonts w:ascii="Arial" w:hAnsi="Arial" w:cs="Arial"/>
          <w:bCs/>
        </w:rPr>
        <w:t xml:space="preserve">việc </w:t>
      </w:r>
      <w:r w:rsidR="00EC3F50" w:rsidRPr="00010F83">
        <w:rPr>
          <w:rFonts w:ascii="Arial" w:hAnsi="Arial" w:cs="Arial"/>
          <w:bCs/>
        </w:rPr>
        <w:t>phát sinh một khoản thuế thu nhập</w:t>
      </w:r>
      <w:r w:rsidR="00EC3F50" w:rsidRPr="00010F83" w:rsidDel="00EC3F50">
        <w:rPr>
          <w:rFonts w:ascii="Arial" w:hAnsi="Arial" w:cs="Arial"/>
          <w:bCs/>
        </w:rPr>
        <w:t xml:space="preserve"> </w:t>
      </w:r>
      <w:r w:rsidR="004267A9" w:rsidRPr="00010F83">
        <w:rPr>
          <w:rFonts w:ascii="Arial" w:hAnsi="Arial" w:cs="Arial"/>
          <w:bCs/>
        </w:rPr>
        <w:t xml:space="preserve">hoãn lại phải trả. Khoản </w:t>
      </w:r>
      <w:r w:rsidR="00731917" w:rsidRPr="00010F83">
        <w:rPr>
          <w:rFonts w:ascii="Arial" w:hAnsi="Arial" w:cs="Arial"/>
          <w:bCs/>
        </w:rPr>
        <w:t xml:space="preserve">thuế </w:t>
      </w:r>
      <w:proofErr w:type="gramStart"/>
      <w:r w:rsidR="00EC3F50" w:rsidRPr="00010F83">
        <w:rPr>
          <w:rFonts w:ascii="Arial" w:hAnsi="Arial" w:cs="Arial"/>
          <w:bCs/>
        </w:rPr>
        <w:t>thu</w:t>
      </w:r>
      <w:proofErr w:type="gramEnd"/>
      <w:r w:rsidR="00EC3F50" w:rsidRPr="00010F83">
        <w:rPr>
          <w:rFonts w:ascii="Arial" w:hAnsi="Arial" w:cs="Arial"/>
          <w:bCs/>
        </w:rPr>
        <w:t xml:space="preserve"> nhập </w:t>
      </w:r>
      <w:r w:rsidR="004267A9" w:rsidRPr="00010F83">
        <w:rPr>
          <w:rFonts w:ascii="Arial" w:hAnsi="Arial" w:cs="Arial"/>
          <w:bCs/>
        </w:rPr>
        <w:t xml:space="preserve">hoãn lại phải trả được tạo ra này sẽ </w:t>
      </w:r>
      <w:r w:rsidR="00EC3F50" w:rsidRPr="00010F83">
        <w:rPr>
          <w:rFonts w:ascii="Arial" w:hAnsi="Arial" w:cs="Arial"/>
          <w:bCs/>
        </w:rPr>
        <w:t xml:space="preserve">có </w:t>
      </w:r>
      <w:r w:rsidR="004267A9" w:rsidRPr="00010F83">
        <w:rPr>
          <w:rFonts w:ascii="Arial" w:hAnsi="Arial" w:cs="Arial"/>
          <w:bCs/>
        </w:rPr>
        <w:t>ảnh hưởng đến lợi thế thương mại (xem đoạn 66).</w:t>
      </w:r>
    </w:p>
    <w:p w:rsidR="00FE7934" w:rsidRPr="00010F83" w:rsidRDefault="00FE7934" w:rsidP="00FE7934">
      <w:pPr>
        <w:autoSpaceDE w:val="0"/>
        <w:autoSpaceDN w:val="0"/>
        <w:adjustRightInd w:val="0"/>
        <w:spacing w:after="120" w:line="240" w:lineRule="auto"/>
        <w:ind w:left="720" w:hanging="720"/>
        <w:jc w:val="both"/>
        <w:rPr>
          <w:rFonts w:ascii="Arial" w:hAnsi="Arial" w:cs="Arial"/>
          <w:bCs/>
        </w:rPr>
      </w:pPr>
    </w:p>
    <w:p w:rsidR="00C530A3" w:rsidRPr="00010F83" w:rsidRDefault="004267A9" w:rsidP="00590853">
      <w:pPr>
        <w:autoSpaceDE w:val="0"/>
        <w:autoSpaceDN w:val="0"/>
        <w:adjustRightInd w:val="0"/>
        <w:spacing w:after="120" w:line="240" w:lineRule="auto"/>
        <w:ind w:firstLine="720"/>
        <w:jc w:val="both"/>
        <w:rPr>
          <w:rFonts w:ascii="Arial" w:hAnsi="Arial" w:cs="Arial"/>
          <w:b/>
          <w:bCs/>
        </w:rPr>
      </w:pPr>
      <w:r w:rsidRPr="00010F83">
        <w:rPr>
          <w:rFonts w:ascii="Arial" w:hAnsi="Arial" w:cs="Arial"/>
          <w:b/>
          <w:bCs/>
        </w:rPr>
        <w:t xml:space="preserve">Tài sản ghi nhận </w:t>
      </w:r>
      <w:proofErr w:type="gramStart"/>
      <w:r w:rsidRPr="00010F83">
        <w:rPr>
          <w:rFonts w:ascii="Arial" w:hAnsi="Arial" w:cs="Arial"/>
          <w:b/>
          <w:bCs/>
        </w:rPr>
        <w:t>theo</w:t>
      </w:r>
      <w:proofErr w:type="gramEnd"/>
      <w:r w:rsidRPr="00010F83">
        <w:rPr>
          <w:rFonts w:ascii="Arial" w:hAnsi="Arial" w:cs="Arial"/>
          <w:b/>
          <w:bCs/>
        </w:rPr>
        <w:t xml:space="preserve"> giá trị hợp lý</w:t>
      </w:r>
    </w:p>
    <w:p w:rsidR="00C530A3" w:rsidRPr="00010F83" w:rsidRDefault="00C530A3" w:rsidP="00FE7934">
      <w:pPr>
        <w:autoSpaceDE w:val="0"/>
        <w:autoSpaceDN w:val="0"/>
        <w:adjustRightInd w:val="0"/>
        <w:spacing w:after="120" w:line="240" w:lineRule="auto"/>
        <w:ind w:left="720" w:hanging="720"/>
        <w:jc w:val="both"/>
        <w:rPr>
          <w:rFonts w:ascii="Arial" w:hAnsi="Arial" w:cs="Arial"/>
          <w:bCs/>
        </w:rPr>
      </w:pPr>
      <w:r w:rsidRPr="00010F83">
        <w:rPr>
          <w:rFonts w:ascii="Arial" w:hAnsi="Arial" w:cs="Arial"/>
          <w:bCs/>
        </w:rPr>
        <w:t>20.</w:t>
      </w:r>
      <w:r w:rsidRPr="00010F83">
        <w:rPr>
          <w:rFonts w:ascii="Arial" w:hAnsi="Arial" w:cs="Arial"/>
          <w:bCs/>
        </w:rPr>
        <w:tab/>
      </w:r>
      <w:r w:rsidR="004267A9" w:rsidRPr="00010F83">
        <w:rPr>
          <w:rFonts w:ascii="Arial" w:hAnsi="Arial" w:cs="Arial"/>
          <w:bCs/>
        </w:rPr>
        <w:t xml:space="preserve">IFRSs cho phép hoặc </w:t>
      </w:r>
      <w:r w:rsidR="004A5FFB" w:rsidRPr="00010F83">
        <w:rPr>
          <w:rFonts w:ascii="Arial" w:hAnsi="Arial" w:cs="Arial"/>
          <w:bCs/>
        </w:rPr>
        <w:t>bắt buộc</w:t>
      </w:r>
      <w:r w:rsidR="004267A9" w:rsidRPr="00010F83">
        <w:rPr>
          <w:rFonts w:ascii="Arial" w:hAnsi="Arial" w:cs="Arial"/>
          <w:bCs/>
        </w:rPr>
        <w:t xml:space="preserve"> </w:t>
      </w:r>
      <w:r w:rsidR="004A5FFB" w:rsidRPr="00010F83">
        <w:rPr>
          <w:rFonts w:ascii="Arial" w:hAnsi="Arial" w:cs="Arial"/>
          <w:bCs/>
        </w:rPr>
        <w:t xml:space="preserve">một số </w:t>
      </w:r>
      <w:r w:rsidR="004267A9" w:rsidRPr="00010F83">
        <w:rPr>
          <w:rFonts w:ascii="Arial" w:hAnsi="Arial" w:cs="Arial"/>
          <w:bCs/>
        </w:rPr>
        <w:t xml:space="preserve">tài sản ghi nhận theo giá trị hợp lý hoặc </w:t>
      </w:r>
      <w:r w:rsidR="004A5FFB" w:rsidRPr="00010F83">
        <w:rPr>
          <w:rFonts w:ascii="Arial" w:hAnsi="Arial" w:cs="Arial"/>
          <w:bCs/>
        </w:rPr>
        <w:t>giá trị</w:t>
      </w:r>
      <w:r w:rsidR="004267A9" w:rsidRPr="00010F83">
        <w:rPr>
          <w:rFonts w:ascii="Arial" w:hAnsi="Arial" w:cs="Arial"/>
          <w:bCs/>
        </w:rPr>
        <w:t xml:space="preserve"> đánh giá lại (ví dụ, chuẩn mực IAS 16 </w:t>
      </w:r>
      <w:r w:rsidR="004267A9" w:rsidRPr="00010F83">
        <w:rPr>
          <w:rFonts w:ascii="Arial" w:hAnsi="Arial" w:cs="Arial"/>
          <w:bCs/>
          <w:i/>
        </w:rPr>
        <w:t>Bất động sản, nhà xưởng và thiết bị</w:t>
      </w:r>
      <w:r w:rsidR="004267A9" w:rsidRPr="00010F83">
        <w:rPr>
          <w:rFonts w:ascii="Arial" w:hAnsi="Arial" w:cs="Arial"/>
          <w:bCs/>
        </w:rPr>
        <w:t xml:space="preserve">, IAS 38 </w:t>
      </w:r>
      <w:r w:rsidR="004267A9" w:rsidRPr="00010F83">
        <w:rPr>
          <w:rFonts w:ascii="Arial" w:hAnsi="Arial" w:cs="Arial"/>
          <w:bCs/>
          <w:i/>
        </w:rPr>
        <w:t>Tài sản vô hình</w:t>
      </w:r>
      <w:r w:rsidR="004A5FFB" w:rsidRPr="00010F83">
        <w:rPr>
          <w:rFonts w:ascii="Arial" w:hAnsi="Arial" w:cs="Arial"/>
          <w:bCs/>
        </w:rPr>
        <w:t>,</w:t>
      </w:r>
      <w:r w:rsidR="004267A9" w:rsidRPr="00010F83">
        <w:rPr>
          <w:rFonts w:ascii="Arial" w:hAnsi="Arial" w:cs="Arial"/>
          <w:bCs/>
        </w:rPr>
        <w:t xml:space="preserve"> IAS 40 </w:t>
      </w:r>
      <w:r w:rsidR="004267A9" w:rsidRPr="00010F83">
        <w:rPr>
          <w:rFonts w:ascii="Arial" w:hAnsi="Arial" w:cs="Arial"/>
          <w:bCs/>
          <w:i/>
        </w:rPr>
        <w:t>Bất động sản đầu tư</w:t>
      </w:r>
      <w:r w:rsidR="004A5FFB" w:rsidRPr="00010F83">
        <w:rPr>
          <w:rFonts w:ascii="Arial" w:hAnsi="Arial" w:cs="Arial"/>
          <w:bCs/>
        </w:rPr>
        <w:t>, IFRS</w:t>
      </w:r>
      <w:r w:rsidR="00201D3A" w:rsidRPr="00010F83">
        <w:rPr>
          <w:rFonts w:ascii="Arial" w:hAnsi="Arial" w:cs="Arial"/>
          <w:bCs/>
        </w:rPr>
        <w:t xml:space="preserve"> </w:t>
      </w:r>
      <w:r w:rsidR="004A5FFB" w:rsidRPr="00010F83">
        <w:rPr>
          <w:rFonts w:ascii="Arial" w:hAnsi="Arial" w:cs="Arial"/>
          <w:bCs/>
        </w:rPr>
        <w:t xml:space="preserve">9 </w:t>
      </w:r>
      <w:r w:rsidR="004A5FFB" w:rsidRPr="00010F83">
        <w:rPr>
          <w:rFonts w:ascii="Arial" w:hAnsi="Arial" w:cs="Arial"/>
          <w:bCs/>
          <w:i/>
        </w:rPr>
        <w:t>Công cụ tài chính</w:t>
      </w:r>
      <w:r w:rsidR="004A5FFB" w:rsidRPr="00010F83">
        <w:rPr>
          <w:rFonts w:ascii="Arial" w:hAnsi="Arial" w:cs="Arial"/>
          <w:bCs/>
        </w:rPr>
        <w:t>, và IFRS</w:t>
      </w:r>
      <w:r w:rsidR="00201D3A" w:rsidRPr="00010F83">
        <w:rPr>
          <w:rFonts w:ascii="Arial" w:hAnsi="Arial" w:cs="Arial"/>
          <w:bCs/>
        </w:rPr>
        <w:t xml:space="preserve"> </w:t>
      </w:r>
      <w:r w:rsidR="004A5FFB" w:rsidRPr="00010F83">
        <w:rPr>
          <w:rFonts w:ascii="Arial" w:hAnsi="Arial" w:cs="Arial"/>
          <w:bCs/>
        </w:rPr>
        <w:t xml:space="preserve">16 </w:t>
      </w:r>
      <w:r w:rsidR="004A5FFB" w:rsidRPr="00010F83">
        <w:rPr>
          <w:rFonts w:ascii="Arial" w:hAnsi="Arial" w:cs="Arial"/>
          <w:bCs/>
          <w:i/>
        </w:rPr>
        <w:t>Hợp đồng thuê</w:t>
      </w:r>
      <w:r w:rsidR="004267A9" w:rsidRPr="00010F83">
        <w:rPr>
          <w:rFonts w:ascii="Arial" w:hAnsi="Arial" w:cs="Arial"/>
          <w:bCs/>
        </w:rPr>
        <w:t xml:space="preserve">). Ở một số khu vực, việc đánh giá lại một tài sản </w:t>
      </w:r>
      <w:proofErr w:type="gramStart"/>
      <w:r w:rsidR="004267A9" w:rsidRPr="00010F83">
        <w:rPr>
          <w:rFonts w:ascii="Arial" w:hAnsi="Arial" w:cs="Arial"/>
          <w:bCs/>
        </w:rPr>
        <w:t>theo</w:t>
      </w:r>
      <w:proofErr w:type="gramEnd"/>
      <w:r w:rsidR="004267A9" w:rsidRPr="00010F83">
        <w:rPr>
          <w:rFonts w:ascii="Arial" w:hAnsi="Arial" w:cs="Arial"/>
          <w:bCs/>
        </w:rPr>
        <w:t xml:space="preserve"> giá trị hợp lý sẽ ảnh hưởng đến thu nhập chịu thuế (lỗ tính thuế) </w:t>
      </w:r>
      <w:r w:rsidR="00842494" w:rsidRPr="00010F83">
        <w:rPr>
          <w:rFonts w:ascii="Arial" w:hAnsi="Arial" w:cs="Arial"/>
          <w:bCs/>
        </w:rPr>
        <w:t>ở ngay</w:t>
      </w:r>
      <w:r w:rsidR="004267A9" w:rsidRPr="00010F83">
        <w:rPr>
          <w:rFonts w:ascii="Arial" w:hAnsi="Arial" w:cs="Arial"/>
          <w:bCs/>
        </w:rPr>
        <w:t xml:space="preserve"> kỳ </w:t>
      </w:r>
      <w:r w:rsidR="00842494" w:rsidRPr="00010F83">
        <w:rPr>
          <w:rFonts w:ascii="Arial" w:hAnsi="Arial" w:cs="Arial"/>
          <w:bCs/>
        </w:rPr>
        <w:t>thực hiện đánh giá</w:t>
      </w:r>
      <w:r w:rsidR="004267A9" w:rsidRPr="00010F83">
        <w:rPr>
          <w:rFonts w:ascii="Arial" w:hAnsi="Arial" w:cs="Arial"/>
          <w:bCs/>
        </w:rPr>
        <w:t xml:space="preserve">. </w:t>
      </w:r>
      <w:r w:rsidR="000415DA" w:rsidRPr="00010F83">
        <w:rPr>
          <w:rFonts w:ascii="Arial" w:hAnsi="Arial" w:cs="Arial"/>
          <w:bCs/>
        </w:rPr>
        <w:t>Trong trường hợp này</w:t>
      </w:r>
      <w:r w:rsidR="004267A9" w:rsidRPr="00010F83">
        <w:rPr>
          <w:rFonts w:ascii="Arial" w:hAnsi="Arial" w:cs="Arial"/>
          <w:bCs/>
        </w:rPr>
        <w:t xml:space="preserve">, cơ sở tính thuế của tài sản </w:t>
      </w:r>
      <w:r w:rsidR="000415DA" w:rsidRPr="00010F83">
        <w:rPr>
          <w:rFonts w:ascii="Arial" w:hAnsi="Arial" w:cs="Arial"/>
          <w:bCs/>
        </w:rPr>
        <w:t xml:space="preserve">cũng </w:t>
      </w:r>
      <w:r w:rsidR="004267A9" w:rsidRPr="00010F83">
        <w:rPr>
          <w:rFonts w:ascii="Arial" w:hAnsi="Arial" w:cs="Arial"/>
          <w:bCs/>
        </w:rPr>
        <w:t xml:space="preserve">sẽ bị điều chỉnh </w:t>
      </w:r>
      <w:proofErr w:type="gramStart"/>
      <w:r w:rsidR="000415DA" w:rsidRPr="00010F83">
        <w:rPr>
          <w:rFonts w:ascii="Arial" w:hAnsi="Arial" w:cs="Arial"/>
          <w:bCs/>
        </w:rPr>
        <w:t>theo</w:t>
      </w:r>
      <w:proofErr w:type="gramEnd"/>
      <w:r w:rsidR="000415DA" w:rsidRPr="00010F83">
        <w:rPr>
          <w:rFonts w:ascii="Arial" w:hAnsi="Arial" w:cs="Arial"/>
          <w:bCs/>
        </w:rPr>
        <w:t xml:space="preserve"> </w:t>
      </w:r>
      <w:r w:rsidR="004267A9" w:rsidRPr="00010F83">
        <w:rPr>
          <w:rFonts w:ascii="Arial" w:hAnsi="Arial" w:cs="Arial"/>
          <w:bCs/>
        </w:rPr>
        <w:t xml:space="preserve">và không </w:t>
      </w:r>
      <w:r w:rsidR="000415DA" w:rsidRPr="00010F83">
        <w:rPr>
          <w:rFonts w:ascii="Arial" w:hAnsi="Arial" w:cs="Arial"/>
          <w:bCs/>
        </w:rPr>
        <w:t>phát sinh</w:t>
      </w:r>
      <w:r w:rsidR="004267A9" w:rsidRPr="00010F83">
        <w:rPr>
          <w:rFonts w:ascii="Arial" w:hAnsi="Arial" w:cs="Arial"/>
          <w:bCs/>
        </w:rPr>
        <w:t xml:space="preserve"> chênh lệch tạm thời. Ở một số khu vực khác, việc đánh giá lạ</w:t>
      </w:r>
      <w:r w:rsidR="000415DA" w:rsidRPr="00010F83">
        <w:rPr>
          <w:rFonts w:ascii="Arial" w:hAnsi="Arial" w:cs="Arial"/>
          <w:bCs/>
        </w:rPr>
        <w:t>i</w:t>
      </w:r>
      <w:r w:rsidR="004267A9" w:rsidRPr="00010F83">
        <w:rPr>
          <w:rFonts w:ascii="Arial" w:hAnsi="Arial" w:cs="Arial"/>
          <w:bCs/>
        </w:rPr>
        <w:t xml:space="preserve"> tài sản không ảnh hưởng đến </w:t>
      </w:r>
      <w:proofErr w:type="gramStart"/>
      <w:r w:rsidR="004267A9" w:rsidRPr="00010F83">
        <w:rPr>
          <w:rFonts w:ascii="Arial" w:hAnsi="Arial" w:cs="Arial"/>
          <w:bCs/>
        </w:rPr>
        <w:t>thu</w:t>
      </w:r>
      <w:proofErr w:type="gramEnd"/>
      <w:r w:rsidR="004267A9" w:rsidRPr="00010F83">
        <w:rPr>
          <w:rFonts w:ascii="Arial" w:hAnsi="Arial" w:cs="Arial"/>
          <w:bCs/>
        </w:rPr>
        <w:t xml:space="preserve"> nhập chịu thuế trong kỳ đánh giá lại, theo đó, cơ sở tính thuế của tài sản đó </w:t>
      </w:r>
      <w:r w:rsidR="000415DA" w:rsidRPr="00010F83">
        <w:rPr>
          <w:rFonts w:ascii="Arial" w:hAnsi="Arial" w:cs="Arial"/>
          <w:bCs/>
        </w:rPr>
        <w:t>vẫn giữ nguyên</w:t>
      </w:r>
      <w:r w:rsidR="004267A9" w:rsidRPr="00010F83">
        <w:rPr>
          <w:rFonts w:ascii="Arial" w:hAnsi="Arial" w:cs="Arial"/>
          <w:bCs/>
        </w:rPr>
        <w:t xml:space="preserve">. </w:t>
      </w:r>
      <w:r w:rsidR="000415DA" w:rsidRPr="00010F83">
        <w:rPr>
          <w:rFonts w:ascii="Arial" w:hAnsi="Arial" w:cs="Arial"/>
          <w:bCs/>
        </w:rPr>
        <w:t>Việc</w:t>
      </w:r>
      <w:r w:rsidR="004267A9" w:rsidRPr="00010F83">
        <w:rPr>
          <w:rFonts w:ascii="Arial" w:hAnsi="Arial" w:cs="Arial"/>
          <w:bCs/>
        </w:rPr>
        <w:t xml:space="preserve"> thu hồi </w:t>
      </w:r>
      <w:r w:rsidR="000415DA" w:rsidRPr="00010F83">
        <w:rPr>
          <w:rFonts w:ascii="Arial" w:hAnsi="Arial" w:cs="Arial"/>
          <w:bCs/>
        </w:rPr>
        <w:t xml:space="preserve">giá trị ghi sổ của tài sản </w:t>
      </w:r>
      <w:r w:rsidR="004267A9" w:rsidRPr="00010F83">
        <w:rPr>
          <w:rFonts w:ascii="Arial" w:hAnsi="Arial" w:cs="Arial"/>
          <w:bCs/>
        </w:rPr>
        <w:t>trong tương lai</w:t>
      </w:r>
      <w:r w:rsidR="000415DA" w:rsidRPr="00010F83">
        <w:rPr>
          <w:rFonts w:ascii="Arial" w:hAnsi="Arial" w:cs="Arial"/>
          <w:bCs/>
        </w:rPr>
        <w:t xml:space="preserve"> sẽ tạo ra</w:t>
      </w:r>
      <w:r w:rsidR="004267A9" w:rsidRPr="00010F83">
        <w:rPr>
          <w:rFonts w:ascii="Arial" w:hAnsi="Arial" w:cs="Arial"/>
          <w:bCs/>
        </w:rPr>
        <w:t xml:space="preserve"> lợi ích kinh tế chịu thuế</w:t>
      </w:r>
      <w:r w:rsidR="005E06DC" w:rsidRPr="00010F83">
        <w:rPr>
          <w:rFonts w:ascii="Arial" w:hAnsi="Arial" w:cs="Arial"/>
          <w:bCs/>
        </w:rPr>
        <w:t xml:space="preserve"> cho đơn vị</w:t>
      </w:r>
      <w:r w:rsidR="000415DA" w:rsidRPr="00010F83">
        <w:rPr>
          <w:rFonts w:ascii="Arial" w:hAnsi="Arial" w:cs="Arial"/>
          <w:bCs/>
        </w:rPr>
        <w:t>,</w:t>
      </w:r>
      <w:r w:rsidR="005E06DC" w:rsidRPr="00010F83">
        <w:rPr>
          <w:rFonts w:ascii="Arial" w:hAnsi="Arial" w:cs="Arial"/>
          <w:bCs/>
        </w:rPr>
        <w:t xml:space="preserve"> và</w:t>
      </w:r>
      <w:r w:rsidR="000415DA" w:rsidRPr="00010F83">
        <w:rPr>
          <w:rFonts w:ascii="Arial" w:hAnsi="Arial" w:cs="Arial"/>
          <w:bCs/>
        </w:rPr>
        <w:t xml:space="preserve"> khoản chịu thuế này khác với </w:t>
      </w:r>
      <w:r w:rsidR="004267A9" w:rsidRPr="00010F83">
        <w:rPr>
          <w:rFonts w:ascii="Arial" w:hAnsi="Arial" w:cs="Arial"/>
          <w:bCs/>
        </w:rPr>
        <w:t>giá trị được khấu trừ cho mục đích thuế</w:t>
      </w:r>
      <w:r w:rsidR="00EC3F50" w:rsidRPr="00010F83">
        <w:rPr>
          <w:rFonts w:ascii="Arial" w:hAnsi="Arial" w:cs="Arial"/>
          <w:bCs/>
        </w:rPr>
        <w:t xml:space="preserve"> thu nhập</w:t>
      </w:r>
      <w:r w:rsidR="004267A9" w:rsidRPr="00010F83">
        <w:rPr>
          <w:rFonts w:ascii="Arial" w:hAnsi="Arial" w:cs="Arial"/>
          <w:bCs/>
        </w:rPr>
        <w:t xml:space="preserve">. Chênh lệch giữa giá trị ghi sổ của tài sản được đánh giá lại và cơ sở tính thuế của nó là một chênh lệch tạm thời và làm phát sinh một khoản </w:t>
      </w:r>
      <w:r w:rsidR="00731917" w:rsidRPr="00010F83">
        <w:rPr>
          <w:rFonts w:ascii="Arial" w:hAnsi="Arial" w:cs="Arial"/>
          <w:bCs/>
        </w:rPr>
        <w:t xml:space="preserve">thuế </w:t>
      </w:r>
      <w:proofErr w:type="gramStart"/>
      <w:r w:rsidR="00EC3F50" w:rsidRPr="00010F83">
        <w:rPr>
          <w:rFonts w:ascii="Arial" w:hAnsi="Arial" w:cs="Arial"/>
          <w:bCs/>
        </w:rPr>
        <w:t>thu</w:t>
      </w:r>
      <w:proofErr w:type="gramEnd"/>
      <w:r w:rsidR="00EC3F50" w:rsidRPr="00010F83">
        <w:rPr>
          <w:rFonts w:ascii="Arial" w:hAnsi="Arial" w:cs="Arial"/>
          <w:bCs/>
        </w:rPr>
        <w:t xml:space="preserve"> nhập</w:t>
      </w:r>
      <w:r w:rsidR="004267A9" w:rsidRPr="00010F83">
        <w:rPr>
          <w:rFonts w:ascii="Arial" w:hAnsi="Arial" w:cs="Arial"/>
          <w:bCs/>
        </w:rPr>
        <w:t xml:space="preserve"> hoãn lại phải trả hoặc tài sản </w:t>
      </w:r>
      <w:r w:rsidR="00731917" w:rsidRPr="00010F83">
        <w:rPr>
          <w:rFonts w:ascii="Arial" w:hAnsi="Arial" w:cs="Arial"/>
          <w:bCs/>
        </w:rPr>
        <w:t xml:space="preserve">thuế </w:t>
      </w:r>
      <w:r w:rsidR="00EC3F50" w:rsidRPr="00010F83">
        <w:rPr>
          <w:rFonts w:ascii="Arial" w:hAnsi="Arial" w:cs="Arial"/>
          <w:bCs/>
        </w:rPr>
        <w:t xml:space="preserve">thu nhập </w:t>
      </w:r>
      <w:r w:rsidR="004267A9" w:rsidRPr="00010F83">
        <w:rPr>
          <w:rFonts w:ascii="Arial" w:hAnsi="Arial" w:cs="Arial"/>
          <w:bCs/>
        </w:rPr>
        <w:t>hoãn lại. Điều này cũng đúng ngay cả khi:</w:t>
      </w:r>
    </w:p>
    <w:p w:rsidR="004267A9" w:rsidRPr="00010F83" w:rsidRDefault="004267A9" w:rsidP="00FE7934">
      <w:pPr>
        <w:pStyle w:val="ListParagraph"/>
        <w:numPr>
          <w:ilvl w:val="0"/>
          <w:numId w:val="12"/>
        </w:numPr>
        <w:autoSpaceDE w:val="0"/>
        <w:autoSpaceDN w:val="0"/>
        <w:adjustRightInd w:val="0"/>
        <w:spacing w:after="120"/>
        <w:ind w:left="1080"/>
        <w:jc w:val="both"/>
        <w:rPr>
          <w:rFonts w:ascii="Arial" w:hAnsi="Arial" w:cs="Arial"/>
          <w:bCs/>
          <w:sz w:val="22"/>
          <w:szCs w:val="22"/>
        </w:rPr>
      </w:pPr>
      <w:proofErr w:type="gramStart"/>
      <w:r w:rsidRPr="00010F83">
        <w:rPr>
          <w:rFonts w:ascii="Arial" w:hAnsi="Arial" w:cs="Arial"/>
          <w:bCs/>
          <w:sz w:val="22"/>
          <w:szCs w:val="22"/>
        </w:rPr>
        <w:t>đơn</w:t>
      </w:r>
      <w:proofErr w:type="gramEnd"/>
      <w:r w:rsidRPr="00010F83">
        <w:rPr>
          <w:rFonts w:ascii="Arial" w:hAnsi="Arial" w:cs="Arial"/>
          <w:bCs/>
          <w:sz w:val="22"/>
          <w:szCs w:val="22"/>
        </w:rPr>
        <w:t xml:space="preserve"> vị không có dự định thanh lý tài sản. Trong trường hợp này, giá trị ghi sổ đã được đánh giá lại của tài sản sẽ được thu hồi thông qua </w:t>
      </w:r>
      <w:r w:rsidR="00EC3F50" w:rsidRPr="00010F83">
        <w:rPr>
          <w:rFonts w:ascii="Arial" w:hAnsi="Arial" w:cs="Arial"/>
          <w:bCs/>
          <w:sz w:val="22"/>
          <w:szCs w:val="22"/>
        </w:rPr>
        <w:t xml:space="preserve">việc </w:t>
      </w:r>
      <w:r w:rsidRPr="00010F83">
        <w:rPr>
          <w:rFonts w:ascii="Arial" w:hAnsi="Arial" w:cs="Arial"/>
          <w:bCs/>
          <w:sz w:val="22"/>
          <w:szCs w:val="22"/>
        </w:rPr>
        <w:t>sử dụng tài sản và sẽ tạo ra thu nhập chịu thuế vượt quá khoản chi phí khấu hao được phép khấu trừ cho mục đích thuế trong các kỳ kế tiếp; hoặc</w:t>
      </w:r>
    </w:p>
    <w:p w:rsidR="00C530A3" w:rsidRPr="00010F83" w:rsidRDefault="004267A9" w:rsidP="00FE7934">
      <w:pPr>
        <w:pStyle w:val="ListParagraph"/>
        <w:numPr>
          <w:ilvl w:val="0"/>
          <w:numId w:val="12"/>
        </w:numPr>
        <w:autoSpaceDE w:val="0"/>
        <w:autoSpaceDN w:val="0"/>
        <w:adjustRightInd w:val="0"/>
        <w:spacing w:after="120"/>
        <w:ind w:left="1080"/>
        <w:jc w:val="both"/>
        <w:rPr>
          <w:rFonts w:ascii="Arial" w:hAnsi="Arial" w:cs="Arial"/>
          <w:bCs/>
          <w:sz w:val="22"/>
          <w:szCs w:val="22"/>
        </w:rPr>
      </w:pPr>
      <w:proofErr w:type="gramStart"/>
      <w:r w:rsidRPr="00010F83">
        <w:rPr>
          <w:rFonts w:ascii="Arial" w:hAnsi="Arial" w:cs="Arial"/>
          <w:bCs/>
          <w:sz w:val="22"/>
          <w:szCs w:val="22"/>
        </w:rPr>
        <w:t>t</w:t>
      </w:r>
      <w:r w:rsidR="000415DA" w:rsidRPr="00010F83">
        <w:rPr>
          <w:rFonts w:ascii="Arial" w:hAnsi="Arial" w:cs="Arial"/>
          <w:bCs/>
          <w:sz w:val="22"/>
          <w:szCs w:val="22"/>
        </w:rPr>
        <w:t>huế</w:t>
      </w:r>
      <w:proofErr w:type="gramEnd"/>
      <w:r w:rsidR="000415DA" w:rsidRPr="00010F83">
        <w:rPr>
          <w:rFonts w:ascii="Arial" w:hAnsi="Arial" w:cs="Arial"/>
          <w:bCs/>
          <w:sz w:val="22"/>
          <w:szCs w:val="22"/>
        </w:rPr>
        <w:t xml:space="preserve"> </w:t>
      </w:r>
      <w:r w:rsidR="00EC3F50" w:rsidRPr="00010F83">
        <w:rPr>
          <w:rFonts w:ascii="Arial" w:hAnsi="Arial" w:cs="Arial"/>
          <w:bCs/>
          <w:sz w:val="22"/>
          <w:szCs w:val="22"/>
        </w:rPr>
        <w:t xml:space="preserve">thu nhập </w:t>
      </w:r>
      <w:r w:rsidR="000415DA" w:rsidRPr="00010F83">
        <w:rPr>
          <w:rFonts w:ascii="Arial" w:hAnsi="Arial" w:cs="Arial"/>
          <w:bCs/>
          <w:sz w:val="22"/>
          <w:szCs w:val="22"/>
        </w:rPr>
        <w:t>tính trên lãi</w:t>
      </w:r>
      <w:r w:rsidRPr="00010F83">
        <w:rPr>
          <w:rFonts w:ascii="Arial" w:hAnsi="Arial" w:cs="Arial"/>
          <w:bCs/>
          <w:sz w:val="22"/>
          <w:szCs w:val="22"/>
        </w:rPr>
        <w:t xml:space="preserve"> </w:t>
      </w:r>
      <w:r w:rsidR="00EC3F50" w:rsidRPr="00010F83">
        <w:rPr>
          <w:rFonts w:ascii="Arial" w:hAnsi="Arial" w:cs="Arial"/>
          <w:bCs/>
          <w:sz w:val="22"/>
          <w:szCs w:val="22"/>
        </w:rPr>
        <w:t xml:space="preserve">từ </w:t>
      </w:r>
      <w:r w:rsidRPr="00010F83">
        <w:rPr>
          <w:rFonts w:ascii="Arial" w:hAnsi="Arial" w:cs="Arial"/>
          <w:bCs/>
          <w:sz w:val="22"/>
          <w:szCs w:val="22"/>
        </w:rPr>
        <w:t xml:space="preserve">thanh lý tài sản sẽ được hoãn lại nếu số tiền thu được từ việc thanh lý tài sản được đầu tư vào tài sản tương tự. Trong trường hợp này, thuế cuối cùng </w:t>
      </w:r>
      <w:r w:rsidR="000415DA" w:rsidRPr="00010F83">
        <w:rPr>
          <w:rFonts w:ascii="Arial" w:hAnsi="Arial" w:cs="Arial"/>
          <w:bCs/>
          <w:sz w:val="22"/>
          <w:szCs w:val="22"/>
        </w:rPr>
        <w:t xml:space="preserve">vẫn </w:t>
      </w:r>
      <w:r w:rsidRPr="00010F83">
        <w:rPr>
          <w:rFonts w:ascii="Arial" w:hAnsi="Arial" w:cs="Arial"/>
          <w:bCs/>
          <w:sz w:val="22"/>
          <w:szCs w:val="22"/>
        </w:rPr>
        <w:t xml:space="preserve">sẽ </w:t>
      </w:r>
      <w:r w:rsidR="00EC3F50" w:rsidRPr="00010F83">
        <w:rPr>
          <w:rFonts w:ascii="Arial" w:hAnsi="Arial" w:cs="Arial"/>
          <w:bCs/>
          <w:sz w:val="22"/>
          <w:szCs w:val="22"/>
        </w:rPr>
        <w:t xml:space="preserve">chỉ phải trả khi tài sản tương tự đó được bán hoặc được </w:t>
      </w:r>
      <w:r w:rsidRPr="00010F83">
        <w:rPr>
          <w:rFonts w:ascii="Arial" w:hAnsi="Arial" w:cs="Arial"/>
          <w:bCs/>
          <w:sz w:val="22"/>
          <w:szCs w:val="22"/>
        </w:rPr>
        <w:t>sử dụng.</w:t>
      </w:r>
    </w:p>
    <w:p w:rsidR="00FE7934" w:rsidRPr="00010F83" w:rsidRDefault="00FE7934">
      <w:pPr>
        <w:rPr>
          <w:rFonts w:ascii="Arial" w:hAnsi="Arial" w:cs="Arial"/>
          <w:b/>
          <w:bCs/>
        </w:rPr>
      </w:pPr>
      <w:r w:rsidRPr="00010F83">
        <w:rPr>
          <w:rFonts w:ascii="Arial" w:hAnsi="Arial" w:cs="Arial"/>
          <w:b/>
          <w:bCs/>
        </w:rPr>
        <w:br w:type="page"/>
      </w:r>
    </w:p>
    <w:p w:rsidR="003576A7" w:rsidRPr="00010F83" w:rsidRDefault="003576A7" w:rsidP="00590853">
      <w:pPr>
        <w:autoSpaceDE w:val="0"/>
        <w:autoSpaceDN w:val="0"/>
        <w:adjustRightInd w:val="0"/>
        <w:spacing w:after="120" w:line="240" w:lineRule="auto"/>
        <w:ind w:firstLine="720"/>
        <w:jc w:val="both"/>
        <w:rPr>
          <w:rFonts w:ascii="Arial" w:hAnsi="Arial" w:cs="Arial"/>
          <w:b/>
          <w:bCs/>
        </w:rPr>
      </w:pPr>
      <w:r w:rsidRPr="00010F83">
        <w:rPr>
          <w:rFonts w:ascii="Arial" w:hAnsi="Arial" w:cs="Arial"/>
          <w:b/>
          <w:bCs/>
        </w:rPr>
        <w:lastRenderedPageBreak/>
        <w:t>Lợi thế thương mại</w:t>
      </w:r>
    </w:p>
    <w:p w:rsidR="00C530A3" w:rsidRPr="00010F83" w:rsidRDefault="00C530A3" w:rsidP="00FE7934">
      <w:pPr>
        <w:autoSpaceDE w:val="0"/>
        <w:autoSpaceDN w:val="0"/>
        <w:adjustRightInd w:val="0"/>
        <w:spacing w:after="120" w:line="240" w:lineRule="auto"/>
        <w:ind w:left="720" w:hanging="720"/>
        <w:jc w:val="both"/>
        <w:rPr>
          <w:rFonts w:ascii="Arial" w:hAnsi="Arial" w:cs="Arial"/>
          <w:bCs/>
        </w:rPr>
      </w:pPr>
      <w:r w:rsidRPr="00010F83">
        <w:rPr>
          <w:rFonts w:ascii="Arial" w:hAnsi="Arial" w:cs="Arial"/>
          <w:bCs/>
        </w:rPr>
        <w:t>21.</w:t>
      </w:r>
      <w:r w:rsidRPr="00010F83">
        <w:rPr>
          <w:rFonts w:ascii="Arial" w:hAnsi="Arial" w:cs="Arial"/>
          <w:bCs/>
        </w:rPr>
        <w:tab/>
      </w:r>
      <w:r w:rsidR="003576A7" w:rsidRPr="00010F83">
        <w:rPr>
          <w:rFonts w:ascii="Arial" w:hAnsi="Arial" w:cs="Arial"/>
          <w:bCs/>
        </w:rPr>
        <w:t xml:space="preserve">Lợi thế thương mại phát sinh từ </w:t>
      </w:r>
      <w:r w:rsidR="00FF42B7" w:rsidRPr="00010F83">
        <w:rPr>
          <w:rFonts w:ascii="Arial" w:hAnsi="Arial" w:cs="Arial"/>
          <w:bCs/>
        </w:rPr>
        <w:t xml:space="preserve">một giao dịch </w:t>
      </w:r>
      <w:r w:rsidR="003576A7" w:rsidRPr="00010F83">
        <w:rPr>
          <w:rFonts w:ascii="Arial" w:hAnsi="Arial" w:cs="Arial"/>
          <w:bCs/>
        </w:rPr>
        <w:t xml:space="preserve">hợp nhất kinh doanh được xác định là phần </w:t>
      </w:r>
      <w:r w:rsidR="00EC3F50" w:rsidRPr="00010F83">
        <w:rPr>
          <w:rFonts w:ascii="Arial" w:hAnsi="Arial" w:cs="Arial"/>
          <w:bCs/>
        </w:rPr>
        <w:t>thặng dư còn lại</w:t>
      </w:r>
      <w:r w:rsidR="00754FE0" w:rsidRPr="00010F83">
        <w:rPr>
          <w:rFonts w:ascii="Arial" w:hAnsi="Arial" w:cs="Arial"/>
          <w:bCs/>
        </w:rPr>
        <w:t xml:space="preserve"> của</w:t>
      </w:r>
      <w:r w:rsidR="003576A7" w:rsidRPr="00010F83">
        <w:rPr>
          <w:rFonts w:ascii="Arial" w:hAnsi="Arial" w:cs="Arial"/>
          <w:bCs/>
        </w:rPr>
        <w:t xml:space="preserve"> (a) </w:t>
      </w:r>
      <w:r w:rsidR="00754FE0" w:rsidRPr="00010F83">
        <w:rPr>
          <w:rFonts w:ascii="Arial" w:hAnsi="Arial" w:cs="Arial"/>
          <w:bCs/>
        </w:rPr>
        <w:t>so với</w:t>
      </w:r>
      <w:r w:rsidR="003576A7" w:rsidRPr="00010F83">
        <w:rPr>
          <w:rFonts w:ascii="Arial" w:hAnsi="Arial" w:cs="Arial"/>
          <w:bCs/>
        </w:rPr>
        <w:t xml:space="preserve"> (b) </w:t>
      </w:r>
      <w:r w:rsidR="00FF42B7" w:rsidRPr="00010F83">
        <w:rPr>
          <w:rFonts w:ascii="Arial" w:hAnsi="Arial" w:cs="Arial"/>
          <w:bCs/>
        </w:rPr>
        <w:t>dưới</w:t>
      </w:r>
      <w:r w:rsidR="003576A7" w:rsidRPr="00010F83">
        <w:rPr>
          <w:rFonts w:ascii="Arial" w:hAnsi="Arial" w:cs="Arial"/>
          <w:bCs/>
        </w:rPr>
        <w:t xml:space="preserve"> đây:</w:t>
      </w:r>
    </w:p>
    <w:p w:rsidR="003576A7" w:rsidRPr="00010F83" w:rsidRDefault="00EC3F50" w:rsidP="00FE7934">
      <w:pPr>
        <w:pStyle w:val="ListParagraph"/>
        <w:numPr>
          <w:ilvl w:val="0"/>
          <w:numId w:val="13"/>
        </w:numPr>
        <w:autoSpaceDE w:val="0"/>
        <w:autoSpaceDN w:val="0"/>
        <w:adjustRightInd w:val="0"/>
        <w:spacing w:after="120"/>
        <w:ind w:left="1080"/>
        <w:jc w:val="both"/>
        <w:rPr>
          <w:rFonts w:ascii="Arial" w:hAnsi="Arial" w:cs="Arial"/>
          <w:bCs/>
          <w:sz w:val="22"/>
          <w:szCs w:val="22"/>
        </w:rPr>
      </w:pPr>
      <w:r w:rsidRPr="00010F83">
        <w:rPr>
          <w:rFonts w:ascii="Arial" w:hAnsi="Arial" w:cs="Arial"/>
          <w:bCs/>
          <w:sz w:val="22"/>
          <w:szCs w:val="22"/>
        </w:rPr>
        <w:t xml:space="preserve">là </w:t>
      </w:r>
      <w:r w:rsidR="00FE7934" w:rsidRPr="00010F83">
        <w:rPr>
          <w:rFonts w:ascii="Arial" w:hAnsi="Arial" w:cs="Arial"/>
          <w:bCs/>
          <w:sz w:val="22"/>
          <w:szCs w:val="22"/>
        </w:rPr>
        <w:t xml:space="preserve">tổng </w:t>
      </w:r>
      <w:r w:rsidR="00C530A3" w:rsidRPr="00010F83">
        <w:rPr>
          <w:rFonts w:ascii="Arial" w:hAnsi="Arial" w:cs="Arial"/>
          <w:bCs/>
          <w:sz w:val="22"/>
          <w:szCs w:val="22"/>
        </w:rPr>
        <w:t>của</w:t>
      </w:r>
      <w:r w:rsidR="00FF42B7" w:rsidRPr="00010F83">
        <w:rPr>
          <w:rFonts w:ascii="Arial" w:hAnsi="Arial" w:cs="Arial"/>
          <w:bCs/>
          <w:sz w:val="22"/>
          <w:szCs w:val="22"/>
        </w:rPr>
        <w:t>:</w:t>
      </w:r>
    </w:p>
    <w:p w:rsidR="003576A7" w:rsidRPr="00010F83" w:rsidRDefault="003576A7" w:rsidP="00FE7934">
      <w:pPr>
        <w:pStyle w:val="ListParagraph"/>
        <w:numPr>
          <w:ilvl w:val="0"/>
          <w:numId w:val="14"/>
        </w:numPr>
        <w:autoSpaceDE w:val="0"/>
        <w:autoSpaceDN w:val="0"/>
        <w:adjustRightInd w:val="0"/>
        <w:spacing w:after="120"/>
        <w:ind w:left="1620" w:hanging="540"/>
        <w:jc w:val="both"/>
        <w:rPr>
          <w:rFonts w:ascii="Arial" w:hAnsi="Arial" w:cs="Arial"/>
          <w:bCs/>
          <w:sz w:val="22"/>
          <w:szCs w:val="22"/>
        </w:rPr>
      </w:pPr>
      <w:r w:rsidRPr="00010F83">
        <w:rPr>
          <w:rFonts w:ascii="Arial" w:hAnsi="Arial" w:cs="Arial"/>
          <w:bCs/>
          <w:sz w:val="22"/>
          <w:szCs w:val="22"/>
        </w:rPr>
        <w:t>giá mua được xác định theo IFRS</w:t>
      </w:r>
      <w:r w:rsidR="00201D3A" w:rsidRPr="00010F83">
        <w:rPr>
          <w:rFonts w:ascii="Arial" w:hAnsi="Arial" w:cs="Arial"/>
          <w:bCs/>
          <w:sz w:val="22"/>
          <w:szCs w:val="22"/>
        </w:rPr>
        <w:t xml:space="preserve"> </w:t>
      </w:r>
      <w:r w:rsidRPr="00010F83">
        <w:rPr>
          <w:rFonts w:ascii="Arial" w:hAnsi="Arial" w:cs="Arial"/>
          <w:bCs/>
          <w:sz w:val="22"/>
          <w:szCs w:val="22"/>
        </w:rPr>
        <w:t>3, thường là theo giá trị hợp lý tại ngày mua;</w:t>
      </w:r>
    </w:p>
    <w:p w:rsidR="003576A7" w:rsidRPr="00010F83" w:rsidRDefault="003576A7" w:rsidP="00FE7934">
      <w:pPr>
        <w:pStyle w:val="ListParagraph"/>
        <w:numPr>
          <w:ilvl w:val="0"/>
          <w:numId w:val="14"/>
        </w:numPr>
        <w:ind w:left="1620" w:hanging="540"/>
        <w:jc w:val="both"/>
        <w:rPr>
          <w:rFonts w:ascii="Arial" w:hAnsi="Arial" w:cs="Arial"/>
          <w:bCs/>
          <w:sz w:val="22"/>
          <w:szCs w:val="22"/>
        </w:rPr>
      </w:pPr>
      <w:r w:rsidRPr="00010F83">
        <w:rPr>
          <w:rFonts w:ascii="Arial" w:hAnsi="Arial" w:cs="Arial"/>
          <w:bCs/>
          <w:sz w:val="22"/>
          <w:szCs w:val="22"/>
        </w:rPr>
        <w:t xml:space="preserve">lợi ích cổ đông </w:t>
      </w:r>
      <w:r w:rsidR="00EC3F50" w:rsidRPr="00010F83">
        <w:rPr>
          <w:rFonts w:ascii="Arial" w:hAnsi="Arial" w:cs="Arial"/>
          <w:bCs/>
          <w:sz w:val="22"/>
          <w:szCs w:val="22"/>
        </w:rPr>
        <w:t>thiểu số</w:t>
      </w:r>
      <w:r w:rsidRPr="00010F83">
        <w:rPr>
          <w:rFonts w:ascii="Arial" w:hAnsi="Arial" w:cs="Arial"/>
          <w:bCs/>
          <w:sz w:val="22"/>
          <w:szCs w:val="22"/>
        </w:rPr>
        <w:t xml:space="preserve"> tại đơn vị bị mua được ghi nhận theo IFRS 3; và</w:t>
      </w:r>
    </w:p>
    <w:p w:rsidR="00C530A3" w:rsidRPr="00010F83" w:rsidRDefault="00EA552D" w:rsidP="00FE7934">
      <w:pPr>
        <w:pStyle w:val="ListParagraph"/>
        <w:numPr>
          <w:ilvl w:val="0"/>
          <w:numId w:val="14"/>
        </w:numPr>
        <w:autoSpaceDE w:val="0"/>
        <w:autoSpaceDN w:val="0"/>
        <w:adjustRightInd w:val="0"/>
        <w:spacing w:after="120"/>
        <w:ind w:left="1620" w:hanging="540"/>
        <w:jc w:val="both"/>
        <w:rPr>
          <w:rFonts w:ascii="Arial" w:hAnsi="Arial" w:cs="Arial"/>
          <w:bCs/>
          <w:sz w:val="22"/>
          <w:szCs w:val="22"/>
        </w:rPr>
      </w:pPr>
      <w:proofErr w:type="gramStart"/>
      <w:r w:rsidRPr="00010F83">
        <w:rPr>
          <w:rFonts w:ascii="Arial" w:hAnsi="Arial" w:cs="Arial"/>
          <w:bCs/>
          <w:sz w:val="22"/>
          <w:szCs w:val="22"/>
        </w:rPr>
        <w:t>trong</w:t>
      </w:r>
      <w:proofErr w:type="gramEnd"/>
      <w:r w:rsidRPr="00010F83">
        <w:rPr>
          <w:rFonts w:ascii="Arial" w:hAnsi="Arial" w:cs="Arial"/>
          <w:bCs/>
          <w:sz w:val="22"/>
          <w:szCs w:val="22"/>
        </w:rPr>
        <w:t xml:space="preserve"> trường hợp </w:t>
      </w:r>
      <w:r w:rsidR="00EC3F50" w:rsidRPr="00010F83">
        <w:rPr>
          <w:rFonts w:ascii="Arial" w:hAnsi="Arial" w:cs="Arial"/>
          <w:bCs/>
          <w:sz w:val="22"/>
          <w:szCs w:val="22"/>
        </w:rPr>
        <w:t xml:space="preserve">việc </w:t>
      </w:r>
      <w:r w:rsidRPr="00010F83">
        <w:rPr>
          <w:rFonts w:ascii="Arial" w:hAnsi="Arial" w:cs="Arial"/>
          <w:bCs/>
          <w:sz w:val="22"/>
          <w:szCs w:val="22"/>
        </w:rPr>
        <w:t xml:space="preserve">hợp nhất kinh doanh </w:t>
      </w:r>
      <w:r w:rsidR="00130E35" w:rsidRPr="00010F83">
        <w:rPr>
          <w:rFonts w:ascii="Arial" w:hAnsi="Arial" w:cs="Arial"/>
          <w:bCs/>
          <w:sz w:val="22"/>
          <w:szCs w:val="22"/>
        </w:rPr>
        <w:t>thực hiện</w:t>
      </w:r>
      <w:r w:rsidRPr="00010F83">
        <w:rPr>
          <w:rFonts w:ascii="Arial" w:hAnsi="Arial" w:cs="Arial"/>
          <w:bCs/>
          <w:sz w:val="22"/>
          <w:szCs w:val="22"/>
        </w:rPr>
        <w:t xml:space="preserve"> qua nhiều </w:t>
      </w:r>
      <w:r w:rsidR="00130E35" w:rsidRPr="00010F83">
        <w:rPr>
          <w:rFonts w:ascii="Arial" w:hAnsi="Arial" w:cs="Arial"/>
          <w:bCs/>
          <w:sz w:val="22"/>
          <w:szCs w:val="22"/>
        </w:rPr>
        <w:t xml:space="preserve">lần </w:t>
      </w:r>
      <w:r w:rsidRPr="00010F83">
        <w:rPr>
          <w:rFonts w:ascii="Arial" w:hAnsi="Arial" w:cs="Arial"/>
          <w:bCs/>
          <w:sz w:val="22"/>
          <w:szCs w:val="22"/>
        </w:rPr>
        <w:t>gia</w:t>
      </w:r>
      <w:r w:rsidR="00130E35" w:rsidRPr="00010F83">
        <w:rPr>
          <w:rFonts w:ascii="Arial" w:hAnsi="Arial" w:cs="Arial"/>
          <w:bCs/>
          <w:sz w:val="22"/>
          <w:szCs w:val="22"/>
        </w:rPr>
        <w:t>o dịch</w:t>
      </w:r>
      <w:r w:rsidRPr="00010F83">
        <w:rPr>
          <w:rFonts w:ascii="Arial" w:hAnsi="Arial" w:cs="Arial"/>
          <w:bCs/>
          <w:sz w:val="22"/>
          <w:szCs w:val="22"/>
        </w:rPr>
        <w:t xml:space="preserve">, giá trị hợp lý tại ngày mua của khoản lợi ích trong vốn chủ sở hữu tại đơn vị bị mua mà đơn vị mua nắm giữ trước </w:t>
      </w:r>
      <w:r w:rsidR="00130E35" w:rsidRPr="00010F83">
        <w:rPr>
          <w:rFonts w:ascii="Arial" w:hAnsi="Arial" w:cs="Arial"/>
          <w:bCs/>
          <w:sz w:val="22"/>
          <w:szCs w:val="22"/>
        </w:rPr>
        <w:t>đó</w:t>
      </w:r>
      <w:r w:rsidRPr="00010F83">
        <w:rPr>
          <w:rFonts w:ascii="Arial" w:hAnsi="Arial" w:cs="Arial"/>
          <w:bCs/>
          <w:sz w:val="22"/>
          <w:szCs w:val="22"/>
        </w:rPr>
        <w:t>.</w:t>
      </w:r>
    </w:p>
    <w:p w:rsidR="00C530A3" w:rsidRPr="00010F83" w:rsidRDefault="00130E35" w:rsidP="00FE7934">
      <w:pPr>
        <w:pStyle w:val="ListParagraph"/>
        <w:numPr>
          <w:ilvl w:val="0"/>
          <w:numId w:val="13"/>
        </w:numPr>
        <w:autoSpaceDE w:val="0"/>
        <w:autoSpaceDN w:val="0"/>
        <w:adjustRightInd w:val="0"/>
        <w:spacing w:after="120"/>
        <w:ind w:left="1080" w:right="180"/>
        <w:jc w:val="both"/>
        <w:rPr>
          <w:rFonts w:ascii="Arial" w:hAnsi="Arial" w:cs="Arial"/>
          <w:bCs/>
          <w:sz w:val="22"/>
          <w:szCs w:val="22"/>
        </w:rPr>
      </w:pPr>
      <w:proofErr w:type="gramStart"/>
      <w:r w:rsidRPr="00010F83">
        <w:rPr>
          <w:rFonts w:ascii="Arial" w:hAnsi="Arial" w:cs="Arial"/>
          <w:bCs/>
          <w:sz w:val="22"/>
          <w:szCs w:val="22"/>
        </w:rPr>
        <w:t>g</w:t>
      </w:r>
      <w:r w:rsidR="00EA552D" w:rsidRPr="00010F83">
        <w:rPr>
          <w:rFonts w:ascii="Arial" w:hAnsi="Arial" w:cs="Arial"/>
          <w:bCs/>
          <w:sz w:val="22"/>
          <w:szCs w:val="22"/>
        </w:rPr>
        <w:t>iá</w:t>
      </w:r>
      <w:proofErr w:type="gramEnd"/>
      <w:r w:rsidR="00EA552D" w:rsidRPr="00010F83">
        <w:rPr>
          <w:rFonts w:ascii="Arial" w:hAnsi="Arial" w:cs="Arial"/>
          <w:bCs/>
          <w:sz w:val="22"/>
          <w:szCs w:val="22"/>
        </w:rPr>
        <w:t xml:space="preserve"> trị</w:t>
      </w:r>
      <w:r w:rsidRPr="00010F83">
        <w:rPr>
          <w:rFonts w:ascii="Arial" w:hAnsi="Arial" w:cs="Arial"/>
          <w:bCs/>
          <w:sz w:val="22"/>
          <w:szCs w:val="22"/>
        </w:rPr>
        <w:t xml:space="preserve"> thuần tại ngày mua của</w:t>
      </w:r>
      <w:r w:rsidR="00EA552D" w:rsidRPr="00010F83">
        <w:rPr>
          <w:rFonts w:ascii="Arial" w:hAnsi="Arial" w:cs="Arial"/>
          <w:bCs/>
          <w:sz w:val="22"/>
          <w:szCs w:val="22"/>
        </w:rPr>
        <w:t xml:space="preserve"> tài sản </w:t>
      </w:r>
      <w:r w:rsidRPr="00010F83">
        <w:rPr>
          <w:rFonts w:ascii="Arial" w:hAnsi="Arial" w:cs="Arial"/>
          <w:bCs/>
          <w:sz w:val="22"/>
          <w:szCs w:val="22"/>
        </w:rPr>
        <w:t>và</w:t>
      </w:r>
      <w:r w:rsidR="00EA552D" w:rsidRPr="00010F83">
        <w:rPr>
          <w:rFonts w:ascii="Arial" w:hAnsi="Arial" w:cs="Arial"/>
          <w:bCs/>
          <w:sz w:val="22"/>
          <w:szCs w:val="22"/>
        </w:rPr>
        <w:t xml:space="preserve"> nợ phải trả </w:t>
      </w:r>
      <w:r w:rsidRPr="00010F83">
        <w:rPr>
          <w:rFonts w:ascii="Arial" w:hAnsi="Arial" w:cs="Arial"/>
          <w:bCs/>
          <w:sz w:val="22"/>
          <w:szCs w:val="22"/>
        </w:rPr>
        <w:t xml:space="preserve">mua về </w:t>
      </w:r>
      <w:r w:rsidR="00EA552D" w:rsidRPr="00010F83">
        <w:rPr>
          <w:rFonts w:ascii="Arial" w:hAnsi="Arial" w:cs="Arial"/>
          <w:bCs/>
          <w:sz w:val="22"/>
          <w:szCs w:val="22"/>
        </w:rPr>
        <w:t>được xác định theo IFRS 3.</w:t>
      </w:r>
    </w:p>
    <w:p w:rsidR="00C530A3" w:rsidRPr="00010F83" w:rsidRDefault="00EC3F50" w:rsidP="00FE7934">
      <w:pPr>
        <w:autoSpaceDE w:val="0"/>
        <w:autoSpaceDN w:val="0"/>
        <w:adjustRightInd w:val="0"/>
        <w:spacing w:after="120" w:line="240" w:lineRule="auto"/>
        <w:ind w:left="720"/>
        <w:jc w:val="both"/>
        <w:rPr>
          <w:rFonts w:ascii="Arial" w:hAnsi="Arial" w:cs="Arial"/>
          <w:bCs/>
        </w:rPr>
      </w:pPr>
      <w:proofErr w:type="gramStart"/>
      <w:r w:rsidRPr="00010F83">
        <w:rPr>
          <w:rFonts w:ascii="Arial" w:hAnsi="Arial" w:cs="Arial"/>
          <w:bCs/>
        </w:rPr>
        <w:t>Nhiều</w:t>
      </w:r>
      <w:r w:rsidR="00130E35" w:rsidRPr="00010F83">
        <w:rPr>
          <w:rFonts w:ascii="Arial" w:hAnsi="Arial" w:cs="Arial"/>
          <w:bCs/>
        </w:rPr>
        <w:t xml:space="preserve"> </w:t>
      </w:r>
      <w:r w:rsidR="00EA552D" w:rsidRPr="00010F83">
        <w:rPr>
          <w:rFonts w:ascii="Arial" w:hAnsi="Arial" w:cs="Arial"/>
          <w:bCs/>
        </w:rPr>
        <w:t>cơ quan thuế không cho phép</w:t>
      </w:r>
      <w:r w:rsidRPr="00010F83">
        <w:rPr>
          <w:rFonts w:ascii="Arial" w:hAnsi="Arial" w:cs="Arial"/>
          <w:bCs/>
        </w:rPr>
        <w:t xml:space="preserve"> khoản</w:t>
      </w:r>
      <w:r w:rsidR="00EA552D" w:rsidRPr="00010F83">
        <w:rPr>
          <w:rFonts w:ascii="Arial" w:hAnsi="Arial" w:cs="Arial"/>
          <w:bCs/>
        </w:rPr>
        <w:t xml:space="preserve"> </w:t>
      </w:r>
      <w:r w:rsidR="00130E35" w:rsidRPr="00010F83">
        <w:rPr>
          <w:rFonts w:ascii="Arial" w:hAnsi="Arial" w:cs="Arial"/>
          <w:bCs/>
        </w:rPr>
        <w:t>khấu hao</w:t>
      </w:r>
      <w:r w:rsidR="00EA552D" w:rsidRPr="00010F83">
        <w:rPr>
          <w:rFonts w:ascii="Arial" w:hAnsi="Arial" w:cs="Arial"/>
          <w:bCs/>
        </w:rPr>
        <w:t xml:space="preserve"> lợi thế thương mại </w:t>
      </w:r>
      <w:r w:rsidR="00754FE0" w:rsidRPr="00010F83">
        <w:rPr>
          <w:rFonts w:ascii="Arial" w:hAnsi="Arial" w:cs="Arial"/>
          <w:bCs/>
        </w:rPr>
        <w:t>được khấu trừ thuế</w:t>
      </w:r>
      <w:r w:rsidR="005E06DC" w:rsidRPr="00010F83">
        <w:rPr>
          <w:rFonts w:ascii="Arial" w:hAnsi="Arial" w:cs="Arial"/>
          <w:bCs/>
        </w:rPr>
        <w:t>,</w:t>
      </w:r>
      <w:r w:rsidR="00EA552D" w:rsidRPr="00010F83">
        <w:rPr>
          <w:rFonts w:ascii="Arial" w:hAnsi="Arial" w:cs="Arial"/>
          <w:bCs/>
        </w:rPr>
        <w:t xml:space="preserve"> </w:t>
      </w:r>
      <w:r w:rsidR="005E06DC" w:rsidRPr="00010F83">
        <w:rPr>
          <w:rFonts w:ascii="Arial" w:hAnsi="Arial" w:cs="Arial"/>
          <w:bCs/>
        </w:rPr>
        <w:t>và</w:t>
      </w:r>
      <w:r w:rsidR="00EA552D" w:rsidRPr="00010F83">
        <w:rPr>
          <w:rFonts w:ascii="Arial" w:hAnsi="Arial" w:cs="Arial"/>
          <w:bCs/>
        </w:rPr>
        <w:t xml:space="preserve"> </w:t>
      </w:r>
      <w:r w:rsidRPr="00010F83">
        <w:rPr>
          <w:rFonts w:ascii="Arial" w:hAnsi="Arial" w:cs="Arial"/>
          <w:bCs/>
        </w:rPr>
        <w:t xml:space="preserve">ở nhiều nơi </w:t>
      </w:r>
      <w:r w:rsidR="00EA552D" w:rsidRPr="00010F83">
        <w:rPr>
          <w:rFonts w:ascii="Arial" w:hAnsi="Arial" w:cs="Arial"/>
          <w:bCs/>
        </w:rPr>
        <w:t xml:space="preserve">lợi thế thương mại </w:t>
      </w:r>
      <w:r w:rsidR="00201D3A" w:rsidRPr="00010F83">
        <w:rPr>
          <w:rFonts w:ascii="Arial" w:hAnsi="Arial" w:cs="Arial"/>
          <w:bCs/>
        </w:rPr>
        <w:t>cũng không</w:t>
      </w:r>
      <w:r w:rsidR="00EA552D" w:rsidRPr="00010F83">
        <w:rPr>
          <w:rFonts w:ascii="Arial" w:hAnsi="Arial" w:cs="Arial"/>
          <w:bCs/>
        </w:rPr>
        <w:t xml:space="preserve"> được khấu trừ</w:t>
      </w:r>
      <w:r w:rsidRPr="00010F83">
        <w:rPr>
          <w:rFonts w:ascii="Arial" w:hAnsi="Arial" w:cs="Arial"/>
          <w:bCs/>
        </w:rPr>
        <w:t xml:space="preserve"> thuế</w:t>
      </w:r>
      <w:r w:rsidR="00EA552D" w:rsidRPr="00010F83">
        <w:rPr>
          <w:rFonts w:ascii="Arial" w:hAnsi="Arial" w:cs="Arial"/>
          <w:bCs/>
        </w:rPr>
        <w:t xml:space="preserve"> </w:t>
      </w:r>
      <w:r w:rsidR="00754FE0" w:rsidRPr="00010F83">
        <w:rPr>
          <w:rFonts w:ascii="Arial" w:hAnsi="Arial" w:cs="Arial"/>
          <w:bCs/>
        </w:rPr>
        <w:t>tại thời điểm khi</w:t>
      </w:r>
      <w:r w:rsidR="00EA552D" w:rsidRPr="00010F83">
        <w:rPr>
          <w:rFonts w:ascii="Arial" w:hAnsi="Arial" w:cs="Arial"/>
          <w:bCs/>
        </w:rPr>
        <w:t xml:space="preserve"> hoạt động </w:t>
      </w:r>
      <w:r w:rsidRPr="00010F83">
        <w:rPr>
          <w:rFonts w:ascii="Arial" w:hAnsi="Arial" w:cs="Arial"/>
          <w:bCs/>
        </w:rPr>
        <w:t xml:space="preserve">kinh doanh </w:t>
      </w:r>
      <w:r w:rsidR="00201D3A" w:rsidRPr="00010F83">
        <w:rPr>
          <w:rFonts w:ascii="Arial" w:hAnsi="Arial" w:cs="Arial"/>
          <w:bCs/>
        </w:rPr>
        <w:t>của công ty con</w:t>
      </w:r>
      <w:r w:rsidRPr="00010F83">
        <w:rPr>
          <w:rFonts w:ascii="Arial" w:hAnsi="Arial" w:cs="Arial"/>
          <w:bCs/>
        </w:rPr>
        <w:t xml:space="preserve"> bị thanh lý</w:t>
      </w:r>
      <w:r w:rsidR="00EA552D" w:rsidRPr="00010F83">
        <w:rPr>
          <w:rFonts w:ascii="Arial" w:hAnsi="Arial" w:cs="Arial"/>
          <w:bCs/>
        </w:rPr>
        <w:t>.</w:t>
      </w:r>
      <w:proofErr w:type="gramEnd"/>
      <w:r w:rsidR="00EA552D" w:rsidRPr="00010F83">
        <w:rPr>
          <w:rFonts w:ascii="Arial" w:hAnsi="Arial" w:cs="Arial"/>
          <w:bCs/>
        </w:rPr>
        <w:t xml:space="preserve"> </w:t>
      </w:r>
      <w:proofErr w:type="gramStart"/>
      <w:r w:rsidR="00EA552D" w:rsidRPr="00010F83">
        <w:rPr>
          <w:rFonts w:ascii="Arial" w:hAnsi="Arial" w:cs="Arial"/>
          <w:bCs/>
        </w:rPr>
        <w:t>Ở những khu vực này, lợi thế thương mại có cơ sở tính thuế bằng không.</w:t>
      </w:r>
      <w:proofErr w:type="gramEnd"/>
      <w:r w:rsidR="00EA552D" w:rsidRPr="00010F83">
        <w:rPr>
          <w:rFonts w:ascii="Arial" w:hAnsi="Arial" w:cs="Arial"/>
          <w:bCs/>
        </w:rPr>
        <w:t xml:space="preserve"> </w:t>
      </w:r>
      <w:proofErr w:type="gramStart"/>
      <w:r w:rsidR="00EA552D" w:rsidRPr="00010F83">
        <w:rPr>
          <w:rFonts w:ascii="Arial" w:hAnsi="Arial" w:cs="Arial"/>
          <w:bCs/>
        </w:rPr>
        <w:t xml:space="preserve">Chênh lệch giữa giá trị ghi sổ của lợi thế thương mại và cơ sở tính thuế bằng không là một chênh lệch tạm thời </w:t>
      </w:r>
      <w:r w:rsidRPr="00010F83">
        <w:rPr>
          <w:rFonts w:ascii="Arial" w:hAnsi="Arial" w:cs="Arial"/>
          <w:bCs/>
        </w:rPr>
        <w:t xml:space="preserve">phải </w:t>
      </w:r>
      <w:r w:rsidR="00EA552D" w:rsidRPr="00010F83">
        <w:rPr>
          <w:rFonts w:ascii="Arial" w:hAnsi="Arial" w:cs="Arial"/>
          <w:bCs/>
        </w:rPr>
        <w:t>chịu thuế.</w:t>
      </w:r>
      <w:proofErr w:type="gramEnd"/>
      <w:r w:rsidR="00EA552D" w:rsidRPr="00010F83">
        <w:rPr>
          <w:rFonts w:ascii="Arial" w:hAnsi="Arial" w:cs="Arial"/>
          <w:bCs/>
        </w:rPr>
        <w:t xml:space="preserve"> Tuy nhiên, chuẩn mực này không cho phép ghi nhận </w:t>
      </w:r>
      <w:r w:rsidR="00731917" w:rsidRPr="00010F83">
        <w:rPr>
          <w:rFonts w:ascii="Arial" w:hAnsi="Arial" w:cs="Arial"/>
          <w:bCs/>
        </w:rPr>
        <w:t>thuế TNDN</w:t>
      </w:r>
      <w:r w:rsidR="00EA552D" w:rsidRPr="00010F83">
        <w:rPr>
          <w:rFonts w:ascii="Arial" w:hAnsi="Arial" w:cs="Arial"/>
          <w:bCs/>
        </w:rPr>
        <w:t xml:space="preserve"> hoãn lại phải trả tạo ra do chênh lệch tạm thời chịu thuế </w:t>
      </w:r>
      <w:r w:rsidR="008F6CA7" w:rsidRPr="00010F83">
        <w:rPr>
          <w:rFonts w:ascii="Arial" w:hAnsi="Arial" w:cs="Arial"/>
          <w:bCs/>
        </w:rPr>
        <w:t>này</w:t>
      </w:r>
      <w:r w:rsidR="00EA552D" w:rsidRPr="00010F83">
        <w:rPr>
          <w:rFonts w:ascii="Arial" w:hAnsi="Arial" w:cs="Arial"/>
          <w:bCs/>
        </w:rPr>
        <w:t xml:space="preserve"> vì lợi thế thương mại được xác định như là một phần </w:t>
      </w:r>
      <w:r w:rsidR="008F6CA7" w:rsidRPr="00010F83">
        <w:rPr>
          <w:rFonts w:ascii="Arial" w:hAnsi="Arial" w:cs="Arial"/>
          <w:bCs/>
        </w:rPr>
        <w:t xml:space="preserve">hiệu số còn </w:t>
      </w:r>
      <w:r w:rsidR="00EA552D" w:rsidRPr="00010F83">
        <w:rPr>
          <w:rFonts w:ascii="Arial" w:hAnsi="Arial" w:cs="Arial"/>
          <w:bCs/>
        </w:rPr>
        <w:t>lại</w:t>
      </w:r>
      <w:r w:rsidR="008F6CA7" w:rsidRPr="00010F83">
        <w:rPr>
          <w:rFonts w:ascii="Arial" w:hAnsi="Arial" w:cs="Arial"/>
          <w:bCs/>
        </w:rPr>
        <w:t>,</w:t>
      </w:r>
      <w:r w:rsidR="00EA552D" w:rsidRPr="00010F83">
        <w:rPr>
          <w:rFonts w:ascii="Arial" w:hAnsi="Arial" w:cs="Arial"/>
          <w:bCs/>
        </w:rPr>
        <w:t xml:space="preserve"> và </w:t>
      </w:r>
      <w:r w:rsidR="00F324D1" w:rsidRPr="00010F83">
        <w:rPr>
          <w:rFonts w:ascii="Arial" w:hAnsi="Arial" w:cs="Arial"/>
          <w:bCs/>
        </w:rPr>
        <w:t>do đó</w:t>
      </w:r>
      <w:r w:rsidR="008F6CA7" w:rsidRPr="00010F83">
        <w:rPr>
          <w:rFonts w:ascii="Arial" w:hAnsi="Arial" w:cs="Arial"/>
          <w:bCs/>
        </w:rPr>
        <w:t xml:space="preserve">, </w:t>
      </w:r>
      <w:r w:rsidR="00EA552D" w:rsidRPr="00010F83">
        <w:rPr>
          <w:rFonts w:ascii="Arial" w:hAnsi="Arial" w:cs="Arial"/>
          <w:bCs/>
        </w:rPr>
        <w:t xml:space="preserve">việc ghi nhận </w:t>
      </w:r>
      <w:r w:rsidR="00731917" w:rsidRPr="00010F83">
        <w:rPr>
          <w:rFonts w:ascii="Arial" w:hAnsi="Arial" w:cs="Arial"/>
          <w:bCs/>
        </w:rPr>
        <w:t>thuế TNDN</w:t>
      </w:r>
      <w:r w:rsidR="00EA552D" w:rsidRPr="00010F83">
        <w:rPr>
          <w:rFonts w:ascii="Arial" w:hAnsi="Arial" w:cs="Arial"/>
          <w:bCs/>
        </w:rPr>
        <w:t xml:space="preserve"> hoãn lại phải trả sẽ </w:t>
      </w:r>
      <w:r w:rsidR="00F324D1" w:rsidRPr="00010F83">
        <w:rPr>
          <w:rFonts w:ascii="Arial" w:hAnsi="Arial" w:cs="Arial"/>
          <w:bCs/>
        </w:rPr>
        <w:t xml:space="preserve">lại </w:t>
      </w:r>
      <w:r w:rsidR="00EA552D" w:rsidRPr="00010F83">
        <w:rPr>
          <w:rFonts w:ascii="Arial" w:hAnsi="Arial" w:cs="Arial"/>
          <w:bCs/>
        </w:rPr>
        <w:t>làm tăng giá trị ghi sổ của lợi thế thương mại.</w:t>
      </w:r>
    </w:p>
    <w:p w:rsidR="00C530A3" w:rsidRPr="00010F83" w:rsidRDefault="00C530A3" w:rsidP="00FE7934">
      <w:pPr>
        <w:autoSpaceDE w:val="0"/>
        <w:autoSpaceDN w:val="0"/>
        <w:adjustRightInd w:val="0"/>
        <w:spacing w:after="120" w:line="240" w:lineRule="auto"/>
        <w:ind w:left="720" w:hanging="720"/>
        <w:jc w:val="both"/>
        <w:rPr>
          <w:rFonts w:ascii="Arial" w:hAnsi="Arial" w:cs="Arial"/>
          <w:bCs/>
        </w:rPr>
      </w:pPr>
      <w:r w:rsidRPr="00010F83">
        <w:rPr>
          <w:rFonts w:ascii="Arial" w:hAnsi="Arial" w:cs="Arial"/>
          <w:bCs/>
        </w:rPr>
        <w:t xml:space="preserve">21A. </w:t>
      </w:r>
      <w:r w:rsidR="00EA552D" w:rsidRPr="00010F83">
        <w:rPr>
          <w:rFonts w:ascii="Arial" w:hAnsi="Arial" w:cs="Arial"/>
          <w:bCs/>
        </w:rPr>
        <w:tab/>
      </w:r>
      <w:r w:rsidR="00F324D1" w:rsidRPr="00010F83">
        <w:rPr>
          <w:rFonts w:ascii="Arial" w:hAnsi="Arial" w:cs="Arial"/>
          <w:bCs/>
        </w:rPr>
        <w:t xml:space="preserve">Khi phát sinh giảm </w:t>
      </w:r>
      <w:r w:rsidR="00731917" w:rsidRPr="00010F83">
        <w:rPr>
          <w:rFonts w:ascii="Arial" w:hAnsi="Arial" w:cs="Arial"/>
          <w:bCs/>
        </w:rPr>
        <w:t>thuế TNDN</w:t>
      </w:r>
      <w:r w:rsidR="006805F0" w:rsidRPr="00010F83">
        <w:rPr>
          <w:rFonts w:ascii="Arial" w:hAnsi="Arial" w:cs="Arial"/>
          <w:bCs/>
        </w:rPr>
        <w:t xml:space="preserve"> hoãn lại phải trả</w:t>
      </w:r>
      <w:r w:rsidR="002C54AF" w:rsidRPr="00010F83">
        <w:rPr>
          <w:rFonts w:ascii="Arial" w:hAnsi="Arial" w:cs="Arial"/>
          <w:bCs/>
        </w:rPr>
        <w:t>, vốn</w:t>
      </w:r>
      <w:r w:rsidR="00EA552D" w:rsidRPr="00010F83">
        <w:rPr>
          <w:rFonts w:ascii="Arial" w:hAnsi="Arial" w:cs="Arial"/>
          <w:bCs/>
        </w:rPr>
        <w:t xml:space="preserve"> không được ghi nhận do phát sinh từ việc ghi nhận ban đầu của lợi thế thương mại</w:t>
      </w:r>
      <w:r w:rsidR="002C54AF" w:rsidRPr="00010F83">
        <w:rPr>
          <w:rFonts w:ascii="Arial" w:hAnsi="Arial" w:cs="Arial"/>
          <w:bCs/>
        </w:rPr>
        <w:t xml:space="preserve">, </w:t>
      </w:r>
      <w:r w:rsidR="00F324D1" w:rsidRPr="00010F83">
        <w:rPr>
          <w:rFonts w:ascii="Arial" w:hAnsi="Arial" w:cs="Arial"/>
          <w:bCs/>
        </w:rPr>
        <w:t xml:space="preserve">thì khoản giảm trừ </w:t>
      </w:r>
      <w:r w:rsidR="002C54AF" w:rsidRPr="00010F83">
        <w:rPr>
          <w:rFonts w:ascii="Arial" w:hAnsi="Arial" w:cs="Arial"/>
          <w:bCs/>
        </w:rPr>
        <w:t>này</w:t>
      </w:r>
      <w:r w:rsidR="00EA552D" w:rsidRPr="00010F83">
        <w:rPr>
          <w:rFonts w:ascii="Arial" w:hAnsi="Arial" w:cs="Arial"/>
          <w:bCs/>
        </w:rPr>
        <w:t xml:space="preserve"> cũng được xem là phát sinh từ việc ghi nhận ban đầu của lợi thế thương mại và do đó sẽ không ghi nhận theo đoạn 15(a). </w:t>
      </w:r>
      <w:proofErr w:type="gramStart"/>
      <w:r w:rsidR="00EA552D" w:rsidRPr="00010F83">
        <w:rPr>
          <w:rFonts w:ascii="Arial" w:hAnsi="Arial" w:cs="Arial"/>
          <w:bCs/>
        </w:rPr>
        <w:t>Ví dụ, nếu trong một giao dịch hợp nhất kinh doanh đơn vị ghi nhận lợi thế thương mại là 100</w:t>
      </w:r>
      <w:r w:rsidR="002C54AF" w:rsidRPr="00010F83">
        <w:rPr>
          <w:rFonts w:ascii="Arial" w:hAnsi="Arial" w:cs="Arial"/>
          <w:bCs/>
        </w:rPr>
        <w:t>, và</w:t>
      </w:r>
      <w:r w:rsidR="00EA552D" w:rsidRPr="00010F83">
        <w:rPr>
          <w:rFonts w:ascii="Arial" w:hAnsi="Arial" w:cs="Arial"/>
          <w:bCs/>
        </w:rPr>
        <w:t xml:space="preserve"> cơ sở tính thuế bằng không, đoạn 15(a) không cho phép đơn vị ghi nhận </w:t>
      </w:r>
      <w:r w:rsidR="00731917" w:rsidRPr="00010F83">
        <w:rPr>
          <w:rFonts w:ascii="Arial" w:hAnsi="Arial" w:cs="Arial"/>
          <w:bCs/>
        </w:rPr>
        <w:t>thuế TNDN</w:t>
      </w:r>
      <w:r w:rsidR="006805F0" w:rsidRPr="00010F83">
        <w:rPr>
          <w:rFonts w:ascii="Arial" w:hAnsi="Arial" w:cs="Arial"/>
          <w:bCs/>
        </w:rPr>
        <w:t xml:space="preserve"> hoãn lại phải trả</w:t>
      </w:r>
      <w:r w:rsidR="00EA552D" w:rsidRPr="00010F83">
        <w:rPr>
          <w:rFonts w:ascii="Arial" w:hAnsi="Arial" w:cs="Arial"/>
          <w:bCs/>
        </w:rPr>
        <w:t xml:space="preserve"> phát sinh</w:t>
      </w:r>
      <w:r w:rsidR="002C54AF" w:rsidRPr="00010F83">
        <w:rPr>
          <w:rFonts w:ascii="Arial" w:hAnsi="Arial" w:cs="Arial"/>
          <w:bCs/>
        </w:rPr>
        <w:t xml:space="preserve"> </w:t>
      </w:r>
      <w:r w:rsidR="00F324D1" w:rsidRPr="00010F83">
        <w:rPr>
          <w:rFonts w:ascii="Arial" w:hAnsi="Arial" w:cs="Arial"/>
          <w:bCs/>
        </w:rPr>
        <w:t>từ</w:t>
      </w:r>
      <w:r w:rsidR="002C54AF" w:rsidRPr="00010F83">
        <w:rPr>
          <w:rFonts w:ascii="Arial" w:hAnsi="Arial" w:cs="Arial"/>
          <w:bCs/>
        </w:rPr>
        <w:t xml:space="preserve"> chênh lệch này</w:t>
      </w:r>
      <w:r w:rsidR="00EA552D" w:rsidRPr="00010F83">
        <w:rPr>
          <w:rFonts w:ascii="Arial" w:hAnsi="Arial" w:cs="Arial"/>
          <w:bCs/>
        </w:rPr>
        <w:t>.</w:t>
      </w:r>
      <w:proofErr w:type="gramEnd"/>
      <w:r w:rsidR="00EA552D" w:rsidRPr="00010F83">
        <w:rPr>
          <w:rFonts w:ascii="Arial" w:hAnsi="Arial" w:cs="Arial"/>
          <w:bCs/>
        </w:rPr>
        <w:t xml:space="preserve"> Nếu sau đó đơn vị ghi nhận một khoản </w:t>
      </w:r>
      <w:r w:rsidR="00F324D1" w:rsidRPr="00010F83">
        <w:rPr>
          <w:rFonts w:ascii="Arial" w:hAnsi="Arial" w:cs="Arial"/>
          <w:bCs/>
        </w:rPr>
        <w:t xml:space="preserve">suy </w:t>
      </w:r>
      <w:r w:rsidR="00EA552D" w:rsidRPr="00010F83">
        <w:rPr>
          <w:rFonts w:ascii="Arial" w:hAnsi="Arial" w:cs="Arial"/>
          <w:bCs/>
        </w:rPr>
        <w:t xml:space="preserve">giảm giá trị lợi thế thương mại là 20, thì khoản chênh lệch tạm thời chịu thuế liên quan đến lợi thế thương mại sẽ giảm từ 100 xuống 80, dẫn đến sự sụt giảm giá trị của </w:t>
      </w:r>
      <w:r w:rsidR="00731917" w:rsidRPr="00010F83">
        <w:rPr>
          <w:rFonts w:ascii="Arial" w:hAnsi="Arial" w:cs="Arial"/>
          <w:bCs/>
        </w:rPr>
        <w:t>thuế TNDN</w:t>
      </w:r>
      <w:r w:rsidR="006805F0" w:rsidRPr="00010F83">
        <w:rPr>
          <w:rFonts w:ascii="Arial" w:hAnsi="Arial" w:cs="Arial"/>
          <w:bCs/>
        </w:rPr>
        <w:t xml:space="preserve"> hoãn lại phải trả</w:t>
      </w:r>
      <w:r w:rsidR="002C54AF" w:rsidRPr="00010F83">
        <w:rPr>
          <w:rFonts w:ascii="Arial" w:hAnsi="Arial" w:cs="Arial"/>
          <w:bCs/>
        </w:rPr>
        <w:t xml:space="preserve">, </w:t>
      </w:r>
      <w:r w:rsidR="001E1A0D" w:rsidRPr="00010F83">
        <w:rPr>
          <w:rFonts w:ascii="Arial" w:hAnsi="Arial" w:cs="Arial"/>
          <w:bCs/>
        </w:rPr>
        <w:t xml:space="preserve">mà khoản này </w:t>
      </w:r>
      <w:r w:rsidR="002C54AF" w:rsidRPr="00010F83">
        <w:rPr>
          <w:rFonts w:ascii="Arial" w:hAnsi="Arial" w:cs="Arial"/>
          <w:bCs/>
        </w:rPr>
        <w:t>vốn</w:t>
      </w:r>
      <w:r w:rsidR="00EA552D" w:rsidRPr="00010F83">
        <w:rPr>
          <w:rFonts w:ascii="Arial" w:hAnsi="Arial" w:cs="Arial"/>
          <w:bCs/>
        </w:rPr>
        <w:t xml:space="preserve"> không được ghi nhận</w:t>
      </w:r>
      <w:r w:rsidR="001E1A0D" w:rsidRPr="00010F83">
        <w:rPr>
          <w:rFonts w:ascii="Arial" w:hAnsi="Arial" w:cs="Arial"/>
          <w:bCs/>
        </w:rPr>
        <w:t xml:space="preserve"> từ đầu</w:t>
      </w:r>
      <w:r w:rsidR="00EA552D" w:rsidRPr="00010F83">
        <w:rPr>
          <w:rFonts w:ascii="Arial" w:hAnsi="Arial" w:cs="Arial"/>
          <w:bCs/>
        </w:rPr>
        <w:t xml:space="preserve">.  Sự sụt giảm trong giá trị của </w:t>
      </w:r>
      <w:r w:rsidR="00731917" w:rsidRPr="00010F83">
        <w:rPr>
          <w:rFonts w:ascii="Arial" w:hAnsi="Arial" w:cs="Arial"/>
          <w:bCs/>
        </w:rPr>
        <w:t>thuế TNDN</w:t>
      </w:r>
      <w:r w:rsidR="006805F0" w:rsidRPr="00010F83">
        <w:rPr>
          <w:rFonts w:ascii="Arial" w:hAnsi="Arial" w:cs="Arial"/>
          <w:bCs/>
        </w:rPr>
        <w:t xml:space="preserve"> hoãn lại phải trả</w:t>
      </w:r>
      <w:r w:rsidR="00EA552D" w:rsidRPr="00010F83">
        <w:rPr>
          <w:rFonts w:ascii="Arial" w:hAnsi="Arial" w:cs="Arial"/>
          <w:bCs/>
        </w:rPr>
        <w:t xml:space="preserve"> không được ghi nhận cũng được xem là có liên quan đến</w:t>
      </w:r>
      <w:r w:rsidR="001E1A0D" w:rsidRPr="00010F83">
        <w:rPr>
          <w:rFonts w:ascii="Arial" w:hAnsi="Arial" w:cs="Arial"/>
          <w:bCs/>
        </w:rPr>
        <w:t xml:space="preserve"> </w:t>
      </w:r>
      <w:r w:rsidR="00EA552D" w:rsidRPr="00010F83">
        <w:rPr>
          <w:rFonts w:ascii="Arial" w:hAnsi="Arial" w:cs="Arial"/>
          <w:bCs/>
        </w:rPr>
        <w:t xml:space="preserve">ghi nhận ban đầu của lợi thế thương mại và do đó </w:t>
      </w:r>
      <w:r w:rsidR="001E1A0D" w:rsidRPr="00010F83">
        <w:rPr>
          <w:rFonts w:ascii="Arial" w:hAnsi="Arial" w:cs="Arial"/>
          <w:bCs/>
        </w:rPr>
        <w:t xml:space="preserve">cũng không được ghi nhận theo quy định trong </w:t>
      </w:r>
      <w:r w:rsidR="00EA552D" w:rsidRPr="00010F83">
        <w:rPr>
          <w:rFonts w:ascii="Arial" w:hAnsi="Arial" w:cs="Arial"/>
          <w:bCs/>
        </w:rPr>
        <w:t>đoạn 15 (a).</w:t>
      </w:r>
    </w:p>
    <w:p w:rsidR="006E4953" w:rsidRPr="00010F83" w:rsidRDefault="00C530A3" w:rsidP="00FE7934">
      <w:pPr>
        <w:autoSpaceDE w:val="0"/>
        <w:autoSpaceDN w:val="0"/>
        <w:adjustRightInd w:val="0"/>
        <w:spacing w:after="120" w:line="240" w:lineRule="auto"/>
        <w:ind w:left="720" w:hanging="720"/>
        <w:jc w:val="both"/>
        <w:rPr>
          <w:rFonts w:ascii="Arial" w:hAnsi="Arial" w:cs="Arial"/>
          <w:bCs/>
        </w:rPr>
        <w:sectPr w:rsidR="006E4953" w:rsidRPr="00010F83" w:rsidSect="00FE7934">
          <w:pgSz w:w="12240" w:h="15840"/>
          <w:pgMar w:top="1890" w:right="1440" w:bottom="1080" w:left="1440" w:header="720" w:footer="360" w:gutter="0"/>
          <w:cols w:space="720"/>
          <w:docGrid w:linePitch="360"/>
        </w:sectPr>
      </w:pPr>
      <w:proofErr w:type="gramStart"/>
      <w:r w:rsidRPr="00010F83">
        <w:rPr>
          <w:rFonts w:ascii="Arial" w:hAnsi="Arial" w:cs="Arial"/>
          <w:bCs/>
        </w:rPr>
        <w:t xml:space="preserve">21B. </w:t>
      </w:r>
      <w:r w:rsidR="00EA552D" w:rsidRPr="00010F83">
        <w:rPr>
          <w:rFonts w:ascii="Arial" w:hAnsi="Arial" w:cs="Arial"/>
          <w:bCs/>
        </w:rPr>
        <w:tab/>
        <w:t xml:space="preserve">Tuy nhiên, </w:t>
      </w:r>
      <w:r w:rsidR="00731917" w:rsidRPr="00010F83">
        <w:rPr>
          <w:rFonts w:ascii="Arial" w:hAnsi="Arial" w:cs="Arial"/>
          <w:bCs/>
        </w:rPr>
        <w:t>thuế TNDN</w:t>
      </w:r>
      <w:r w:rsidR="006805F0" w:rsidRPr="00010F83">
        <w:rPr>
          <w:rFonts w:ascii="Arial" w:hAnsi="Arial" w:cs="Arial"/>
          <w:bCs/>
        </w:rPr>
        <w:t xml:space="preserve"> hoãn lại phải trả</w:t>
      </w:r>
      <w:r w:rsidR="00EA552D" w:rsidRPr="00010F83">
        <w:rPr>
          <w:rFonts w:ascii="Arial" w:hAnsi="Arial" w:cs="Arial"/>
          <w:bCs/>
        </w:rPr>
        <w:t xml:space="preserve"> </w:t>
      </w:r>
      <w:r w:rsidR="001E1A0D" w:rsidRPr="00010F83">
        <w:rPr>
          <w:rFonts w:ascii="Arial" w:hAnsi="Arial" w:cs="Arial"/>
          <w:bCs/>
        </w:rPr>
        <w:t>phát sinh từ</w:t>
      </w:r>
      <w:r w:rsidR="00EA552D" w:rsidRPr="00010F83">
        <w:rPr>
          <w:rFonts w:ascii="Arial" w:hAnsi="Arial" w:cs="Arial"/>
          <w:bCs/>
        </w:rPr>
        <w:t xml:space="preserve"> khoản chênh lệch tạm thời chịu thuế liên quan đến lợi thế thương mại </w:t>
      </w:r>
      <w:r w:rsidR="001E1A0D" w:rsidRPr="00010F83">
        <w:rPr>
          <w:rFonts w:ascii="Arial" w:hAnsi="Arial" w:cs="Arial"/>
          <w:bCs/>
        </w:rPr>
        <w:t xml:space="preserve">sẽ </w:t>
      </w:r>
      <w:r w:rsidR="00EA552D" w:rsidRPr="00010F83">
        <w:rPr>
          <w:rFonts w:ascii="Arial" w:hAnsi="Arial" w:cs="Arial"/>
          <w:bCs/>
        </w:rPr>
        <w:t xml:space="preserve">được ghi nhận trong trường hợp khoản </w:t>
      </w:r>
      <w:r w:rsidR="002C54AF" w:rsidRPr="00010F83">
        <w:rPr>
          <w:rFonts w:ascii="Arial" w:hAnsi="Arial" w:cs="Arial"/>
          <w:bCs/>
        </w:rPr>
        <w:t xml:space="preserve">chênh lệch tạm thời </w:t>
      </w:r>
      <w:r w:rsidR="00EA552D" w:rsidRPr="00010F83">
        <w:rPr>
          <w:rFonts w:ascii="Arial" w:hAnsi="Arial" w:cs="Arial"/>
          <w:bCs/>
        </w:rPr>
        <w:t>này không phát sinh từ việc ghi nhận ban đầu của lợi thế thương mại.</w:t>
      </w:r>
      <w:proofErr w:type="gramEnd"/>
      <w:r w:rsidR="00EA552D" w:rsidRPr="00010F83">
        <w:rPr>
          <w:rFonts w:ascii="Arial" w:hAnsi="Arial" w:cs="Arial"/>
          <w:bCs/>
        </w:rPr>
        <w:t xml:space="preserve"> Ví dụ, trong một giao dịch hợp nhất kinh doanh, đơn vị ghi nhận lợi thế thương mại là 100</w:t>
      </w:r>
      <w:r w:rsidR="002C54AF" w:rsidRPr="00010F83">
        <w:rPr>
          <w:rFonts w:ascii="Arial" w:hAnsi="Arial" w:cs="Arial"/>
          <w:bCs/>
        </w:rPr>
        <w:t>.</w:t>
      </w:r>
      <w:r w:rsidR="00EA552D" w:rsidRPr="00010F83">
        <w:rPr>
          <w:rFonts w:ascii="Arial" w:hAnsi="Arial" w:cs="Arial"/>
          <w:bCs/>
        </w:rPr>
        <w:t xml:space="preserve"> </w:t>
      </w:r>
      <w:r w:rsidR="002C54AF" w:rsidRPr="00010F83">
        <w:rPr>
          <w:rFonts w:ascii="Arial" w:hAnsi="Arial" w:cs="Arial"/>
          <w:bCs/>
        </w:rPr>
        <w:t xml:space="preserve">Lợi thế thương mại </w:t>
      </w:r>
      <w:r w:rsidR="00EA552D" w:rsidRPr="00010F83">
        <w:rPr>
          <w:rFonts w:ascii="Arial" w:hAnsi="Arial" w:cs="Arial"/>
          <w:bCs/>
        </w:rPr>
        <w:t xml:space="preserve">được khấu trừ cho mục đích thuế </w:t>
      </w:r>
      <w:r w:rsidR="002C54AF" w:rsidRPr="00010F83">
        <w:rPr>
          <w:rFonts w:ascii="Arial" w:hAnsi="Arial" w:cs="Arial"/>
          <w:bCs/>
        </w:rPr>
        <w:t xml:space="preserve">thông qua khấu hao </w:t>
      </w:r>
      <w:r w:rsidR="001E1A0D" w:rsidRPr="00010F83">
        <w:rPr>
          <w:rFonts w:ascii="Arial" w:hAnsi="Arial" w:cs="Arial"/>
          <w:bCs/>
        </w:rPr>
        <w:t xml:space="preserve">với tỷ lệ </w:t>
      </w:r>
      <w:r w:rsidR="00EA552D" w:rsidRPr="00010F83">
        <w:rPr>
          <w:rFonts w:ascii="Arial" w:hAnsi="Arial" w:cs="Arial"/>
          <w:bCs/>
        </w:rPr>
        <w:t xml:space="preserve">20% một năm tính từ năm mua, </w:t>
      </w:r>
      <w:r w:rsidR="002600E6" w:rsidRPr="00010F83">
        <w:rPr>
          <w:rFonts w:ascii="Arial" w:hAnsi="Arial" w:cs="Arial"/>
          <w:bCs/>
        </w:rPr>
        <w:t xml:space="preserve">như vậy </w:t>
      </w:r>
      <w:r w:rsidR="00EA552D" w:rsidRPr="00010F83">
        <w:rPr>
          <w:rFonts w:ascii="Arial" w:hAnsi="Arial" w:cs="Arial"/>
          <w:bCs/>
        </w:rPr>
        <w:t xml:space="preserve">cơ sở tính thuế của lợi thế thương mại là 100 khi ghi nhận ban đầu và là 80 vào cuối năm mua. </w:t>
      </w:r>
      <w:proofErr w:type="gramStart"/>
      <w:r w:rsidR="00EA552D" w:rsidRPr="00010F83">
        <w:rPr>
          <w:rFonts w:ascii="Arial" w:hAnsi="Arial" w:cs="Arial"/>
          <w:bCs/>
        </w:rPr>
        <w:t xml:space="preserve">Nếu giá trị ghi sổ của lợi thế thương mại vào cuối năm mua vẫn không đổi với giá trị là 100, </w:t>
      </w:r>
      <w:r w:rsidR="002600E6" w:rsidRPr="00010F83">
        <w:rPr>
          <w:rFonts w:ascii="Arial" w:hAnsi="Arial" w:cs="Arial"/>
          <w:bCs/>
        </w:rPr>
        <w:t xml:space="preserve">thì </w:t>
      </w:r>
      <w:r w:rsidR="00EA552D" w:rsidRPr="00010F83">
        <w:rPr>
          <w:rFonts w:ascii="Arial" w:hAnsi="Arial" w:cs="Arial"/>
          <w:bCs/>
        </w:rPr>
        <w:t xml:space="preserve">chênh lệch tạm thời chịu thuế </w:t>
      </w:r>
      <w:r w:rsidR="002C54AF" w:rsidRPr="00010F83">
        <w:rPr>
          <w:rFonts w:ascii="Arial" w:hAnsi="Arial" w:cs="Arial"/>
          <w:bCs/>
        </w:rPr>
        <w:t xml:space="preserve">sẽ </w:t>
      </w:r>
      <w:r w:rsidR="00EA552D" w:rsidRPr="00010F83">
        <w:rPr>
          <w:rFonts w:ascii="Arial" w:hAnsi="Arial" w:cs="Arial"/>
          <w:bCs/>
        </w:rPr>
        <w:t>là 20</w:t>
      </w:r>
      <w:r w:rsidR="002C54AF" w:rsidRPr="00010F83">
        <w:rPr>
          <w:rFonts w:ascii="Arial" w:hAnsi="Arial" w:cs="Arial"/>
          <w:bCs/>
        </w:rPr>
        <w:t xml:space="preserve"> tại thời điểm </w:t>
      </w:r>
      <w:r w:rsidR="00EA552D" w:rsidRPr="00010F83">
        <w:rPr>
          <w:rFonts w:ascii="Arial" w:hAnsi="Arial" w:cs="Arial"/>
          <w:bCs/>
        </w:rPr>
        <w:t>cuố</w:t>
      </w:r>
      <w:r w:rsidR="002C54AF" w:rsidRPr="00010F83">
        <w:rPr>
          <w:rFonts w:ascii="Arial" w:hAnsi="Arial" w:cs="Arial"/>
          <w:bCs/>
        </w:rPr>
        <w:t>i năm</w:t>
      </w:r>
      <w:r w:rsidR="00EA552D" w:rsidRPr="00010F83">
        <w:rPr>
          <w:rFonts w:ascii="Arial" w:hAnsi="Arial" w:cs="Arial"/>
          <w:bCs/>
        </w:rPr>
        <w:t>.</w:t>
      </w:r>
      <w:proofErr w:type="gramEnd"/>
      <w:r w:rsidR="00EA552D" w:rsidRPr="00010F83">
        <w:rPr>
          <w:rFonts w:ascii="Arial" w:hAnsi="Arial" w:cs="Arial"/>
          <w:bCs/>
        </w:rPr>
        <w:t xml:space="preserve"> Vì khoản chênh lệch tạm thời chịu thuế này không liên quan đến việc ghi nhận ban đầu của lợi thế thương mại, nên </w:t>
      </w:r>
      <w:r w:rsidR="00731917" w:rsidRPr="00010F83">
        <w:rPr>
          <w:rFonts w:ascii="Arial" w:hAnsi="Arial" w:cs="Arial"/>
          <w:bCs/>
        </w:rPr>
        <w:t>thuế TNDN</w:t>
      </w:r>
      <w:r w:rsidR="006805F0" w:rsidRPr="00010F83">
        <w:rPr>
          <w:rFonts w:ascii="Arial" w:hAnsi="Arial" w:cs="Arial"/>
          <w:bCs/>
        </w:rPr>
        <w:t xml:space="preserve"> hoãn lại phải trả</w:t>
      </w:r>
      <w:r w:rsidR="00EA552D" w:rsidRPr="00010F83">
        <w:rPr>
          <w:rFonts w:ascii="Arial" w:hAnsi="Arial" w:cs="Arial"/>
          <w:bCs/>
        </w:rPr>
        <w:t xml:space="preserve"> </w:t>
      </w:r>
      <w:r w:rsidR="002600E6" w:rsidRPr="00010F83">
        <w:rPr>
          <w:rFonts w:ascii="Arial" w:hAnsi="Arial" w:cs="Arial"/>
          <w:bCs/>
        </w:rPr>
        <w:t xml:space="preserve">sẽ </w:t>
      </w:r>
      <w:r w:rsidR="00EA552D" w:rsidRPr="00010F83">
        <w:rPr>
          <w:rFonts w:ascii="Arial" w:hAnsi="Arial" w:cs="Arial"/>
          <w:bCs/>
        </w:rPr>
        <w:t>được ghi nhận</w:t>
      </w:r>
      <w:r w:rsidR="002C54AF" w:rsidRPr="00010F83">
        <w:rPr>
          <w:rFonts w:ascii="Arial" w:hAnsi="Arial" w:cs="Arial"/>
          <w:bCs/>
        </w:rPr>
        <w:t xml:space="preserve"> cho chênh lệch 20 này</w:t>
      </w:r>
      <w:r w:rsidR="00EA552D" w:rsidRPr="00010F83">
        <w:rPr>
          <w:rFonts w:ascii="Arial" w:hAnsi="Arial" w:cs="Arial"/>
          <w:bCs/>
        </w:rPr>
        <w:t>.</w:t>
      </w:r>
    </w:p>
    <w:p w:rsidR="00C530A3" w:rsidRPr="00010F83" w:rsidRDefault="00EA552D" w:rsidP="00590853">
      <w:pPr>
        <w:autoSpaceDE w:val="0"/>
        <w:autoSpaceDN w:val="0"/>
        <w:adjustRightInd w:val="0"/>
        <w:spacing w:after="120" w:line="240" w:lineRule="auto"/>
        <w:ind w:firstLine="720"/>
        <w:jc w:val="both"/>
        <w:rPr>
          <w:rFonts w:ascii="Arial" w:hAnsi="Arial" w:cs="Arial"/>
          <w:b/>
          <w:bCs/>
        </w:rPr>
      </w:pPr>
      <w:r w:rsidRPr="00010F83">
        <w:rPr>
          <w:rFonts w:ascii="Arial" w:hAnsi="Arial" w:cs="Arial"/>
          <w:b/>
          <w:bCs/>
        </w:rPr>
        <w:lastRenderedPageBreak/>
        <w:t>Ghi nhận ban đầu của tài sản và nợ phải trả</w:t>
      </w:r>
    </w:p>
    <w:p w:rsidR="00C530A3" w:rsidRPr="00010F83" w:rsidRDefault="00C530A3" w:rsidP="00FE7934">
      <w:pPr>
        <w:autoSpaceDE w:val="0"/>
        <w:autoSpaceDN w:val="0"/>
        <w:adjustRightInd w:val="0"/>
        <w:spacing w:after="120" w:line="240" w:lineRule="auto"/>
        <w:ind w:left="720" w:hanging="720"/>
        <w:jc w:val="both"/>
        <w:rPr>
          <w:rFonts w:ascii="Arial" w:hAnsi="Arial" w:cs="Arial"/>
          <w:bCs/>
        </w:rPr>
      </w:pPr>
      <w:r w:rsidRPr="00010F83">
        <w:rPr>
          <w:rFonts w:ascii="Arial" w:hAnsi="Arial" w:cs="Arial"/>
          <w:bCs/>
        </w:rPr>
        <w:t>22.</w:t>
      </w:r>
      <w:r w:rsidRPr="00010F83">
        <w:rPr>
          <w:rFonts w:ascii="Arial" w:hAnsi="Arial" w:cs="Arial"/>
          <w:bCs/>
        </w:rPr>
        <w:tab/>
      </w:r>
      <w:r w:rsidR="00EA552D" w:rsidRPr="00010F83">
        <w:rPr>
          <w:rFonts w:ascii="Arial" w:hAnsi="Arial" w:cs="Arial"/>
          <w:bCs/>
        </w:rPr>
        <w:t>Một khoản chênh lệch tạm thời có thể phát sinh từ việc ghi nhận ban đầu của một tài sản hoặc nợ phải trả</w:t>
      </w:r>
      <w:r w:rsidR="00201D3A" w:rsidRPr="00010F83">
        <w:rPr>
          <w:rFonts w:ascii="Arial" w:hAnsi="Arial" w:cs="Arial"/>
          <w:bCs/>
        </w:rPr>
        <w:t>,</w:t>
      </w:r>
      <w:r w:rsidR="00EA552D" w:rsidRPr="00010F83">
        <w:rPr>
          <w:rFonts w:ascii="Arial" w:hAnsi="Arial" w:cs="Arial"/>
          <w:bCs/>
        </w:rPr>
        <w:t xml:space="preserve"> ví dụ như khi một phần hoặc toàn bộ giá trị </w:t>
      </w:r>
      <w:r w:rsidR="00A138AC" w:rsidRPr="00010F83">
        <w:rPr>
          <w:rFonts w:ascii="Arial" w:hAnsi="Arial" w:cs="Arial"/>
          <w:bCs/>
        </w:rPr>
        <w:t xml:space="preserve">ghi sổ </w:t>
      </w:r>
      <w:r w:rsidR="00EA552D" w:rsidRPr="00010F83">
        <w:rPr>
          <w:rFonts w:ascii="Arial" w:hAnsi="Arial" w:cs="Arial"/>
          <w:bCs/>
        </w:rPr>
        <w:t>của một tài sản không được khấu trừ cho mục đích tính thuế. Phương pháp kế toán cho khoản chênh lệch tạm thời này phụ thuộc vào bản chất của giao dịch dẫn đến việc ghi nhận ban đầu của tài sản hoặc nợ phải trả:</w:t>
      </w:r>
    </w:p>
    <w:p w:rsidR="00EA552D" w:rsidRPr="00010F83" w:rsidRDefault="00EA552D" w:rsidP="00FE7934">
      <w:pPr>
        <w:pStyle w:val="ListParagraph"/>
        <w:numPr>
          <w:ilvl w:val="0"/>
          <w:numId w:val="15"/>
        </w:numPr>
        <w:autoSpaceDE w:val="0"/>
        <w:autoSpaceDN w:val="0"/>
        <w:adjustRightInd w:val="0"/>
        <w:spacing w:after="120"/>
        <w:ind w:left="1260" w:hanging="540"/>
        <w:jc w:val="both"/>
        <w:rPr>
          <w:rFonts w:ascii="Arial" w:hAnsi="Arial" w:cs="Arial"/>
          <w:bCs/>
          <w:sz w:val="22"/>
          <w:szCs w:val="22"/>
        </w:rPr>
      </w:pPr>
      <w:r w:rsidRPr="00010F83">
        <w:rPr>
          <w:rFonts w:ascii="Arial" w:hAnsi="Arial" w:cs="Arial"/>
          <w:bCs/>
          <w:sz w:val="22"/>
          <w:szCs w:val="22"/>
        </w:rPr>
        <w:t xml:space="preserve">trong một giao dịch hợp nhất kinh doanh, đơn vị ghi nhận mọi khoản </w:t>
      </w:r>
      <w:r w:rsidR="00731917" w:rsidRPr="00010F83">
        <w:rPr>
          <w:rFonts w:ascii="Arial" w:hAnsi="Arial" w:cs="Arial"/>
          <w:bCs/>
          <w:sz w:val="22"/>
          <w:szCs w:val="22"/>
        </w:rPr>
        <w:t>thuế TNDN</w:t>
      </w:r>
      <w:r w:rsidR="006805F0" w:rsidRPr="00010F83">
        <w:rPr>
          <w:rFonts w:ascii="Arial" w:hAnsi="Arial" w:cs="Arial"/>
          <w:bCs/>
          <w:sz w:val="22"/>
          <w:szCs w:val="22"/>
        </w:rPr>
        <w:t xml:space="preserve"> hoãn lại phải trả</w:t>
      </w:r>
      <w:r w:rsidRPr="00010F83">
        <w:rPr>
          <w:rFonts w:ascii="Arial" w:hAnsi="Arial" w:cs="Arial"/>
          <w:bCs/>
          <w:sz w:val="22"/>
          <w:szCs w:val="22"/>
        </w:rPr>
        <w:t xml:space="preserve"> hoặc </w:t>
      </w:r>
      <w:r w:rsidR="006805F0" w:rsidRPr="00010F83">
        <w:rPr>
          <w:rFonts w:ascii="Arial" w:hAnsi="Arial" w:cs="Arial"/>
          <w:bCs/>
          <w:sz w:val="22"/>
          <w:szCs w:val="22"/>
        </w:rPr>
        <w:t xml:space="preserve">tài sản </w:t>
      </w:r>
      <w:r w:rsidR="00731917" w:rsidRPr="00010F83">
        <w:rPr>
          <w:rFonts w:ascii="Arial" w:hAnsi="Arial" w:cs="Arial"/>
          <w:bCs/>
          <w:sz w:val="22"/>
          <w:szCs w:val="22"/>
        </w:rPr>
        <w:t>thuế TNDN</w:t>
      </w:r>
      <w:r w:rsidR="006805F0" w:rsidRPr="00010F83">
        <w:rPr>
          <w:rFonts w:ascii="Arial" w:hAnsi="Arial" w:cs="Arial"/>
          <w:bCs/>
          <w:sz w:val="22"/>
          <w:szCs w:val="22"/>
        </w:rPr>
        <w:t xml:space="preserve"> hoãn lại</w:t>
      </w:r>
      <w:r w:rsidRPr="00010F83">
        <w:rPr>
          <w:rFonts w:ascii="Arial" w:hAnsi="Arial" w:cs="Arial"/>
          <w:bCs/>
          <w:sz w:val="22"/>
          <w:szCs w:val="22"/>
        </w:rPr>
        <w:t xml:space="preserve"> và việc ghi nhận này ảnh hưởng đến giá trị lợi thế thương mại hoặc lãi từ mua </w:t>
      </w:r>
      <w:r w:rsidR="002600E6" w:rsidRPr="00010F83">
        <w:rPr>
          <w:rFonts w:ascii="Arial" w:hAnsi="Arial" w:cs="Arial"/>
          <w:bCs/>
          <w:sz w:val="22"/>
          <w:szCs w:val="22"/>
        </w:rPr>
        <w:t xml:space="preserve">với giá tốt </w:t>
      </w:r>
      <w:r w:rsidRPr="00010F83">
        <w:rPr>
          <w:rFonts w:ascii="Arial" w:hAnsi="Arial" w:cs="Arial"/>
          <w:bCs/>
          <w:sz w:val="22"/>
          <w:szCs w:val="22"/>
        </w:rPr>
        <w:t>mà đơn vị ghi nhận (xem đoạn 19);</w:t>
      </w:r>
    </w:p>
    <w:p w:rsidR="00EA552D" w:rsidRPr="00010F83" w:rsidRDefault="00EA552D" w:rsidP="00FE7934">
      <w:pPr>
        <w:pStyle w:val="ListParagraph"/>
        <w:numPr>
          <w:ilvl w:val="0"/>
          <w:numId w:val="15"/>
        </w:numPr>
        <w:autoSpaceDE w:val="0"/>
        <w:autoSpaceDN w:val="0"/>
        <w:adjustRightInd w:val="0"/>
        <w:spacing w:after="120"/>
        <w:ind w:left="1260" w:hanging="540"/>
        <w:jc w:val="both"/>
        <w:rPr>
          <w:rFonts w:ascii="Arial" w:hAnsi="Arial" w:cs="Arial"/>
          <w:bCs/>
          <w:sz w:val="22"/>
          <w:szCs w:val="22"/>
        </w:rPr>
      </w:pPr>
      <w:r w:rsidRPr="00010F83">
        <w:rPr>
          <w:rFonts w:ascii="Arial" w:hAnsi="Arial" w:cs="Arial"/>
          <w:bCs/>
          <w:sz w:val="22"/>
          <w:szCs w:val="22"/>
        </w:rPr>
        <w:t xml:space="preserve">nếu giao dịch đó ảnh hưởng đến lợi nhuận kế toán hoặc </w:t>
      </w:r>
      <w:r w:rsidR="00B70A40" w:rsidRPr="00010F83">
        <w:rPr>
          <w:rFonts w:ascii="Arial" w:hAnsi="Arial" w:cs="Arial"/>
          <w:bCs/>
          <w:sz w:val="22"/>
          <w:szCs w:val="22"/>
        </w:rPr>
        <w:t>thu nhập</w:t>
      </w:r>
      <w:r w:rsidRPr="00010F83">
        <w:rPr>
          <w:rFonts w:ascii="Arial" w:hAnsi="Arial" w:cs="Arial"/>
          <w:bCs/>
          <w:sz w:val="22"/>
          <w:szCs w:val="22"/>
        </w:rPr>
        <w:t xml:space="preserve"> tính thuế, đơn vị ghi nhận mọi khoản </w:t>
      </w:r>
      <w:r w:rsidR="00731917" w:rsidRPr="00010F83">
        <w:rPr>
          <w:rFonts w:ascii="Arial" w:hAnsi="Arial" w:cs="Arial"/>
          <w:bCs/>
          <w:sz w:val="22"/>
          <w:szCs w:val="22"/>
        </w:rPr>
        <w:t>thuế TNDN</w:t>
      </w:r>
      <w:r w:rsidR="006805F0" w:rsidRPr="00010F83">
        <w:rPr>
          <w:rFonts w:ascii="Arial" w:hAnsi="Arial" w:cs="Arial"/>
          <w:bCs/>
          <w:sz w:val="22"/>
          <w:szCs w:val="22"/>
        </w:rPr>
        <w:t xml:space="preserve"> hoãn lại phải trả</w:t>
      </w:r>
      <w:r w:rsidRPr="00010F83">
        <w:rPr>
          <w:rFonts w:ascii="Arial" w:hAnsi="Arial" w:cs="Arial"/>
          <w:bCs/>
          <w:sz w:val="22"/>
          <w:szCs w:val="22"/>
        </w:rPr>
        <w:t xml:space="preserve"> hoặc </w:t>
      </w:r>
      <w:r w:rsidR="006805F0" w:rsidRPr="00010F83">
        <w:rPr>
          <w:rFonts w:ascii="Arial" w:hAnsi="Arial" w:cs="Arial"/>
          <w:bCs/>
          <w:sz w:val="22"/>
          <w:szCs w:val="22"/>
        </w:rPr>
        <w:t xml:space="preserve">tài sản </w:t>
      </w:r>
      <w:r w:rsidR="00731917" w:rsidRPr="00010F83">
        <w:rPr>
          <w:rFonts w:ascii="Arial" w:hAnsi="Arial" w:cs="Arial"/>
          <w:bCs/>
          <w:sz w:val="22"/>
          <w:szCs w:val="22"/>
        </w:rPr>
        <w:t>thuế TNDN</w:t>
      </w:r>
      <w:r w:rsidR="006805F0" w:rsidRPr="00010F83">
        <w:rPr>
          <w:rFonts w:ascii="Arial" w:hAnsi="Arial" w:cs="Arial"/>
          <w:bCs/>
          <w:sz w:val="22"/>
          <w:szCs w:val="22"/>
        </w:rPr>
        <w:t xml:space="preserve"> hoãn lại</w:t>
      </w:r>
      <w:r w:rsidRPr="00010F83">
        <w:rPr>
          <w:rFonts w:ascii="Arial" w:hAnsi="Arial" w:cs="Arial"/>
          <w:bCs/>
          <w:sz w:val="22"/>
          <w:szCs w:val="22"/>
        </w:rPr>
        <w:t xml:space="preserve"> và ghi nhận chi phí hoặc thu nhập thuế hoãn lại phát sinh trong </w:t>
      </w:r>
      <w:r w:rsidR="00F62F03" w:rsidRPr="00010F83">
        <w:rPr>
          <w:rFonts w:ascii="Arial" w:hAnsi="Arial" w:cs="Arial"/>
          <w:b/>
          <w:bCs/>
          <w:sz w:val="22"/>
          <w:szCs w:val="22"/>
        </w:rPr>
        <w:t>Báo cáo kết quả hoạt động kinh doanh</w:t>
      </w:r>
      <w:r w:rsidRPr="00010F83">
        <w:rPr>
          <w:rFonts w:ascii="Arial" w:hAnsi="Arial" w:cs="Arial"/>
          <w:bCs/>
          <w:sz w:val="22"/>
          <w:szCs w:val="22"/>
        </w:rPr>
        <w:t xml:space="preserve"> (xem đoạn 59)</w:t>
      </w:r>
      <w:r w:rsidR="00D94E1B" w:rsidRPr="00010F83">
        <w:rPr>
          <w:rFonts w:ascii="Arial" w:hAnsi="Arial" w:cs="Arial"/>
          <w:bCs/>
          <w:sz w:val="22"/>
          <w:szCs w:val="22"/>
        </w:rPr>
        <w:t>;</w:t>
      </w:r>
    </w:p>
    <w:p w:rsidR="00F278D3" w:rsidRPr="00010F83" w:rsidRDefault="00EA552D" w:rsidP="006E4953">
      <w:pPr>
        <w:pStyle w:val="ListParagraph"/>
        <w:numPr>
          <w:ilvl w:val="0"/>
          <w:numId w:val="15"/>
        </w:numPr>
        <w:autoSpaceDE w:val="0"/>
        <w:autoSpaceDN w:val="0"/>
        <w:adjustRightInd w:val="0"/>
        <w:spacing w:after="240"/>
        <w:ind w:left="1260" w:hanging="540"/>
        <w:jc w:val="both"/>
        <w:rPr>
          <w:rFonts w:ascii="Arial" w:hAnsi="Arial" w:cs="Arial"/>
          <w:bCs/>
          <w:sz w:val="22"/>
          <w:szCs w:val="22"/>
        </w:rPr>
      </w:pPr>
      <w:r w:rsidRPr="00010F83">
        <w:rPr>
          <w:rFonts w:ascii="Arial" w:hAnsi="Arial" w:cs="Arial"/>
          <w:bCs/>
          <w:sz w:val="22"/>
          <w:szCs w:val="22"/>
        </w:rPr>
        <w:t xml:space="preserve">nếu giao dịch không liên quan đến hợp nhất kinh doanh, không ảnh hưởng đến lợi nhuận kế toán hoặc </w:t>
      </w:r>
      <w:r w:rsidR="00B70A40" w:rsidRPr="00010F83">
        <w:rPr>
          <w:rFonts w:ascii="Arial" w:hAnsi="Arial" w:cs="Arial"/>
          <w:bCs/>
          <w:sz w:val="22"/>
          <w:szCs w:val="22"/>
        </w:rPr>
        <w:t>thu nhập</w:t>
      </w:r>
      <w:r w:rsidRPr="00010F83">
        <w:rPr>
          <w:rFonts w:ascii="Arial" w:hAnsi="Arial" w:cs="Arial"/>
          <w:bCs/>
          <w:sz w:val="22"/>
          <w:szCs w:val="22"/>
        </w:rPr>
        <w:t xml:space="preserve"> tính thuế, </w:t>
      </w:r>
      <w:r w:rsidR="005E06DC" w:rsidRPr="00010F83">
        <w:rPr>
          <w:rFonts w:ascii="Arial" w:hAnsi="Arial" w:cs="Arial"/>
          <w:bCs/>
          <w:sz w:val="22"/>
          <w:szCs w:val="22"/>
        </w:rPr>
        <w:t>và nếu</w:t>
      </w:r>
      <w:r w:rsidRPr="00010F83">
        <w:rPr>
          <w:rFonts w:ascii="Arial" w:hAnsi="Arial" w:cs="Arial"/>
          <w:bCs/>
          <w:sz w:val="22"/>
          <w:szCs w:val="22"/>
        </w:rPr>
        <w:t xml:space="preserve"> không </w:t>
      </w:r>
      <w:r w:rsidR="00A138AC" w:rsidRPr="00010F83">
        <w:rPr>
          <w:rFonts w:ascii="Arial" w:hAnsi="Arial" w:cs="Arial"/>
          <w:bCs/>
          <w:sz w:val="22"/>
          <w:szCs w:val="22"/>
        </w:rPr>
        <w:t>rơi vào trường hợp</w:t>
      </w:r>
      <w:r w:rsidRPr="00010F83">
        <w:rPr>
          <w:rFonts w:ascii="Arial" w:hAnsi="Arial" w:cs="Arial"/>
          <w:bCs/>
          <w:sz w:val="22"/>
          <w:szCs w:val="22"/>
        </w:rPr>
        <w:t xml:space="preserve"> ngoại </w:t>
      </w:r>
      <w:r w:rsidR="00A138AC" w:rsidRPr="00010F83">
        <w:rPr>
          <w:rFonts w:ascii="Arial" w:hAnsi="Arial" w:cs="Arial"/>
          <w:bCs/>
          <w:sz w:val="22"/>
          <w:szCs w:val="22"/>
        </w:rPr>
        <w:t>lệ</w:t>
      </w:r>
      <w:r w:rsidRPr="00010F83">
        <w:rPr>
          <w:rFonts w:ascii="Arial" w:hAnsi="Arial" w:cs="Arial"/>
          <w:bCs/>
          <w:sz w:val="22"/>
          <w:szCs w:val="22"/>
        </w:rPr>
        <w:t xml:space="preserve"> theo đoạn 15 và 24</w:t>
      </w:r>
      <w:r w:rsidR="00A138AC" w:rsidRPr="00010F83">
        <w:rPr>
          <w:rFonts w:ascii="Arial" w:hAnsi="Arial" w:cs="Arial"/>
          <w:bCs/>
          <w:sz w:val="22"/>
          <w:szCs w:val="22"/>
        </w:rPr>
        <w:t xml:space="preserve">, </w:t>
      </w:r>
      <w:r w:rsidR="00713D96" w:rsidRPr="00010F83">
        <w:rPr>
          <w:rFonts w:ascii="Arial" w:hAnsi="Arial" w:cs="Arial"/>
          <w:bCs/>
          <w:sz w:val="22"/>
          <w:szCs w:val="22"/>
        </w:rPr>
        <w:t xml:space="preserve">đơn vị có thể ghi nhận thuế thu nhập hoãn lại phải trả hoặc tài sản thuế thu nhập hoãn lại phát sinh, đồng thời điều chỉnh giá trị ghi sổ của tài sản và nợ phải trả tương ứng với giá trị thuế hoãn lại vừa ghi nhận. Việc điều chỉnh này có thể làm báo cáo tài chính kém minh bạch hơn. Do đó, chuẩn mực này không cho phép ghi nhận thuế TNDN hoãn lại phải trả hoặc tài sản thuế TNDN hoãn lại tại thời điểm ghi nhận ban đầu hay bất kỳ thời điểm nào sau đó (xem ví dụ bên dưới). </w:t>
      </w:r>
      <w:r w:rsidR="007B64CF" w:rsidRPr="00010F83">
        <w:rPr>
          <w:rFonts w:ascii="Arial" w:hAnsi="Arial" w:cs="Arial"/>
          <w:bCs/>
          <w:sz w:val="22"/>
          <w:szCs w:val="22"/>
        </w:rPr>
        <w:t>Hơn nữa, đơn vị cũng không được hạch toán các thay đổi đối với thuế TNDN hoãn lại phải trả hoặc tài sản thuế TNDN hoãn lại chưa được khi nhận, khi khấu hao tài sản.</w:t>
      </w:r>
    </w:p>
    <w:tbl>
      <w:tblPr>
        <w:tblStyle w:val="TableGrid"/>
        <w:tblW w:w="8820" w:type="dxa"/>
        <w:tblInd w:w="625" w:type="dxa"/>
        <w:tblLook w:val="04A0"/>
      </w:tblPr>
      <w:tblGrid>
        <w:gridCol w:w="8820"/>
      </w:tblGrid>
      <w:tr w:rsidR="00C530A3" w:rsidRPr="00010F83" w:rsidTr="00FE7934">
        <w:tc>
          <w:tcPr>
            <w:tcW w:w="8820" w:type="dxa"/>
          </w:tcPr>
          <w:p w:rsidR="00C530A3" w:rsidRPr="00010F83" w:rsidRDefault="00EA552D" w:rsidP="00590853">
            <w:pPr>
              <w:pStyle w:val="ListParagraph"/>
              <w:spacing w:after="120"/>
              <w:ind w:left="0"/>
              <w:jc w:val="both"/>
              <w:rPr>
                <w:rFonts w:ascii="Arial" w:hAnsi="Arial" w:cs="Arial"/>
                <w:b/>
                <w:sz w:val="22"/>
                <w:szCs w:val="22"/>
              </w:rPr>
            </w:pPr>
            <w:r w:rsidRPr="00010F83">
              <w:rPr>
                <w:rFonts w:ascii="Arial" w:hAnsi="Arial" w:cs="Arial"/>
                <w:b/>
                <w:sz w:val="22"/>
                <w:szCs w:val="22"/>
              </w:rPr>
              <w:t>Ví dụ minh họa đoạn 22 (c)</w:t>
            </w:r>
          </w:p>
        </w:tc>
      </w:tr>
      <w:tr w:rsidR="00C530A3" w:rsidRPr="00010F83" w:rsidTr="00FE7934">
        <w:tc>
          <w:tcPr>
            <w:tcW w:w="8820" w:type="dxa"/>
          </w:tcPr>
          <w:p w:rsidR="00C530A3" w:rsidRPr="00010F83" w:rsidRDefault="00EA552D" w:rsidP="00590853">
            <w:pPr>
              <w:spacing w:after="120"/>
              <w:jc w:val="both"/>
              <w:rPr>
                <w:rFonts w:ascii="Arial" w:hAnsi="Arial" w:cs="Arial"/>
              </w:rPr>
            </w:pPr>
            <w:r w:rsidRPr="00010F83">
              <w:rPr>
                <w:rFonts w:ascii="Arial" w:hAnsi="Arial" w:cs="Arial"/>
              </w:rPr>
              <w:t xml:space="preserve">Đơn vị dự định sử dụng một tài sản có </w:t>
            </w:r>
            <w:r w:rsidR="00713D96" w:rsidRPr="00010F83">
              <w:rPr>
                <w:rFonts w:ascii="Arial" w:hAnsi="Arial" w:cs="Arial"/>
              </w:rPr>
              <w:t xml:space="preserve">nguyên </w:t>
            </w:r>
            <w:r w:rsidRPr="00010F83">
              <w:rPr>
                <w:rFonts w:ascii="Arial" w:hAnsi="Arial" w:cs="Arial"/>
              </w:rPr>
              <w:t>giá</w:t>
            </w:r>
            <w:r w:rsidR="00713D96" w:rsidRPr="00010F83">
              <w:rPr>
                <w:rFonts w:ascii="Arial" w:hAnsi="Arial" w:cs="Arial"/>
              </w:rPr>
              <w:t xml:space="preserve"> </w:t>
            </w:r>
            <w:r w:rsidRPr="00010F83">
              <w:rPr>
                <w:rFonts w:ascii="Arial" w:hAnsi="Arial" w:cs="Arial"/>
              </w:rPr>
              <w:t>là 1</w:t>
            </w:r>
            <w:r w:rsidR="00C3430D" w:rsidRPr="00010F83">
              <w:rPr>
                <w:rFonts w:ascii="Arial" w:hAnsi="Arial" w:cs="Arial"/>
              </w:rPr>
              <w:t>.</w:t>
            </w:r>
            <w:r w:rsidRPr="00010F83">
              <w:rPr>
                <w:rFonts w:ascii="Arial" w:hAnsi="Arial" w:cs="Arial"/>
              </w:rPr>
              <w:t xml:space="preserve">000, thời gian sử dụng là 5 năm và giá trị còn lại khi thanh lý là 0. Thuế suất </w:t>
            </w:r>
            <w:r w:rsidR="004A19D7" w:rsidRPr="00010F83">
              <w:rPr>
                <w:rFonts w:ascii="Arial" w:hAnsi="Arial" w:cs="Arial"/>
              </w:rPr>
              <w:t xml:space="preserve">thuế TNDN </w:t>
            </w:r>
            <w:r w:rsidRPr="00010F83">
              <w:rPr>
                <w:rFonts w:ascii="Arial" w:hAnsi="Arial" w:cs="Arial"/>
              </w:rPr>
              <w:t xml:space="preserve">là 40%. Chi phí khấu hao tài sản này không được khấu trừ cho mục đích thuế. Khi thanh lý, lãi từ thanh lý sẽ không chịu thuế và </w:t>
            </w:r>
            <w:r w:rsidR="004A19D7" w:rsidRPr="00010F83">
              <w:rPr>
                <w:rFonts w:ascii="Arial" w:hAnsi="Arial" w:cs="Arial"/>
              </w:rPr>
              <w:t>lỗ</w:t>
            </w:r>
            <w:r w:rsidRPr="00010F83">
              <w:rPr>
                <w:rFonts w:ascii="Arial" w:hAnsi="Arial" w:cs="Arial"/>
              </w:rPr>
              <w:t xml:space="preserve"> thanh lý cũng sẽ không được khấu trừ.</w:t>
            </w:r>
          </w:p>
          <w:p w:rsidR="00C530A3" w:rsidRPr="00010F83" w:rsidRDefault="00EA552D" w:rsidP="00590853">
            <w:pPr>
              <w:spacing w:after="120"/>
              <w:jc w:val="both"/>
              <w:rPr>
                <w:rFonts w:ascii="Arial" w:hAnsi="Arial" w:cs="Arial"/>
                <w:i/>
              </w:rPr>
            </w:pPr>
            <w:r w:rsidRPr="00010F83">
              <w:rPr>
                <w:rFonts w:ascii="Arial" w:hAnsi="Arial" w:cs="Arial"/>
                <w:i/>
              </w:rPr>
              <w:t>Khi thu hồi giá trị ghi sổ của tài sản, đơn vị sẽ thu được một khoản thu nhập chịu thuế là 1</w:t>
            </w:r>
            <w:r w:rsidR="00C3430D" w:rsidRPr="00010F83">
              <w:rPr>
                <w:rFonts w:ascii="Arial" w:hAnsi="Arial" w:cs="Arial"/>
                <w:i/>
              </w:rPr>
              <w:t>.</w:t>
            </w:r>
            <w:r w:rsidRPr="00010F83">
              <w:rPr>
                <w:rFonts w:ascii="Arial" w:hAnsi="Arial" w:cs="Arial"/>
                <w:i/>
              </w:rPr>
              <w:t xml:space="preserve">000 và nộp thuế là 400. Đơn vị không ghi nhận </w:t>
            </w:r>
            <w:r w:rsidR="00731917" w:rsidRPr="00010F83">
              <w:rPr>
                <w:rFonts w:ascii="Arial" w:hAnsi="Arial" w:cs="Arial"/>
                <w:i/>
              </w:rPr>
              <w:t>thuế TNDN</w:t>
            </w:r>
            <w:r w:rsidR="006805F0" w:rsidRPr="00010F83">
              <w:rPr>
                <w:rFonts w:ascii="Arial" w:hAnsi="Arial" w:cs="Arial"/>
                <w:i/>
              </w:rPr>
              <w:t xml:space="preserve"> hoãn lại phải trả</w:t>
            </w:r>
            <w:r w:rsidRPr="00010F83">
              <w:rPr>
                <w:rFonts w:ascii="Arial" w:hAnsi="Arial" w:cs="Arial"/>
                <w:i/>
              </w:rPr>
              <w:t xml:space="preserve"> phát sinh là 400 vì </w:t>
            </w:r>
            <w:r w:rsidR="00713D96" w:rsidRPr="00010F83">
              <w:rPr>
                <w:rFonts w:ascii="Arial" w:hAnsi="Arial" w:cs="Arial"/>
                <w:i/>
              </w:rPr>
              <w:t xml:space="preserve">khoản này phát sinh do </w:t>
            </w:r>
            <w:r w:rsidRPr="00010F83">
              <w:rPr>
                <w:rFonts w:ascii="Arial" w:hAnsi="Arial" w:cs="Arial"/>
                <w:i/>
              </w:rPr>
              <w:t>việc ghi nhận ban đầu của tài sản.</w:t>
            </w:r>
          </w:p>
          <w:p w:rsidR="00C530A3" w:rsidRPr="00010F83" w:rsidRDefault="00EA552D" w:rsidP="00590853">
            <w:pPr>
              <w:pStyle w:val="ListParagraph"/>
              <w:spacing w:after="120"/>
              <w:ind w:left="0"/>
              <w:jc w:val="both"/>
              <w:rPr>
                <w:rFonts w:ascii="Arial" w:hAnsi="Arial" w:cs="Arial"/>
                <w:i/>
                <w:sz w:val="22"/>
                <w:szCs w:val="22"/>
              </w:rPr>
            </w:pPr>
            <w:r w:rsidRPr="00010F83">
              <w:rPr>
                <w:rFonts w:ascii="Arial" w:hAnsi="Arial" w:cs="Arial"/>
                <w:i/>
                <w:sz w:val="22"/>
                <w:szCs w:val="22"/>
              </w:rPr>
              <w:t xml:space="preserve">Năm tiếp theo, giá trị ghi sổ của tài sản là 800. Khi có được một khoản thu nhập chịu thuế là 800, đơn vị sẽ trả thuế là 320. Đơn vị không ghi nhận </w:t>
            </w:r>
            <w:r w:rsidR="00731917" w:rsidRPr="00010F83">
              <w:rPr>
                <w:rFonts w:ascii="Arial" w:hAnsi="Arial" w:cs="Arial"/>
                <w:i/>
                <w:sz w:val="22"/>
                <w:szCs w:val="22"/>
              </w:rPr>
              <w:t>thuế TNDN</w:t>
            </w:r>
            <w:r w:rsidR="006805F0" w:rsidRPr="00010F83">
              <w:rPr>
                <w:rFonts w:ascii="Arial" w:hAnsi="Arial" w:cs="Arial"/>
                <w:i/>
                <w:sz w:val="22"/>
                <w:szCs w:val="22"/>
              </w:rPr>
              <w:t xml:space="preserve"> hoãn lại phải trả</w:t>
            </w:r>
            <w:r w:rsidRPr="00010F83">
              <w:rPr>
                <w:rFonts w:ascii="Arial" w:hAnsi="Arial" w:cs="Arial"/>
                <w:i/>
                <w:sz w:val="22"/>
                <w:szCs w:val="22"/>
              </w:rPr>
              <w:t xml:space="preserve"> phát sinh là 320 vì </w:t>
            </w:r>
            <w:r w:rsidR="00713D96" w:rsidRPr="00010F83">
              <w:rPr>
                <w:rFonts w:ascii="Arial" w:hAnsi="Arial" w:cs="Arial"/>
                <w:i/>
                <w:sz w:val="22"/>
                <w:szCs w:val="22"/>
              </w:rPr>
              <w:t xml:space="preserve">khoản này cũng phát sinh do </w:t>
            </w:r>
            <w:r w:rsidRPr="00010F83">
              <w:rPr>
                <w:rFonts w:ascii="Arial" w:hAnsi="Arial" w:cs="Arial"/>
                <w:i/>
                <w:sz w:val="22"/>
                <w:szCs w:val="22"/>
              </w:rPr>
              <w:t>việc ghi nhận ban đầu của tài sản.</w:t>
            </w:r>
          </w:p>
        </w:tc>
      </w:tr>
    </w:tbl>
    <w:p w:rsidR="00C530A3" w:rsidRPr="00010F83" w:rsidRDefault="00C530A3" w:rsidP="00590853">
      <w:pPr>
        <w:autoSpaceDE w:val="0"/>
        <w:autoSpaceDN w:val="0"/>
        <w:adjustRightInd w:val="0"/>
        <w:spacing w:after="120" w:line="240" w:lineRule="auto"/>
        <w:jc w:val="both"/>
        <w:rPr>
          <w:rFonts w:ascii="Arial" w:hAnsi="Arial" w:cs="Arial"/>
          <w:b/>
          <w:bCs/>
        </w:rPr>
      </w:pPr>
    </w:p>
    <w:p w:rsidR="006E4953" w:rsidRPr="00010F83" w:rsidRDefault="00C530A3" w:rsidP="00FE7934">
      <w:pPr>
        <w:autoSpaceDE w:val="0"/>
        <w:autoSpaceDN w:val="0"/>
        <w:adjustRightInd w:val="0"/>
        <w:spacing w:after="120" w:line="240" w:lineRule="auto"/>
        <w:ind w:left="720" w:hanging="720"/>
        <w:jc w:val="both"/>
        <w:rPr>
          <w:rFonts w:ascii="Arial" w:hAnsi="Arial" w:cs="Arial"/>
          <w:bCs/>
        </w:rPr>
      </w:pPr>
      <w:r w:rsidRPr="00010F83">
        <w:rPr>
          <w:rFonts w:ascii="Arial" w:hAnsi="Arial" w:cs="Arial"/>
          <w:bCs/>
        </w:rPr>
        <w:t>23.</w:t>
      </w:r>
      <w:r w:rsidRPr="00010F83">
        <w:rPr>
          <w:rFonts w:ascii="Arial" w:hAnsi="Arial" w:cs="Arial"/>
          <w:bCs/>
        </w:rPr>
        <w:tab/>
      </w:r>
      <w:r w:rsidR="00EA552D" w:rsidRPr="00010F83">
        <w:rPr>
          <w:rFonts w:ascii="Arial" w:hAnsi="Arial" w:cs="Arial"/>
          <w:bCs/>
        </w:rPr>
        <w:t xml:space="preserve">Theo IAS 32 </w:t>
      </w:r>
      <w:r w:rsidR="0002379A" w:rsidRPr="00010F83">
        <w:rPr>
          <w:rFonts w:ascii="Arial" w:hAnsi="Arial" w:cs="Arial"/>
          <w:bCs/>
          <w:i/>
        </w:rPr>
        <w:t>Trình bày c</w:t>
      </w:r>
      <w:r w:rsidR="00EA552D" w:rsidRPr="00010F83">
        <w:rPr>
          <w:rFonts w:ascii="Arial" w:hAnsi="Arial" w:cs="Arial"/>
          <w:bCs/>
          <w:i/>
        </w:rPr>
        <w:t>ông cụ tài chính</w:t>
      </w:r>
      <w:r w:rsidR="00EA552D" w:rsidRPr="00010F83">
        <w:rPr>
          <w:rFonts w:ascii="Arial" w:hAnsi="Arial" w:cs="Arial"/>
          <w:bCs/>
        </w:rPr>
        <w:t xml:space="preserve">, </w:t>
      </w:r>
      <w:r w:rsidR="0002379A" w:rsidRPr="00010F83">
        <w:rPr>
          <w:rFonts w:ascii="Arial" w:hAnsi="Arial" w:cs="Arial"/>
          <w:bCs/>
        </w:rPr>
        <w:t xml:space="preserve">một </w:t>
      </w:r>
      <w:r w:rsidR="00EA552D" w:rsidRPr="00010F83">
        <w:rPr>
          <w:rFonts w:ascii="Arial" w:hAnsi="Arial" w:cs="Arial"/>
          <w:bCs/>
        </w:rPr>
        <w:t xml:space="preserve">đơn vị phát hành công cụ tài chính phức hợp (ví dụ trái phiếu chuyển đổi) phân loại cấu phần nợ của công cụ là nợ phải trả và cấu phần vốn chủ sở hữu là vốn chủ sở hữu. </w:t>
      </w:r>
      <w:proofErr w:type="gramStart"/>
      <w:r w:rsidR="00EA552D" w:rsidRPr="00010F83">
        <w:rPr>
          <w:rFonts w:ascii="Arial" w:hAnsi="Arial" w:cs="Arial"/>
          <w:bCs/>
        </w:rPr>
        <w:t xml:space="preserve">Ở một số </w:t>
      </w:r>
      <w:r w:rsidR="00713D96" w:rsidRPr="00010F83">
        <w:rPr>
          <w:rFonts w:ascii="Arial" w:hAnsi="Arial" w:cs="Arial"/>
          <w:bCs/>
        </w:rPr>
        <w:t>khu vực</w:t>
      </w:r>
      <w:r w:rsidR="00EA552D" w:rsidRPr="00010F83">
        <w:rPr>
          <w:rFonts w:ascii="Arial" w:hAnsi="Arial" w:cs="Arial"/>
          <w:bCs/>
        </w:rPr>
        <w:t>, cơ sở tính thuế của cấu phần nợ phải trả khi ghi nhận ban đầu bằng với giá trị ghi nhận ban đầu của tổng cấu phần nợ phải trả và vốn chủ sở hữu.</w:t>
      </w:r>
      <w:proofErr w:type="gramEnd"/>
      <w:r w:rsidR="00EA552D" w:rsidRPr="00010F83">
        <w:rPr>
          <w:rFonts w:ascii="Arial" w:hAnsi="Arial" w:cs="Arial"/>
          <w:bCs/>
        </w:rPr>
        <w:t xml:space="preserve"> </w:t>
      </w:r>
    </w:p>
    <w:p w:rsidR="006E4953" w:rsidRPr="00010F83" w:rsidRDefault="006E4953">
      <w:pPr>
        <w:rPr>
          <w:rFonts w:ascii="Arial" w:hAnsi="Arial" w:cs="Arial"/>
          <w:bCs/>
        </w:rPr>
      </w:pPr>
      <w:r w:rsidRPr="00010F83">
        <w:rPr>
          <w:rFonts w:ascii="Arial" w:hAnsi="Arial" w:cs="Arial"/>
          <w:bCs/>
        </w:rPr>
        <w:br w:type="page"/>
      </w:r>
    </w:p>
    <w:p w:rsidR="00C530A3" w:rsidRPr="00010F83" w:rsidRDefault="00713D96" w:rsidP="006E4953">
      <w:pPr>
        <w:autoSpaceDE w:val="0"/>
        <w:autoSpaceDN w:val="0"/>
        <w:adjustRightInd w:val="0"/>
        <w:spacing w:after="120" w:line="240" w:lineRule="auto"/>
        <w:ind w:left="720"/>
        <w:jc w:val="both"/>
        <w:rPr>
          <w:rFonts w:ascii="Arial" w:hAnsi="Arial" w:cs="Arial"/>
          <w:bCs/>
        </w:rPr>
      </w:pPr>
      <w:r w:rsidRPr="00010F83">
        <w:rPr>
          <w:rFonts w:ascii="Arial" w:hAnsi="Arial" w:cs="Arial"/>
          <w:bCs/>
        </w:rPr>
        <w:lastRenderedPageBreak/>
        <w:t xml:space="preserve">Do đó sẽ phát sinh một khoản chênh lệch tạm thời phải chịu thuế </w:t>
      </w:r>
      <w:r w:rsidR="0002379A" w:rsidRPr="00010F83">
        <w:rPr>
          <w:rFonts w:ascii="Arial" w:hAnsi="Arial" w:cs="Arial"/>
          <w:bCs/>
        </w:rPr>
        <w:t>do</w:t>
      </w:r>
      <w:r w:rsidR="00EA552D" w:rsidRPr="00010F83">
        <w:rPr>
          <w:rFonts w:ascii="Arial" w:hAnsi="Arial" w:cs="Arial"/>
          <w:bCs/>
        </w:rPr>
        <w:t xml:space="preserve"> </w:t>
      </w:r>
      <w:r w:rsidR="0002379A" w:rsidRPr="00010F83">
        <w:rPr>
          <w:rFonts w:ascii="Arial" w:hAnsi="Arial" w:cs="Arial"/>
          <w:bCs/>
        </w:rPr>
        <w:t xml:space="preserve">việc </w:t>
      </w:r>
      <w:r w:rsidR="00EA552D" w:rsidRPr="00010F83">
        <w:rPr>
          <w:rFonts w:ascii="Arial" w:hAnsi="Arial" w:cs="Arial"/>
          <w:bCs/>
        </w:rPr>
        <w:t>ghi nhận ban đầu của cấu ph</w:t>
      </w:r>
      <w:r w:rsidR="00C3430D" w:rsidRPr="00010F83">
        <w:rPr>
          <w:rFonts w:ascii="Arial" w:hAnsi="Arial" w:cs="Arial"/>
          <w:bCs/>
        </w:rPr>
        <w:t>ầ</w:t>
      </w:r>
      <w:r w:rsidR="00EA552D" w:rsidRPr="00010F83">
        <w:rPr>
          <w:rFonts w:ascii="Arial" w:hAnsi="Arial" w:cs="Arial"/>
          <w:bCs/>
        </w:rPr>
        <w:t>n vốn chủ sở hữ</w:t>
      </w:r>
      <w:r w:rsidR="0002379A" w:rsidRPr="00010F83">
        <w:rPr>
          <w:rFonts w:ascii="Arial" w:hAnsi="Arial" w:cs="Arial"/>
          <w:bCs/>
        </w:rPr>
        <w:t>u</w:t>
      </w:r>
      <w:r w:rsidR="00EA552D" w:rsidRPr="00010F83">
        <w:rPr>
          <w:rFonts w:ascii="Arial" w:hAnsi="Arial" w:cs="Arial"/>
          <w:bCs/>
        </w:rPr>
        <w:t xml:space="preserve"> tách biệt với cấu phần nợ phải </w:t>
      </w:r>
      <w:proofErr w:type="gramStart"/>
      <w:r w:rsidR="00EA552D" w:rsidRPr="00010F83">
        <w:rPr>
          <w:rFonts w:ascii="Arial" w:hAnsi="Arial" w:cs="Arial"/>
          <w:bCs/>
        </w:rPr>
        <w:t>trả.</w:t>
      </w:r>
      <w:proofErr w:type="gramEnd"/>
      <w:r w:rsidR="00EA552D" w:rsidRPr="00010F83">
        <w:rPr>
          <w:rFonts w:ascii="Arial" w:hAnsi="Arial" w:cs="Arial"/>
          <w:bCs/>
        </w:rPr>
        <w:t xml:space="preserve"> Do vậ</w:t>
      </w:r>
      <w:r w:rsidR="0002379A" w:rsidRPr="00010F83">
        <w:rPr>
          <w:rFonts w:ascii="Arial" w:hAnsi="Arial" w:cs="Arial"/>
          <w:bCs/>
        </w:rPr>
        <w:t>y, ngoại lệ ở đoạn 15(b)</w:t>
      </w:r>
      <w:r w:rsidRPr="00010F83">
        <w:rPr>
          <w:rFonts w:ascii="Arial" w:hAnsi="Arial" w:cs="Arial"/>
          <w:bCs/>
        </w:rPr>
        <w:t xml:space="preserve"> sẽ không áp dụng</w:t>
      </w:r>
      <w:r w:rsidR="00EA552D" w:rsidRPr="00010F83">
        <w:rPr>
          <w:rFonts w:ascii="Arial" w:hAnsi="Arial" w:cs="Arial"/>
          <w:bCs/>
        </w:rPr>
        <w:t xml:space="preserve">. </w:t>
      </w:r>
      <w:proofErr w:type="gramStart"/>
      <w:r w:rsidR="00EA552D" w:rsidRPr="00010F83">
        <w:rPr>
          <w:rFonts w:ascii="Arial" w:hAnsi="Arial" w:cs="Arial"/>
          <w:bCs/>
        </w:rPr>
        <w:t xml:space="preserve">Theo đó, đơn vị ghi nhận </w:t>
      </w:r>
      <w:r w:rsidR="00731917" w:rsidRPr="00010F83">
        <w:rPr>
          <w:rFonts w:ascii="Arial" w:hAnsi="Arial" w:cs="Arial"/>
          <w:bCs/>
        </w:rPr>
        <w:t>thuế TNDN</w:t>
      </w:r>
      <w:r w:rsidR="006805F0" w:rsidRPr="00010F83">
        <w:rPr>
          <w:rFonts w:ascii="Arial" w:hAnsi="Arial" w:cs="Arial"/>
          <w:bCs/>
        </w:rPr>
        <w:t xml:space="preserve"> hoãn lại phải trả</w:t>
      </w:r>
      <w:r w:rsidR="00EA552D" w:rsidRPr="00010F83">
        <w:rPr>
          <w:rFonts w:ascii="Arial" w:hAnsi="Arial" w:cs="Arial"/>
          <w:bCs/>
        </w:rPr>
        <w:t xml:space="preserve"> phát sinh.</w:t>
      </w:r>
      <w:proofErr w:type="gramEnd"/>
      <w:r w:rsidR="00EA552D" w:rsidRPr="00010F83">
        <w:rPr>
          <w:rFonts w:ascii="Arial" w:hAnsi="Arial" w:cs="Arial"/>
          <w:bCs/>
        </w:rPr>
        <w:t xml:space="preserve"> Theo đoạn 61A, thuế </w:t>
      </w:r>
      <w:proofErr w:type="gramStart"/>
      <w:r w:rsidRPr="00010F83">
        <w:rPr>
          <w:rFonts w:ascii="Arial" w:hAnsi="Arial" w:cs="Arial"/>
          <w:bCs/>
        </w:rPr>
        <w:t>thu</w:t>
      </w:r>
      <w:proofErr w:type="gramEnd"/>
      <w:r w:rsidRPr="00010F83">
        <w:rPr>
          <w:rFonts w:ascii="Arial" w:hAnsi="Arial" w:cs="Arial"/>
          <w:bCs/>
        </w:rPr>
        <w:t xml:space="preserve"> nhập hoãn lại sẽ được</w:t>
      </w:r>
      <w:r w:rsidRPr="00010F83" w:rsidDel="00713D96">
        <w:rPr>
          <w:rFonts w:ascii="Arial" w:hAnsi="Arial" w:cs="Arial"/>
          <w:bCs/>
        </w:rPr>
        <w:t xml:space="preserve"> </w:t>
      </w:r>
      <w:r w:rsidR="0002379A" w:rsidRPr="00010F83">
        <w:rPr>
          <w:rFonts w:ascii="Arial" w:hAnsi="Arial" w:cs="Arial"/>
          <w:bCs/>
        </w:rPr>
        <w:t>ghi</w:t>
      </w:r>
      <w:r w:rsidR="00EA552D" w:rsidRPr="00010F83">
        <w:rPr>
          <w:rFonts w:ascii="Arial" w:hAnsi="Arial" w:cs="Arial"/>
          <w:bCs/>
        </w:rPr>
        <w:t xml:space="preserve"> trực tiếp vào giá trị ghi sổ của của cấu phần vốn chủ sở hữu</w:t>
      </w:r>
      <w:r w:rsidR="0002379A" w:rsidRPr="00010F83">
        <w:rPr>
          <w:rFonts w:ascii="Arial" w:hAnsi="Arial" w:cs="Arial"/>
          <w:bCs/>
        </w:rPr>
        <w:t xml:space="preserve"> của công cụ tài chính</w:t>
      </w:r>
      <w:r w:rsidR="00EA552D" w:rsidRPr="00010F83">
        <w:rPr>
          <w:rFonts w:ascii="Arial" w:hAnsi="Arial" w:cs="Arial"/>
          <w:bCs/>
        </w:rPr>
        <w:t xml:space="preserve">. Theo đoạn 58, </w:t>
      </w:r>
      <w:r w:rsidR="0002379A" w:rsidRPr="00010F83">
        <w:rPr>
          <w:rFonts w:ascii="Arial" w:hAnsi="Arial" w:cs="Arial"/>
          <w:bCs/>
        </w:rPr>
        <w:t>những thay đổi giá trị</w:t>
      </w:r>
      <w:r w:rsidR="00EA552D" w:rsidRPr="00010F83">
        <w:rPr>
          <w:rFonts w:ascii="Arial" w:hAnsi="Arial" w:cs="Arial"/>
          <w:bCs/>
        </w:rPr>
        <w:t xml:space="preserve"> </w:t>
      </w:r>
      <w:r w:rsidR="00731917" w:rsidRPr="00010F83">
        <w:rPr>
          <w:rFonts w:ascii="Arial" w:hAnsi="Arial" w:cs="Arial"/>
          <w:bCs/>
        </w:rPr>
        <w:t>thuế TNDN</w:t>
      </w:r>
      <w:r w:rsidR="006805F0" w:rsidRPr="00010F83">
        <w:rPr>
          <w:rFonts w:ascii="Arial" w:hAnsi="Arial" w:cs="Arial"/>
          <w:bCs/>
        </w:rPr>
        <w:t xml:space="preserve"> hoãn lại phải trả</w:t>
      </w:r>
      <w:r w:rsidR="00EA552D" w:rsidRPr="00010F83">
        <w:rPr>
          <w:rFonts w:ascii="Arial" w:hAnsi="Arial" w:cs="Arial"/>
          <w:bCs/>
        </w:rPr>
        <w:t xml:space="preserve"> </w:t>
      </w:r>
      <w:r w:rsidR="0002379A" w:rsidRPr="00010F83">
        <w:rPr>
          <w:rFonts w:ascii="Arial" w:hAnsi="Arial" w:cs="Arial"/>
          <w:bCs/>
        </w:rPr>
        <w:t xml:space="preserve">ở các kỳ sau </w:t>
      </w:r>
      <w:r w:rsidR="00EA552D" w:rsidRPr="00010F83">
        <w:rPr>
          <w:rFonts w:ascii="Arial" w:hAnsi="Arial" w:cs="Arial"/>
          <w:bCs/>
        </w:rPr>
        <w:t xml:space="preserve">sẽ được ghi nhận vào </w:t>
      </w:r>
      <w:r w:rsidRPr="00010F83">
        <w:rPr>
          <w:rFonts w:ascii="Arial" w:hAnsi="Arial" w:cs="Arial"/>
          <w:bCs/>
        </w:rPr>
        <w:t xml:space="preserve">Báo cáo kết quả hoạt động kinh doanh như </w:t>
      </w:r>
      <w:r w:rsidR="00EA552D" w:rsidRPr="00010F83">
        <w:rPr>
          <w:rFonts w:ascii="Arial" w:hAnsi="Arial" w:cs="Arial"/>
          <w:bCs/>
        </w:rPr>
        <w:t xml:space="preserve">là chi phí thuế </w:t>
      </w:r>
      <w:proofErr w:type="gramStart"/>
      <w:r w:rsidRPr="00010F83">
        <w:rPr>
          <w:rFonts w:ascii="Arial" w:hAnsi="Arial" w:cs="Arial"/>
          <w:bCs/>
        </w:rPr>
        <w:t>thu</w:t>
      </w:r>
      <w:proofErr w:type="gramEnd"/>
      <w:r w:rsidRPr="00010F83">
        <w:rPr>
          <w:rFonts w:ascii="Arial" w:hAnsi="Arial" w:cs="Arial"/>
          <w:bCs/>
        </w:rPr>
        <w:t xml:space="preserve"> nhập </w:t>
      </w:r>
      <w:r w:rsidR="00EA552D" w:rsidRPr="00010F83">
        <w:rPr>
          <w:rFonts w:ascii="Arial" w:hAnsi="Arial" w:cs="Arial"/>
          <w:bCs/>
        </w:rPr>
        <w:t>hoãn lại (thu nhập thuế hoãn lại).</w:t>
      </w:r>
    </w:p>
    <w:p w:rsidR="006E4953" w:rsidRPr="00010F83" w:rsidRDefault="006E4953" w:rsidP="006E4953">
      <w:pPr>
        <w:autoSpaceDE w:val="0"/>
        <w:autoSpaceDN w:val="0"/>
        <w:adjustRightInd w:val="0"/>
        <w:spacing w:after="120" w:line="240" w:lineRule="auto"/>
        <w:ind w:left="720"/>
        <w:jc w:val="both"/>
        <w:rPr>
          <w:rFonts w:ascii="Arial" w:hAnsi="Arial" w:cs="Arial"/>
          <w:bCs/>
        </w:rPr>
      </w:pPr>
    </w:p>
    <w:p w:rsidR="00C530A3" w:rsidRPr="00010F83" w:rsidRDefault="00EA552D" w:rsidP="00590853">
      <w:pPr>
        <w:autoSpaceDE w:val="0"/>
        <w:autoSpaceDN w:val="0"/>
        <w:adjustRightInd w:val="0"/>
        <w:spacing w:after="120" w:line="240" w:lineRule="auto"/>
        <w:ind w:firstLine="720"/>
        <w:jc w:val="both"/>
        <w:rPr>
          <w:rFonts w:ascii="Arial" w:hAnsi="Arial" w:cs="Arial"/>
          <w:b/>
          <w:bCs/>
        </w:rPr>
      </w:pPr>
      <w:r w:rsidRPr="00010F83">
        <w:rPr>
          <w:rFonts w:ascii="Arial" w:hAnsi="Arial" w:cs="Arial"/>
          <w:b/>
          <w:bCs/>
        </w:rPr>
        <w:t>Chênh lệch tạm thời được khấu trừ</w:t>
      </w:r>
    </w:p>
    <w:p w:rsidR="00C530A3" w:rsidRPr="00010F83" w:rsidRDefault="00C530A3" w:rsidP="006E4953">
      <w:pPr>
        <w:autoSpaceDE w:val="0"/>
        <w:autoSpaceDN w:val="0"/>
        <w:adjustRightInd w:val="0"/>
        <w:spacing w:before="240" w:after="120" w:line="240" w:lineRule="auto"/>
        <w:ind w:left="720" w:hanging="720"/>
        <w:jc w:val="both"/>
        <w:rPr>
          <w:rFonts w:ascii="Arial" w:hAnsi="Arial" w:cs="Arial"/>
          <w:bCs/>
        </w:rPr>
      </w:pPr>
      <w:r w:rsidRPr="00010F83">
        <w:rPr>
          <w:rFonts w:ascii="Arial" w:hAnsi="Arial" w:cs="Arial"/>
          <w:bCs/>
        </w:rPr>
        <w:t>24.</w:t>
      </w:r>
      <w:r w:rsidRPr="00010F83">
        <w:rPr>
          <w:rFonts w:ascii="Arial" w:hAnsi="Arial" w:cs="Arial"/>
          <w:bCs/>
        </w:rPr>
        <w:tab/>
      </w:r>
      <w:r w:rsidR="006805F0" w:rsidRPr="00010F83">
        <w:rPr>
          <w:rFonts w:ascii="Arial" w:hAnsi="Arial" w:cs="Arial"/>
          <w:bCs/>
        </w:rPr>
        <w:t xml:space="preserve">Tài sản </w:t>
      </w:r>
      <w:r w:rsidR="00731917" w:rsidRPr="00010F83">
        <w:rPr>
          <w:rFonts w:ascii="Arial" w:hAnsi="Arial" w:cs="Arial"/>
          <w:bCs/>
        </w:rPr>
        <w:t xml:space="preserve">thuế </w:t>
      </w:r>
      <w:r w:rsidR="00D46F8B" w:rsidRPr="00010F83">
        <w:rPr>
          <w:rFonts w:ascii="Arial" w:hAnsi="Arial" w:cs="Arial"/>
          <w:bCs/>
        </w:rPr>
        <w:t xml:space="preserve">thu nhập hoãn lại cần </w:t>
      </w:r>
      <w:r w:rsidR="00EA552D" w:rsidRPr="00010F83">
        <w:rPr>
          <w:rFonts w:ascii="Arial" w:hAnsi="Arial" w:cs="Arial"/>
          <w:bCs/>
        </w:rPr>
        <w:t xml:space="preserve">được ghi nhận cho tất cả các chênh lệch tạm thời được khấu trừ, khi có nhiều khả năng trong tương lai sẽ có lợi nhuận tính thuế để sử dụng những chênh lệch tạm thời được khấu trừ này, ngoại trừ </w:t>
      </w:r>
      <w:r w:rsidR="006805F0" w:rsidRPr="00010F83">
        <w:rPr>
          <w:rFonts w:ascii="Arial" w:hAnsi="Arial" w:cs="Arial"/>
          <w:bCs/>
        </w:rPr>
        <w:t xml:space="preserve">tài sản </w:t>
      </w:r>
      <w:r w:rsidR="00731917" w:rsidRPr="00010F83">
        <w:rPr>
          <w:rFonts w:ascii="Arial" w:hAnsi="Arial" w:cs="Arial"/>
          <w:bCs/>
        </w:rPr>
        <w:t>thuế TNDN</w:t>
      </w:r>
      <w:r w:rsidR="006805F0" w:rsidRPr="00010F83">
        <w:rPr>
          <w:rFonts w:ascii="Arial" w:hAnsi="Arial" w:cs="Arial"/>
          <w:bCs/>
        </w:rPr>
        <w:t xml:space="preserve"> hoãn lại</w:t>
      </w:r>
      <w:r w:rsidR="00EA552D" w:rsidRPr="00010F83">
        <w:rPr>
          <w:rFonts w:ascii="Arial" w:hAnsi="Arial" w:cs="Arial"/>
          <w:bCs/>
        </w:rPr>
        <w:t xml:space="preserve"> phát sinh từ ghi nhận ban đầu của một tài sản hoặc nợ phải trả trong một giao dị</w:t>
      </w:r>
      <w:r w:rsidR="0002379A" w:rsidRPr="00010F83">
        <w:rPr>
          <w:rFonts w:ascii="Arial" w:hAnsi="Arial" w:cs="Arial"/>
          <w:bCs/>
        </w:rPr>
        <w:t>ch</w:t>
      </w:r>
      <w:r w:rsidR="00EA552D" w:rsidRPr="00010F83">
        <w:rPr>
          <w:rFonts w:ascii="Arial" w:hAnsi="Arial" w:cs="Arial"/>
          <w:bCs/>
        </w:rPr>
        <w:t>:</w:t>
      </w:r>
    </w:p>
    <w:p w:rsidR="00EA552D" w:rsidRPr="00010F83" w:rsidRDefault="00EA552D" w:rsidP="006E4953">
      <w:pPr>
        <w:pStyle w:val="ListParagraph"/>
        <w:numPr>
          <w:ilvl w:val="0"/>
          <w:numId w:val="16"/>
        </w:numPr>
        <w:autoSpaceDE w:val="0"/>
        <w:autoSpaceDN w:val="0"/>
        <w:adjustRightInd w:val="0"/>
        <w:spacing w:after="120"/>
        <w:ind w:left="1080"/>
        <w:jc w:val="both"/>
        <w:rPr>
          <w:rFonts w:ascii="Arial" w:hAnsi="Arial" w:cs="Arial"/>
          <w:bCs/>
          <w:sz w:val="22"/>
          <w:szCs w:val="22"/>
        </w:rPr>
      </w:pPr>
      <w:r w:rsidRPr="00010F83">
        <w:rPr>
          <w:rFonts w:ascii="Arial" w:hAnsi="Arial" w:cs="Arial"/>
          <w:bCs/>
          <w:sz w:val="22"/>
          <w:szCs w:val="22"/>
        </w:rPr>
        <w:t>không phải</w:t>
      </w:r>
      <w:r w:rsidR="00D46F8B" w:rsidRPr="00010F83">
        <w:rPr>
          <w:rFonts w:ascii="Arial" w:hAnsi="Arial" w:cs="Arial"/>
          <w:bCs/>
          <w:sz w:val="22"/>
          <w:szCs w:val="22"/>
        </w:rPr>
        <w:t xml:space="preserve"> là giao dịch</w:t>
      </w:r>
      <w:r w:rsidRPr="00010F83">
        <w:rPr>
          <w:rFonts w:ascii="Arial" w:hAnsi="Arial" w:cs="Arial"/>
          <w:bCs/>
          <w:sz w:val="22"/>
          <w:szCs w:val="22"/>
        </w:rPr>
        <w:t xml:space="preserve"> hợp nhất kinh doanh; và</w:t>
      </w:r>
    </w:p>
    <w:p w:rsidR="00C530A3" w:rsidRPr="00010F83" w:rsidRDefault="00EA552D" w:rsidP="006E4953">
      <w:pPr>
        <w:pStyle w:val="ListParagraph"/>
        <w:numPr>
          <w:ilvl w:val="0"/>
          <w:numId w:val="16"/>
        </w:numPr>
        <w:autoSpaceDE w:val="0"/>
        <w:autoSpaceDN w:val="0"/>
        <w:adjustRightInd w:val="0"/>
        <w:spacing w:after="120"/>
        <w:ind w:left="1080"/>
        <w:jc w:val="both"/>
        <w:rPr>
          <w:rFonts w:ascii="Arial" w:hAnsi="Arial" w:cs="Arial"/>
          <w:bCs/>
          <w:sz w:val="22"/>
          <w:szCs w:val="22"/>
        </w:rPr>
      </w:pPr>
      <w:proofErr w:type="gramStart"/>
      <w:r w:rsidRPr="00010F83">
        <w:rPr>
          <w:rFonts w:ascii="Arial" w:hAnsi="Arial" w:cs="Arial"/>
          <w:bCs/>
          <w:sz w:val="22"/>
          <w:szCs w:val="22"/>
        </w:rPr>
        <w:t>không</w:t>
      </w:r>
      <w:proofErr w:type="gramEnd"/>
      <w:r w:rsidRPr="00010F83">
        <w:rPr>
          <w:rFonts w:ascii="Arial" w:hAnsi="Arial" w:cs="Arial"/>
          <w:bCs/>
          <w:sz w:val="22"/>
          <w:szCs w:val="22"/>
        </w:rPr>
        <w:t xml:space="preserve"> có ảnh hưởng đến lợi nhuận kế toán hoặc lợi nhuận tính thuế (lỗ tính thuế) tại thời điểm giao dịch.</w:t>
      </w:r>
    </w:p>
    <w:p w:rsidR="00C530A3" w:rsidRPr="00010F83" w:rsidRDefault="00EA552D" w:rsidP="006E4953">
      <w:pPr>
        <w:autoSpaceDE w:val="0"/>
        <w:autoSpaceDN w:val="0"/>
        <w:adjustRightInd w:val="0"/>
        <w:spacing w:after="120" w:line="240" w:lineRule="auto"/>
        <w:ind w:left="720"/>
        <w:jc w:val="both"/>
        <w:rPr>
          <w:rFonts w:ascii="Arial" w:hAnsi="Arial" w:cs="Arial"/>
          <w:bCs/>
        </w:rPr>
      </w:pPr>
      <w:r w:rsidRPr="00010F83">
        <w:rPr>
          <w:rFonts w:ascii="Arial" w:hAnsi="Arial" w:cs="Arial"/>
          <w:bCs/>
        </w:rPr>
        <w:t>Tuy nhiên, đối với chênh lệch tạm thời được khấu trừ liên quan đến khoản đầu tư vào công ty con, chi nhánh và công ty liên kết, hay lợi ích trong các thỏa thuậ</w:t>
      </w:r>
      <w:r w:rsidR="0002379A" w:rsidRPr="00010F83">
        <w:rPr>
          <w:rFonts w:ascii="Arial" w:hAnsi="Arial" w:cs="Arial"/>
          <w:bCs/>
        </w:rPr>
        <w:t>n chung</w:t>
      </w:r>
      <w:r w:rsidRPr="00010F83">
        <w:rPr>
          <w:rFonts w:ascii="Arial" w:hAnsi="Arial" w:cs="Arial"/>
          <w:bCs/>
        </w:rPr>
        <w:t xml:space="preserve">, tài sản </w:t>
      </w:r>
      <w:r w:rsidR="00731917" w:rsidRPr="00010F83">
        <w:rPr>
          <w:rFonts w:ascii="Arial" w:hAnsi="Arial" w:cs="Arial"/>
          <w:bCs/>
        </w:rPr>
        <w:t>thuế TNDN</w:t>
      </w:r>
      <w:r w:rsidR="0002379A" w:rsidRPr="00010F83">
        <w:rPr>
          <w:rFonts w:ascii="Arial" w:hAnsi="Arial" w:cs="Arial"/>
          <w:bCs/>
        </w:rPr>
        <w:t xml:space="preserve"> </w:t>
      </w:r>
      <w:r w:rsidRPr="00010F83">
        <w:rPr>
          <w:rFonts w:ascii="Arial" w:hAnsi="Arial" w:cs="Arial"/>
          <w:bCs/>
        </w:rPr>
        <w:t xml:space="preserve">hoãn </w:t>
      </w:r>
      <w:r w:rsidR="0002379A" w:rsidRPr="00010F83">
        <w:rPr>
          <w:rFonts w:ascii="Arial" w:hAnsi="Arial" w:cs="Arial"/>
          <w:bCs/>
        </w:rPr>
        <w:t>lại</w:t>
      </w:r>
      <w:r w:rsidRPr="00010F83">
        <w:rPr>
          <w:rFonts w:ascii="Arial" w:hAnsi="Arial" w:cs="Arial"/>
          <w:bCs/>
        </w:rPr>
        <w:t xml:space="preserve"> </w:t>
      </w:r>
      <w:r w:rsidR="00D46F8B" w:rsidRPr="00010F83">
        <w:rPr>
          <w:rFonts w:ascii="Arial" w:hAnsi="Arial" w:cs="Arial"/>
          <w:bCs/>
        </w:rPr>
        <w:t xml:space="preserve">sẽ </w:t>
      </w:r>
      <w:r w:rsidRPr="00010F83">
        <w:rPr>
          <w:rFonts w:ascii="Arial" w:hAnsi="Arial" w:cs="Arial"/>
          <w:bCs/>
        </w:rPr>
        <w:t xml:space="preserve">được ghi nhận theo </w:t>
      </w:r>
      <w:r w:rsidR="0002379A" w:rsidRPr="00010F83">
        <w:rPr>
          <w:rFonts w:ascii="Arial" w:hAnsi="Arial" w:cs="Arial"/>
          <w:bCs/>
        </w:rPr>
        <w:t xml:space="preserve">hướng dẫn của </w:t>
      </w:r>
      <w:r w:rsidRPr="00010F83">
        <w:rPr>
          <w:rFonts w:ascii="Arial" w:hAnsi="Arial" w:cs="Arial"/>
          <w:bCs/>
        </w:rPr>
        <w:t>đoạn 44.</w:t>
      </w:r>
    </w:p>
    <w:p w:rsidR="006E4953" w:rsidRPr="00010F83" w:rsidRDefault="006E4953" w:rsidP="006E4953">
      <w:pPr>
        <w:autoSpaceDE w:val="0"/>
        <w:autoSpaceDN w:val="0"/>
        <w:adjustRightInd w:val="0"/>
        <w:spacing w:after="120" w:line="240" w:lineRule="auto"/>
        <w:ind w:left="720"/>
        <w:jc w:val="both"/>
        <w:rPr>
          <w:rFonts w:ascii="Arial" w:hAnsi="Arial" w:cs="Arial"/>
          <w:bCs/>
        </w:rPr>
      </w:pPr>
    </w:p>
    <w:p w:rsidR="00C530A3" w:rsidRPr="00010F83" w:rsidRDefault="00C530A3" w:rsidP="006E4953">
      <w:pPr>
        <w:autoSpaceDE w:val="0"/>
        <w:autoSpaceDN w:val="0"/>
        <w:adjustRightInd w:val="0"/>
        <w:spacing w:after="120" w:line="240" w:lineRule="auto"/>
        <w:ind w:left="720" w:hanging="720"/>
        <w:jc w:val="both"/>
        <w:rPr>
          <w:rFonts w:ascii="Arial" w:hAnsi="Arial" w:cs="Arial"/>
          <w:bCs/>
        </w:rPr>
      </w:pPr>
      <w:r w:rsidRPr="00010F83">
        <w:rPr>
          <w:rFonts w:ascii="Arial" w:hAnsi="Arial" w:cs="Arial"/>
          <w:bCs/>
        </w:rPr>
        <w:t>25.</w:t>
      </w:r>
      <w:r w:rsidRPr="00010F83">
        <w:rPr>
          <w:rFonts w:ascii="Arial" w:hAnsi="Arial" w:cs="Arial"/>
          <w:bCs/>
        </w:rPr>
        <w:tab/>
      </w:r>
      <w:r w:rsidR="00D46F8B" w:rsidRPr="00010F83">
        <w:rPr>
          <w:rFonts w:ascii="Arial" w:hAnsi="Arial" w:cs="Arial"/>
          <w:bCs/>
        </w:rPr>
        <w:t>Cơ sở ghi nhận một khoản nợ phải trả là</w:t>
      </w:r>
      <w:r w:rsidR="00D46F8B" w:rsidRPr="00010F83" w:rsidDel="00D46F8B">
        <w:rPr>
          <w:rFonts w:ascii="Arial" w:hAnsi="Arial" w:cs="Arial"/>
          <w:bCs/>
        </w:rPr>
        <w:t xml:space="preserve"> </w:t>
      </w:r>
      <w:r w:rsidR="00C3430D" w:rsidRPr="00010F83">
        <w:rPr>
          <w:rFonts w:ascii="Arial" w:hAnsi="Arial" w:cs="Arial"/>
          <w:bCs/>
        </w:rPr>
        <w:t>việc</w:t>
      </w:r>
      <w:r w:rsidR="002545C2" w:rsidRPr="00010F83">
        <w:rPr>
          <w:rFonts w:ascii="Arial" w:hAnsi="Arial" w:cs="Arial"/>
          <w:bCs/>
        </w:rPr>
        <w:t xml:space="preserve"> giá trị ghi sổ của </w:t>
      </w:r>
      <w:r w:rsidR="001A6A3F" w:rsidRPr="00010F83">
        <w:rPr>
          <w:rFonts w:ascii="Arial" w:hAnsi="Arial" w:cs="Arial"/>
          <w:bCs/>
        </w:rPr>
        <w:t>khoản nợ đó</w:t>
      </w:r>
      <w:r w:rsidR="002545C2" w:rsidRPr="00010F83">
        <w:rPr>
          <w:rFonts w:ascii="Arial" w:hAnsi="Arial" w:cs="Arial"/>
          <w:bCs/>
        </w:rPr>
        <w:t xml:space="preserve"> sẽ được thanh toán trong tương lai thông qua việc đơn vị bị mất đi lợi ích kinh tế. </w:t>
      </w:r>
      <w:proofErr w:type="gramStart"/>
      <w:r w:rsidR="002545C2" w:rsidRPr="00010F83">
        <w:rPr>
          <w:rFonts w:ascii="Arial" w:hAnsi="Arial" w:cs="Arial"/>
          <w:bCs/>
        </w:rPr>
        <w:t xml:space="preserve">Khi </w:t>
      </w:r>
      <w:r w:rsidR="00D46F8B" w:rsidRPr="00010F83">
        <w:rPr>
          <w:rFonts w:ascii="Arial" w:hAnsi="Arial" w:cs="Arial"/>
          <w:bCs/>
        </w:rPr>
        <w:t>lợi ích kinh tế</w:t>
      </w:r>
      <w:r w:rsidR="002545C2" w:rsidRPr="00010F83">
        <w:rPr>
          <w:rFonts w:ascii="Arial" w:hAnsi="Arial" w:cs="Arial"/>
          <w:bCs/>
        </w:rPr>
        <w:t xml:space="preserve"> bị mất đi, một phần hoặc toàn bộ giá trị của chúng có thể được </w:t>
      </w:r>
      <w:r w:rsidR="00D46F8B" w:rsidRPr="00010F83">
        <w:rPr>
          <w:rFonts w:ascii="Arial" w:hAnsi="Arial" w:cs="Arial"/>
          <w:bCs/>
        </w:rPr>
        <w:t xml:space="preserve">giảm trừ khỏi lợi nhuận tính </w:t>
      </w:r>
      <w:r w:rsidR="002545C2" w:rsidRPr="00010F83">
        <w:rPr>
          <w:rFonts w:ascii="Arial" w:hAnsi="Arial" w:cs="Arial"/>
          <w:bCs/>
        </w:rPr>
        <w:t xml:space="preserve">thuế </w:t>
      </w:r>
      <w:r w:rsidR="001A6A3F" w:rsidRPr="00010F83">
        <w:rPr>
          <w:rFonts w:ascii="Arial" w:hAnsi="Arial" w:cs="Arial"/>
          <w:bCs/>
        </w:rPr>
        <w:t>tại</w:t>
      </w:r>
      <w:r w:rsidR="002545C2" w:rsidRPr="00010F83">
        <w:rPr>
          <w:rFonts w:ascii="Arial" w:hAnsi="Arial" w:cs="Arial"/>
          <w:bCs/>
        </w:rPr>
        <w:t xml:space="preserve"> kỳ</w:t>
      </w:r>
      <w:r w:rsidR="001A6A3F" w:rsidRPr="00010F83">
        <w:rPr>
          <w:rFonts w:ascii="Arial" w:hAnsi="Arial" w:cs="Arial"/>
          <w:bCs/>
        </w:rPr>
        <w:t xml:space="preserve"> </w:t>
      </w:r>
      <w:r w:rsidR="002545C2" w:rsidRPr="00010F83">
        <w:rPr>
          <w:rFonts w:ascii="Arial" w:hAnsi="Arial" w:cs="Arial"/>
          <w:bCs/>
        </w:rPr>
        <w:t>sau kỳ mà khoản nợ phải trả đó được ghi nhận.</w:t>
      </w:r>
      <w:proofErr w:type="gramEnd"/>
      <w:r w:rsidR="002545C2" w:rsidRPr="00010F83">
        <w:rPr>
          <w:rFonts w:ascii="Arial" w:hAnsi="Arial" w:cs="Arial"/>
          <w:bCs/>
        </w:rPr>
        <w:t xml:space="preserve"> </w:t>
      </w:r>
      <w:proofErr w:type="gramStart"/>
      <w:r w:rsidR="00D46F8B" w:rsidRPr="00010F83">
        <w:rPr>
          <w:rFonts w:ascii="Arial" w:hAnsi="Arial" w:cs="Arial"/>
          <w:bCs/>
        </w:rPr>
        <w:t>Trong t</w:t>
      </w:r>
      <w:r w:rsidR="002545C2" w:rsidRPr="00010F83">
        <w:rPr>
          <w:rFonts w:ascii="Arial" w:hAnsi="Arial" w:cs="Arial"/>
          <w:bCs/>
        </w:rPr>
        <w:t xml:space="preserve">rường hợp </w:t>
      </w:r>
      <w:r w:rsidR="001A6A3F" w:rsidRPr="00010F83">
        <w:rPr>
          <w:rFonts w:ascii="Arial" w:hAnsi="Arial" w:cs="Arial"/>
          <w:bCs/>
        </w:rPr>
        <w:t>này</w:t>
      </w:r>
      <w:r w:rsidR="002545C2" w:rsidRPr="00010F83">
        <w:rPr>
          <w:rFonts w:ascii="Arial" w:hAnsi="Arial" w:cs="Arial"/>
          <w:bCs/>
        </w:rPr>
        <w:t>, chênh lệch tạm thời tồn tại giữa giá trị ghi sổ và cơ sở tính thuế của khoản nợ phải trả đó.</w:t>
      </w:r>
      <w:proofErr w:type="gramEnd"/>
      <w:r w:rsidR="002545C2" w:rsidRPr="00010F83">
        <w:rPr>
          <w:rFonts w:ascii="Arial" w:hAnsi="Arial" w:cs="Arial"/>
          <w:bCs/>
        </w:rPr>
        <w:t xml:space="preserve"> Do vậ</w:t>
      </w:r>
      <w:r w:rsidR="001A6A3F" w:rsidRPr="00010F83">
        <w:rPr>
          <w:rFonts w:ascii="Arial" w:hAnsi="Arial" w:cs="Arial"/>
          <w:bCs/>
        </w:rPr>
        <w:t xml:space="preserve">y, </w:t>
      </w:r>
      <w:r w:rsidR="00D46F8B" w:rsidRPr="00010F83">
        <w:rPr>
          <w:rFonts w:ascii="Arial" w:hAnsi="Arial" w:cs="Arial"/>
          <w:bCs/>
        </w:rPr>
        <w:t xml:space="preserve">phát sinh một tài sản thuế </w:t>
      </w:r>
      <w:proofErr w:type="gramStart"/>
      <w:r w:rsidR="00D46F8B" w:rsidRPr="00010F83">
        <w:rPr>
          <w:rFonts w:ascii="Arial" w:hAnsi="Arial" w:cs="Arial"/>
          <w:bCs/>
        </w:rPr>
        <w:t>thu</w:t>
      </w:r>
      <w:proofErr w:type="gramEnd"/>
      <w:r w:rsidR="00D46F8B" w:rsidRPr="00010F83">
        <w:rPr>
          <w:rFonts w:ascii="Arial" w:hAnsi="Arial" w:cs="Arial"/>
          <w:bCs/>
        </w:rPr>
        <w:t xml:space="preserve"> nhập hoãn lại tương ứng </w:t>
      </w:r>
      <w:r w:rsidR="002545C2" w:rsidRPr="00010F83">
        <w:rPr>
          <w:rFonts w:ascii="Arial" w:hAnsi="Arial" w:cs="Arial"/>
          <w:bCs/>
        </w:rPr>
        <w:t xml:space="preserve">với các khoản thuế thu nhập sẽ được thu hồi trong tương lai khi phần của khoản nợ phải trả đó được phép khấu trừ </w:t>
      </w:r>
      <w:r w:rsidR="007B64CF" w:rsidRPr="00010F83">
        <w:rPr>
          <w:rFonts w:ascii="Arial" w:hAnsi="Arial" w:cs="Arial"/>
          <w:bCs/>
        </w:rPr>
        <w:t xml:space="preserve">khi xác định thu nhập chịu </w:t>
      </w:r>
      <w:r w:rsidR="002545C2" w:rsidRPr="00010F83">
        <w:rPr>
          <w:rFonts w:ascii="Arial" w:hAnsi="Arial" w:cs="Arial"/>
          <w:bCs/>
        </w:rPr>
        <w:t>thuế</w:t>
      </w:r>
      <w:r w:rsidR="001A6A3F" w:rsidRPr="00010F83">
        <w:rPr>
          <w:rFonts w:ascii="Arial" w:hAnsi="Arial" w:cs="Arial"/>
          <w:bCs/>
        </w:rPr>
        <w:t xml:space="preserve">. </w:t>
      </w:r>
      <w:r w:rsidR="002545C2" w:rsidRPr="00010F83">
        <w:rPr>
          <w:rFonts w:ascii="Arial" w:hAnsi="Arial" w:cs="Arial"/>
          <w:bCs/>
        </w:rPr>
        <w:t xml:space="preserve">Tương tự như vậy, nếu giá trị ghi sổ của một tài sản nhỏ hơn cơ sở tính thuế của tài sản đó thì khoản chênh lệch làm phát sinh một </w:t>
      </w:r>
      <w:r w:rsidR="006805F0" w:rsidRPr="00010F83">
        <w:rPr>
          <w:rFonts w:ascii="Arial" w:hAnsi="Arial" w:cs="Arial"/>
          <w:bCs/>
        </w:rPr>
        <w:t xml:space="preserve">tài sản </w:t>
      </w:r>
      <w:r w:rsidR="00731917" w:rsidRPr="00010F83">
        <w:rPr>
          <w:rFonts w:ascii="Arial" w:hAnsi="Arial" w:cs="Arial"/>
          <w:bCs/>
        </w:rPr>
        <w:t>thuế TNDN</w:t>
      </w:r>
      <w:r w:rsidR="006805F0" w:rsidRPr="00010F83">
        <w:rPr>
          <w:rFonts w:ascii="Arial" w:hAnsi="Arial" w:cs="Arial"/>
          <w:bCs/>
        </w:rPr>
        <w:t xml:space="preserve"> hoãn lại</w:t>
      </w:r>
      <w:r w:rsidR="002545C2" w:rsidRPr="00010F83">
        <w:rPr>
          <w:rFonts w:ascii="Arial" w:hAnsi="Arial" w:cs="Arial"/>
          <w:bCs/>
        </w:rPr>
        <w:t xml:space="preserve"> tương ứng với các khoản thuế sẽ được </w:t>
      </w:r>
      <w:proofErr w:type="gramStart"/>
      <w:r w:rsidR="002545C2" w:rsidRPr="00010F83">
        <w:rPr>
          <w:rFonts w:ascii="Arial" w:hAnsi="Arial" w:cs="Arial"/>
          <w:bCs/>
        </w:rPr>
        <w:t>thu</w:t>
      </w:r>
      <w:proofErr w:type="gramEnd"/>
      <w:r w:rsidR="002545C2" w:rsidRPr="00010F83">
        <w:rPr>
          <w:rFonts w:ascii="Arial" w:hAnsi="Arial" w:cs="Arial"/>
          <w:bCs/>
        </w:rPr>
        <w:t xml:space="preserve"> hồi </w:t>
      </w:r>
      <w:r w:rsidR="001A6A3F" w:rsidRPr="00010F83">
        <w:rPr>
          <w:rFonts w:ascii="Arial" w:hAnsi="Arial" w:cs="Arial"/>
          <w:bCs/>
        </w:rPr>
        <w:t xml:space="preserve">(được giảm) </w:t>
      </w:r>
      <w:r w:rsidR="002545C2" w:rsidRPr="00010F83">
        <w:rPr>
          <w:rFonts w:ascii="Arial" w:hAnsi="Arial" w:cs="Arial"/>
          <w:bCs/>
        </w:rPr>
        <w:t>trong tương lai</w:t>
      </w:r>
      <w:r w:rsidR="001A6A3F" w:rsidRPr="00010F83">
        <w:rPr>
          <w:rFonts w:ascii="Arial" w:hAnsi="Arial" w:cs="Arial"/>
          <w:bCs/>
        </w:rPr>
        <w:t xml:space="preserve"> do có các khoản khấu trừ phát sinh</w:t>
      </w:r>
      <w:r w:rsidR="002545C2" w:rsidRPr="00010F83">
        <w:rPr>
          <w:rFonts w:ascii="Arial" w:hAnsi="Arial" w:cs="Arial"/>
          <w:bCs/>
        </w:rPr>
        <w:t>.</w:t>
      </w:r>
    </w:p>
    <w:p w:rsidR="006E4953" w:rsidRPr="00010F83" w:rsidRDefault="006E4953">
      <w:pPr>
        <w:rPr>
          <w:rFonts w:ascii="Arial" w:hAnsi="Arial" w:cs="Arial"/>
          <w:b/>
          <w:bCs/>
        </w:rPr>
      </w:pPr>
      <w:r w:rsidRPr="00010F83">
        <w:rPr>
          <w:rFonts w:ascii="Arial" w:hAnsi="Arial" w:cs="Arial"/>
          <w:b/>
          <w:bCs/>
        </w:rPr>
        <w:br w:type="page"/>
      </w:r>
    </w:p>
    <w:p w:rsidR="00F62E22" w:rsidRPr="00010F83" w:rsidRDefault="00F62E22" w:rsidP="006E4953">
      <w:pPr>
        <w:autoSpaceDE w:val="0"/>
        <w:autoSpaceDN w:val="0"/>
        <w:adjustRightInd w:val="0"/>
        <w:spacing w:after="120" w:line="240" w:lineRule="auto"/>
        <w:ind w:left="720" w:hanging="720"/>
        <w:jc w:val="both"/>
        <w:rPr>
          <w:rFonts w:ascii="Arial" w:hAnsi="Arial" w:cs="Arial"/>
          <w:b/>
          <w:bCs/>
        </w:rPr>
      </w:pPr>
    </w:p>
    <w:tbl>
      <w:tblPr>
        <w:tblStyle w:val="TableGrid"/>
        <w:tblW w:w="0" w:type="auto"/>
        <w:tblInd w:w="720" w:type="dxa"/>
        <w:tblLook w:val="04A0"/>
      </w:tblPr>
      <w:tblGrid>
        <w:gridCol w:w="8630"/>
      </w:tblGrid>
      <w:tr w:rsidR="00C530A3" w:rsidRPr="00010F83" w:rsidTr="000F51B1">
        <w:tc>
          <w:tcPr>
            <w:tcW w:w="8630" w:type="dxa"/>
          </w:tcPr>
          <w:p w:rsidR="00C530A3" w:rsidRPr="00010F83" w:rsidRDefault="00C3430D" w:rsidP="00590853">
            <w:pPr>
              <w:pStyle w:val="ListParagraph"/>
              <w:spacing w:after="120"/>
              <w:ind w:left="0"/>
              <w:jc w:val="both"/>
              <w:rPr>
                <w:rFonts w:ascii="Arial" w:hAnsi="Arial" w:cs="Arial"/>
                <w:b/>
                <w:sz w:val="22"/>
                <w:szCs w:val="22"/>
              </w:rPr>
            </w:pPr>
            <w:r w:rsidRPr="00010F83">
              <w:rPr>
                <w:rFonts w:ascii="Arial" w:hAnsi="Arial" w:cs="Arial"/>
                <w:b/>
                <w:sz w:val="22"/>
                <w:szCs w:val="22"/>
              </w:rPr>
              <w:t>Ví dụ</w:t>
            </w:r>
          </w:p>
        </w:tc>
      </w:tr>
      <w:tr w:rsidR="00C530A3" w:rsidRPr="00010F83" w:rsidTr="000F51B1">
        <w:tc>
          <w:tcPr>
            <w:tcW w:w="8630" w:type="dxa"/>
          </w:tcPr>
          <w:p w:rsidR="00C530A3" w:rsidRPr="00010F83" w:rsidRDefault="0077091F" w:rsidP="00590853">
            <w:pPr>
              <w:spacing w:after="120"/>
              <w:jc w:val="both"/>
              <w:rPr>
                <w:rFonts w:ascii="Arial" w:hAnsi="Arial" w:cs="Arial"/>
              </w:rPr>
            </w:pPr>
            <w:r w:rsidRPr="00010F83">
              <w:rPr>
                <w:rFonts w:ascii="Arial" w:hAnsi="Arial" w:cs="Arial"/>
              </w:rPr>
              <w:t>Đ</w:t>
            </w:r>
            <w:r w:rsidR="002545C2" w:rsidRPr="00010F83">
              <w:rPr>
                <w:rFonts w:ascii="Arial" w:hAnsi="Arial" w:cs="Arial"/>
              </w:rPr>
              <w:t>ơn vị ghi nhận một khoản nợ phải trả 100 cho chi phí</w:t>
            </w:r>
            <w:r w:rsidR="00C3430D" w:rsidRPr="00010F83">
              <w:rPr>
                <w:rFonts w:ascii="Arial" w:hAnsi="Arial" w:cs="Arial"/>
              </w:rPr>
              <w:t xml:space="preserve"> bảo hành sản phẩm</w:t>
            </w:r>
            <w:r w:rsidR="002545C2" w:rsidRPr="00010F83">
              <w:rPr>
                <w:rFonts w:ascii="Arial" w:hAnsi="Arial" w:cs="Arial"/>
              </w:rPr>
              <w:t xml:space="preserve"> </w:t>
            </w:r>
            <w:r w:rsidRPr="00010F83">
              <w:rPr>
                <w:rFonts w:ascii="Arial" w:hAnsi="Arial" w:cs="Arial"/>
              </w:rPr>
              <w:t xml:space="preserve">ước tính </w:t>
            </w:r>
            <w:r w:rsidR="002545C2" w:rsidRPr="00010F83">
              <w:rPr>
                <w:rFonts w:ascii="Arial" w:hAnsi="Arial" w:cs="Arial"/>
              </w:rPr>
              <w:t>phải trả. Cho mục đích tính thuế</w:t>
            </w:r>
            <w:r w:rsidR="00D46F8B" w:rsidRPr="00010F83">
              <w:rPr>
                <w:rFonts w:ascii="Arial" w:hAnsi="Arial" w:cs="Arial"/>
              </w:rPr>
              <w:t xml:space="preserve"> thu nhập</w:t>
            </w:r>
            <w:r w:rsidR="002545C2" w:rsidRPr="00010F83">
              <w:rPr>
                <w:rFonts w:ascii="Arial" w:hAnsi="Arial" w:cs="Arial"/>
              </w:rPr>
              <w:t xml:space="preserve">, chi phí bảo hành sản phẩm chỉ được khấu trừ </w:t>
            </w:r>
            <w:r w:rsidRPr="00010F83">
              <w:rPr>
                <w:rFonts w:ascii="Arial" w:hAnsi="Arial" w:cs="Arial"/>
              </w:rPr>
              <w:t xml:space="preserve">thuế </w:t>
            </w:r>
            <w:r w:rsidR="002545C2" w:rsidRPr="00010F83">
              <w:rPr>
                <w:rFonts w:ascii="Arial" w:hAnsi="Arial" w:cs="Arial"/>
              </w:rPr>
              <w:t>khi đơn vị thanh toán nghĩa vụ bảo hành. Thuế suất</w:t>
            </w:r>
            <w:r w:rsidR="00D46F8B" w:rsidRPr="00010F83">
              <w:rPr>
                <w:rFonts w:ascii="Arial" w:hAnsi="Arial" w:cs="Arial"/>
              </w:rPr>
              <w:t xml:space="preserve"> thuế TNDN</w:t>
            </w:r>
            <w:r w:rsidR="002545C2" w:rsidRPr="00010F83">
              <w:rPr>
                <w:rFonts w:ascii="Arial" w:hAnsi="Arial" w:cs="Arial"/>
              </w:rPr>
              <w:t xml:space="preserve"> là 25%.</w:t>
            </w:r>
          </w:p>
          <w:p w:rsidR="00C530A3" w:rsidRPr="00010F83" w:rsidRDefault="002545C2" w:rsidP="00590853">
            <w:pPr>
              <w:pStyle w:val="ListParagraph"/>
              <w:spacing w:after="120"/>
              <w:ind w:left="0"/>
              <w:jc w:val="both"/>
              <w:rPr>
                <w:rFonts w:ascii="Arial" w:hAnsi="Arial" w:cs="Arial"/>
                <w:i/>
                <w:sz w:val="22"/>
                <w:szCs w:val="22"/>
              </w:rPr>
            </w:pPr>
            <w:r w:rsidRPr="00010F83">
              <w:rPr>
                <w:rFonts w:ascii="Arial" w:hAnsi="Arial" w:cs="Arial"/>
                <w:i/>
                <w:sz w:val="22"/>
                <w:szCs w:val="22"/>
              </w:rPr>
              <w:t xml:space="preserve">Cơ sở tính thuế của khoản nợ phải trả này </w:t>
            </w:r>
            <w:r w:rsidR="0077091F" w:rsidRPr="00010F83">
              <w:rPr>
                <w:rFonts w:ascii="Arial" w:hAnsi="Arial" w:cs="Arial"/>
                <w:i/>
                <w:sz w:val="22"/>
                <w:szCs w:val="22"/>
              </w:rPr>
              <w:t>bằng</w:t>
            </w:r>
            <w:r w:rsidRPr="00010F83">
              <w:rPr>
                <w:rFonts w:ascii="Arial" w:hAnsi="Arial" w:cs="Arial"/>
                <w:i/>
                <w:sz w:val="22"/>
                <w:szCs w:val="22"/>
              </w:rPr>
              <w:t xml:space="preserve"> không (giá trị ghi sổ 100, trừ đi phần giá trị của khoản nợ phải trả 100 sẽ</w:t>
            </w:r>
            <w:r w:rsidR="0077091F" w:rsidRPr="00010F83">
              <w:rPr>
                <w:rFonts w:ascii="Arial" w:hAnsi="Arial" w:cs="Arial"/>
                <w:i/>
                <w:sz w:val="22"/>
                <w:szCs w:val="22"/>
              </w:rPr>
              <w:t xml:space="preserve"> được khấu trừ</w:t>
            </w:r>
            <w:r w:rsidRPr="00010F83">
              <w:rPr>
                <w:rFonts w:ascii="Arial" w:hAnsi="Arial" w:cs="Arial"/>
                <w:i/>
                <w:sz w:val="22"/>
                <w:szCs w:val="22"/>
              </w:rPr>
              <w:t xml:space="preserve"> </w:t>
            </w:r>
            <w:r w:rsidR="00D46F8B" w:rsidRPr="00010F83">
              <w:rPr>
                <w:rFonts w:ascii="Arial" w:hAnsi="Arial" w:cs="Arial"/>
                <w:i/>
                <w:sz w:val="22"/>
                <w:szCs w:val="22"/>
              </w:rPr>
              <w:t xml:space="preserve">cho mục đích tính </w:t>
            </w:r>
            <w:r w:rsidRPr="00010F83">
              <w:rPr>
                <w:rFonts w:ascii="Arial" w:hAnsi="Arial" w:cs="Arial"/>
                <w:i/>
                <w:sz w:val="22"/>
                <w:szCs w:val="22"/>
              </w:rPr>
              <w:t xml:space="preserve">thuế trong tương lai). Khi thanh toán nợ phải trả theo giá trị ghi sổ, đơn vị sẽ được giảm lợi nhuận tính thuế trong tương lai của mình với </w:t>
            </w:r>
            <w:r w:rsidR="0077091F" w:rsidRPr="00010F83">
              <w:rPr>
                <w:rFonts w:ascii="Arial" w:hAnsi="Arial" w:cs="Arial"/>
                <w:i/>
                <w:sz w:val="22"/>
                <w:szCs w:val="22"/>
              </w:rPr>
              <w:t>khoản khấu trừ</w:t>
            </w:r>
            <w:r w:rsidRPr="00010F83">
              <w:rPr>
                <w:rFonts w:ascii="Arial" w:hAnsi="Arial" w:cs="Arial"/>
                <w:i/>
                <w:sz w:val="22"/>
                <w:szCs w:val="22"/>
              </w:rPr>
              <w:t xml:space="preserve"> 100 và do đó thuế </w:t>
            </w:r>
            <w:r w:rsidR="0077091F" w:rsidRPr="00010F83">
              <w:rPr>
                <w:rFonts w:ascii="Arial" w:hAnsi="Arial" w:cs="Arial"/>
                <w:i/>
                <w:sz w:val="22"/>
                <w:szCs w:val="22"/>
              </w:rPr>
              <w:t xml:space="preserve">(trong tương lai) </w:t>
            </w:r>
            <w:r w:rsidRPr="00010F83">
              <w:rPr>
                <w:rFonts w:ascii="Arial" w:hAnsi="Arial" w:cs="Arial"/>
                <w:i/>
                <w:sz w:val="22"/>
                <w:szCs w:val="22"/>
              </w:rPr>
              <w:t xml:space="preserve">giảm 25 (25% x 100). Chênh lệch giữa giá trị ghi sổ 100 và cơ sở tính thuế bằng không là chênh lệch tạm thời được khấu trừ 100. Vì vậy, đơn vị ghi nhận </w:t>
            </w:r>
            <w:r w:rsidR="006805F0" w:rsidRPr="00010F83">
              <w:rPr>
                <w:rFonts w:ascii="Arial" w:hAnsi="Arial" w:cs="Arial"/>
                <w:i/>
                <w:sz w:val="22"/>
                <w:szCs w:val="22"/>
              </w:rPr>
              <w:t xml:space="preserve">tài sản </w:t>
            </w:r>
            <w:r w:rsidR="00731917" w:rsidRPr="00010F83">
              <w:rPr>
                <w:rFonts w:ascii="Arial" w:hAnsi="Arial" w:cs="Arial"/>
                <w:i/>
                <w:sz w:val="22"/>
                <w:szCs w:val="22"/>
              </w:rPr>
              <w:t>thuế TNDN</w:t>
            </w:r>
            <w:r w:rsidR="006805F0" w:rsidRPr="00010F83">
              <w:rPr>
                <w:rFonts w:ascii="Arial" w:hAnsi="Arial" w:cs="Arial"/>
                <w:i/>
                <w:sz w:val="22"/>
                <w:szCs w:val="22"/>
              </w:rPr>
              <w:t xml:space="preserve"> hoãn lại</w:t>
            </w:r>
            <w:r w:rsidRPr="00010F83">
              <w:rPr>
                <w:rFonts w:ascii="Arial" w:hAnsi="Arial" w:cs="Arial"/>
                <w:i/>
                <w:sz w:val="22"/>
                <w:szCs w:val="22"/>
              </w:rPr>
              <w:t xml:space="preserve"> là 25 (25% x 100), với điều kiện đơn vị chắc chắn sẽ có được đủ lợi nhuận tính thuế trong tương lai để có thể hưởng lợi từ việc </w:t>
            </w:r>
            <w:r w:rsidR="0077091F" w:rsidRPr="00010F83">
              <w:rPr>
                <w:rFonts w:ascii="Arial" w:hAnsi="Arial" w:cs="Arial"/>
                <w:i/>
                <w:sz w:val="22"/>
                <w:szCs w:val="22"/>
              </w:rPr>
              <w:t>khấu trừ</w:t>
            </w:r>
            <w:r w:rsidRPr="00010F83">
              <w:rPr>
                <w:rFonts w:ascii="Arial" w:hAnsi="Arial" w:cs="Arial"/>
                <w:i/>
                <w:sz w:val="22"/>
                <w:szCs w:val="22"/>
              </w:rPr>
              <w:t xml:space="preserve"> thuế trong tương lai.</w:t>
            </w:r>
          </w:p>
        </w:tc>
      </w:tr>
    </w:tbl>
    <w:p w:rsidR="00C530A3" w:rsidRPr="00010F83" w:rsidRDefault="00C530A3" w:rsidP="00590853">
      <w:pPr>
        <w:autoSpaceDE w:val="0"/>
        <w:autoSpaceDN w:val="0"/>
        <w:adjustRightInd w:val="0"/>
        <w:spacing w:after="120" w:line="240" w:lineRule="auto"/>
        <w:jc w:val="both"/>
        <w:rPr>
          <w:rFonts w:ascii="Arial" w:hAnsi="Arial" w:cs="Arial"/>
          <w:bCs/>
        </w:rPr>
      </w:pPr>
    </w:p>
    <w:p w:rsidR="00C530A3" w:rsidRPr="00010F83" w:rsidRDefault="00C530A3" w:rsidP="006E4953">
      <w:pPr>
        <w:autoSpaceDE w:val="0"/>
        <w:autoSpaceDN w:val="0"/>
        <w:adjustRightInd w:val="0"/>
        <w:spacing w:after="120" w:line="240" w:lineRule="auto"/>
        <w:ind w:left="720" w:hanging="720"/>
        <w:jc w:val="both"/>
        <w:rPr>
          <w:rFonts w:ascii="Arial" w:hAnsi="Arial" w:cs="Arial"/>
          <w:bCs/>
        </w:rPr>
      </w:pPr>
      <w:r w:rsidRPr="00010F83">
        <w:rPr>
          <w:rFonts w:ascii="Arial" w:hAnsi="Arial" w:cs="Arial"/>
          <w:bCs/>
        </w:rPr>
        <w:t>26.</w:t>
      </w:r>
      <w:r w:rsidRPr="00010F83">
        <w:rPr>
          <w:rFonts w:ascii="Arial" w:hAnsi="Arial" w:cs="Arial"/>
          <w:bCs/>
        </w:rPr>
        <w:tab/>
      </w:r>
      <w:r w:rsidR="002545C2" w:rsidRPr="00010F83">
        <w:rPr>
          <w:rFonts w:ascii="Arial" w:hAnsi="Arial" w:cs="Arial"/>
          <w:bCs/>
        </w:rPr>
        <w:t xml:space="preserve">Dưới đây là một số ví dụ về chênh lệch tạm thời được khấu trừ tạo ra </w:t>
      </w:r>
      <w:r w:rsidR="006805F0" w:rsidRPr="00010F83">
        <w:rPr>
          <w:rFonts w:ascii="Arial" w:hAnsi="Arial" w:cs="Arial"/>
          <w:bCs/>
        </w:rPr>
        <w:t xml:space="preserve">tài sản </w:t>
      </w:r>
      <w:r w:rsidR="00731917" w:rsidRPr="00010F83">
        <w:rPr>
          <w:rFonts w:ascii="Arial" w:hAnsi="Arial" w:cs="Arial"/>
          <w:bCs/>
        </w:rPr>
        <w:t>thuế TNDN</w:t>
      </w:r>
      <w:r w:rsidR="006805F0" w:rsidRPr="00010F83">
        <w:rPr>
          <w:rFonts w:ascii="Arial" w:hAnsi="Arial" w:cs="Arial"/>
          <w:bCs/>
        </w:rPr>
        <w:t xml:space="preserve"> hoãn lại</w:t>
      </w:r>
      <w:r w:rsidR="002545C2" w:rsidRPr="00010F83">
        <w:rPr>
          <w:rFonts w:ascii="Arial" w:hAnsi="Arial" w:cs="Arial"/>
          <w:bCs/>
        </w:rPr>
        <w:t>:</w:t>
      </w:r>
    </w:p>
    <w:p w:rsidR="002545C2" w:rsidRPr="00010F83" w:rsidRDefault="007B64CF" w:rsidP="006E4953">
      <w:pPr>
        <w:pStyle w:val="ListParagraph"/>
        <w:numPr>
          <w:ilvl w:val="0"/>
          <w:numId w:val="17"/>
        </w:numPr>
        <w:autoSpaceDE w:val="0"/>
        <w:autoSpaceDN w:val="0"/>
        <w:adjustRightInd w:val="0"/>
        <w:spacing w:after="120"/>
        <w:ind w:left="1080"/>
        <w:jc w:val="both"/>
        <w:rPr>
          <w:rFonts w:ascii="Arial" w:hAnsi="Arial" w:cs="Arial"/>
          <w:bCs/>
          <w:sz w:val="22"/>
          <w:szCs w:val="22"/>
        </w:rPr>
      </w:pPr>
      <w:r w:rsidRPr="00010F83">
        <w:rPr>
          <w:rFonts w:ascii="Arial" w:hAnsi="Arial" w:cs="Arial"/>
          <w:bCs/>
          <w:sz w:val="22"/>
          <w:szCs w:val="22"/>
        </w:rPr>
        <w:t xml:space="preserve">Lương hưu </w:t>
      </w:r>
      <w:r w:rsidR="00D46F8B" w:rsidRPr="00010F83">
        <w:rPr>
          <w:rFonts w:ascii="Arial" w:hAnsi="Arial" w:cs="Arial"/>
          <w:bCs/>
          <w:sz w:val="22"/>
          <w:szCs w:val="22"/>
        </w:rPr>
        <w:t xml:space="preserve">phải trả </w:t>
      </w:r>
      <w:r w:rsidR="0077091F" w:rsidRPr="00010F83">
        <w:rPr>
          <w:rFonts w:ascii="Arial" w:hAnsi="Arial" w:cs="Arial"/>
          <w:bCs/>
          <w:sz w:val="22"/>
          <w:szCs w:val="22"/>
        </w:rPr>
        <w:t>cho nhân viên</w:t>
      </w:r>
      <w:r w:rsidR="002545C2" w:rsidRPr="00010F83">
        <w:rPr>
          <w:rFonts w:ascii="Arial" w:hAnsi="Arial" w:cs="Arial"/>
          <w:bCs/>
          <w:sz w:val="22"/>
          <w:szCs w:val="22"/>
        </w:rPr>
        <w:t xml:space="preserve"> được </w:t>
      </w:r>
      <w:r w:rsidR="0077091F" w:rsidRPr="00010F83">
        <w:rPr>
          <w:rFonts w:ascii="Arial" w:hAnsi="Arial" w:cs="Arial"/>
          <w:bCs/>
          <w:sz w:val="22"/>
          <w:szCs w:val="22"/>
        </w:rPr>
        <w:t xml:space="preserve">hạch toán là chi phí </w:t>
      </w:r>
      <w:r w:rsidR="00D46F8B" w:rsidRPr="00010F83">
        <w:rPr>
          <w:rFonts w:ascii="Arial" w:hAnsi="Arial" w:cs="Arial"/>
          <w:bCs/>
          <w:sz w:val="22"/>
          <w:szCs w:val="22"/>
        </w:rPr>
        <w:t>khi</w:t>
      </w:r>
      <w:r w:rsidR="002545C2" w:rsidRPr="00010F83">
        <w:rPr>
          <w:rFonts w:ascii="Arial" w:hAnsi="Arial" w:cs="Arial"/>
          <w:bCs/>
          <w:sz w:val="22"/>
          <w:szCs w:val="22"/>
        </w:rPr>
        <w:t xml:space="preserve"> xác định lợi nhuận kế toán </w:t>
      </w:r>
      <w:r w:rsidR="0077091F" w:rsidRPr="00010F83">
        <w:rPr>
          <w:rFonts w:ascii="Arial" w:hAnsi="Arial" w:cs="Arial"/>
          <w:bCs/>
          <w:sz w:val="22"/>
          <w:szCs w:val="22"/>
        </w:rPr>
        <w:t>trong kỳ mà</w:t>
      </w:r>
      <w:r w:rsidR="002545C2" w:rsidRPr="00010F83">
        <w:rPr>
          <w:rFonts w:ascii="Arial" w:hAnsi="Arial" w:cs="Arial"/>
          <w:bCs/>
          <w:sz w:val="22"/>
          <w:szCs w:val="22"/>
        </w:rPr>
        <w:t xml:space="preserve"> nhân viên làm việc cho đơn vị, nhưng </w:t>
      </w:r>
      <w:r w:rsidR="0077091F" w:rsidRPr="00010F83">
        <w:rPr>
          <w:rFonts w:ascii="Arial" w:hAnsi="Arial" w:cs="Arial"/>
          <w:bCs/>
          <w:sz w:val="22"/>
          <w:szCs w:val="22"/>
        </w:rPr>
        <w:t xml:space="preserve">có thể chỉ được </w:t>
      </w:r>
      <w:r w:rsidR="002545C2" w:rsidRPr="00010F83">
        <w:rPr>
          <w:rFonts w:ascii="Arial" w:hAnsi="Arial" w:cs="Arial"/>
          <w:bCs/>
          <w:sz w:val="22"/>
          <w:szCs w:val="22"/>
        </w:rPr>
        <w:t xml:space="preserve">khấu trừ </w:t>
      </w:r>
      <w:r w:rsidR="0077091F" w:rsidRPr="00010F83">
        <w:rPr>
          <w:rFonts w:ascii="Arial" w:hAnsi="Arial" w:cs="Arial"/>
          <w:bCs/>
          <w:sz w:val="22"/>
          <w:szCs w:val="22"/>
        </w:rPr>
        <w:t>thuế khi đơn vị</w:t>
      </w:r>
      <w:r w:rsidR="002545C2" w:rsidRPr="00010F83">
        <w:rPr>
          <w:rFonts w:ascii="Arial" w:hAnsi="Arial" w:cs="Arial"/>
          <w:bCs/>
          <w:sz w:val="22"/>
          <w:szCs w:val="22"/>
        </w:rPr>
        <w:t xml:space="preserve"> </w:t>
      </w:r>
      <w:r w:rsidR="00D46F8B" w:rsidRPr="00010F83">
        <w:rPr>
          <w:rFonts w:ascii="Arial" w:hAnsi="Arial" w:cs="Arial"/>
          <w:bCs/>
          <w:sz w:val="22"/>
          <w:szCs w:val="22"/>
        </w:rPr>
        <w:t xml:space="preserve">thực trả phần đóng góp </w:t>
      </w:r>
      <w:r w:rsidR="002545C2" w:rsidRPr="00010F83">
        <w:rPr>
          <w:rFonts w:ascii="Arial" w:hAnsi="Arial" w:cs="Arial"/>
          <w:bCs/>
          <w:sz w:val="22"/>
          <w:szCs w:val="22"/>
        </w:rPr>
        <w:t xml:space="preserve">cho một quỹ hưu trí hoặc khi đơn vị thực trả </w:t>
      </w:r>
      <w:r w:rsidR="00D46F8B" w:rsidRPr="00010F83">
        <w:rPr>
          <w:rFonts w:ascii="Arial" w:hAnsi="Arial" w:cs="Arial"/>
          <w:bCs/>
          <w:sz w:val="22"/>
          <w:szCs w:val="22"/>
        </w:rPr>
        <w:t xml:space="preserve">lương hưu trực tiếp cho nhân viên. Sẽ phát sinh một khoản chênh </w:t>
      </w:r>
      <w:r w:rsidR="002545C2" w:rsidRPr="00010F83">
        <w:rPr>
          <w:rFonts w:ascii="Arial" w:hAnsi="Arial" w:cs="Arial"/>
          <w:bCs/>
          <w:sz w:val="22"/>
          <w:szCs w:val="22"/>
        </w:rPr>
        <w:t>lệch tạm thời giữa giá trị ghi sổ và cơ sở tính thuế của khoản nợ phải trả</w:t>
      </w:r>
      <w:r w:rsidR="00C3430D" w:rsidRPr="00010F83">
        <w:rPr>
          <w:rFonts w:ascii="Arial" w:hAnsi="Arial" w:cs="Arial"/>
          <w:bCs/>
          <w:sz w:val="22"/>
          <w:szCs w:val="22"/>
        </w:rPr>
        <w:t>;</w:t>
      </w:r>
      <w:r w:rsidR="002545C2" w:rsidRPr="00010F83">
        <w:rPr>
          <w:rFonts w:ascii="Arial" w:hAnsi="Arial" w:cs="Arial"/>
          <w:bCs/>
          <w:sz w:val="22"/>
          <w:szCs w:val="22"/>
        </w:rPr>
        <w:t xml:space="preserve"> cơ sở tính thuế của khoản nợ phải trả </w:t>
      </w:r>
      <w:r w:rsidR="0077091F" w:rsidRPr="00010F83">
        <w:rPr>
          <w:rFonts w:ascii="Arial" w:hAnsi="Arial" w:cs="Arial"/>
          <w:bCs/>
          <w:sz w:val="22"/>
          <w:szCs w:val="22"/>
        </w:rPr>
        <w:t>trong trường hợp này</w:t>
      </w:r>
      <w:r w:rsidR="002545C2" w:rsidRPr="00010F83">
        <w:rPr>
          <w:rFonts w:ascii="Arial" w:hAnsi="Arial" w:cs="Arial"/>
          <w:bCs/>
          <w:sz w:val="22"/>
          <w:szCs w:val="22"/>
        </w:rPr>
        <w:t xml:space="preserve"> bằng không. Chênh lệch tạm thời được khấu trừ này tạo ra một </w:t>
      </w:r>
      <w:r w:rsidR="006805F0" w:rsidRPr="00010F83">
        <w:rPr>
          <w:rFonts w:ascii="Arial" w:hAnsi="Arial" w:cs="Arial"/>
          <w:bCs/>
          <w:sz w:val="22"/>
          <w:szCs w:val="22"/>
        </w:rPr>
        <w:t xml:space="preserve">tài sản </w:t>
      </w:r>
      <w:r w:rsidR="00731917" w:rsidRPr="00010F83">
        <w:rPr>
          <w:rFonts w:ascii="Arial" w:hAnsi="Arial" w:cs="Arial"/>
          <w:bCs/>
          <w:sz w:val="22"/>
          <w:szCs w:val="22"/>
        </w:rPr>
        <w:t>thuế TNDN</w:t>
      </w:r>
      <w:r w:rsidR="006805F0" w:rsidRPr="00010F83">
        <w:rPr>
          <w:rFonts w:ascii="Arial" w:hAnsi="Arial" w:cs="Arial"/>
          <w:bCs/>
          <w:sz w:val="22"/>
          <w:szCs w:val="22"/>
        </w:rPr>
        <w:t xml:space="preserve"> hoãn lại</w:t>
      </w:r>
      <w:r w:rsidR="002545C2" w:rsidRPr="00010F83">
        <w:rPr>
          <w:rFonts w:ascii="Arial" w:hAnsi="Arial" w:cs="Arial"/>
          <w:bCs/>
          <w:sz w:val="22"/>
          <w:szCs w:val="22"/>
        </w:rPr>
        <w:t xml:space="preserve"> do đơn vị sẽ thu được lợi ích kinh tế dưới hình thức một khoản </w:t>
      </w:r>
      <w:r w:rsidR="0077091F" w:rsidRPr="00010F83">
        <w:rPr>
          <w:rFonts w:ascii="Arial" w:hAnsi="Arial" w:cs="Arial"/>
          <w:bCs/>
          <w:sz w:val="22"/>
          <w:szCs w:val="22"/>
        </w:rPr>
        <w:t>khấu trừ</w:t>
      </w:r>
      <w:r w:rsidR="002545C2" w:rsidRPr="00010F83">
        <w:rPr>
          <w:rFonts w:ascii="Arial" w:hAnsi="Arial" w:cs="Arial"/>
          <w:bCs/>
          <w:sz w:val="22"/>
          <w:szCs w:val="22"/>
        </w:rPr>
        <w:t xml:space="preserve"> thuế </w:t>
      </w:r>
      <w:r w:rsidR="0077091F" w:rsidRPr="00010F83">
        <w:rPr>
          <w:rFonts w:ascii="Arial" w:hAnsi="Arial" w:cs="Arial"/>
          <w:bCs/>
          <w:sz w:val="22"/>
          <w:szCs w:val="22"/>
        </w:rPr>
        <w:t xml:space="preserve">trong tương lai </w:t>
      </w:r>
      <w:r w:rsidR="002545C2" w:rsidRPr="00010F83">
        <w:rPr>
          <w:rFonts w:ascii="Arial" w:hAnsi="Arial" w:cs="Arial"/>
          <w:bCs/>
          <w:sz w:val="22"/>
          <w:szCs w:val="22"/>
        </w:rPr>
        <w:t xml:space="preserve">khi phần đóng góp quỹ hoặc </w:t>
      </w:r>
      <w:r w:rsidR="00D46F8B" w:rsidRPr="00010F83">
        <w:rPr>
          <w:rFonts w:ascii="Arial" w:hAnsi="Arial" w:cs="Arial"/>
          <w:bCs/>
          <w:sz w:val="22"/>
          <w:szCs w:val="22"/>
        </w:rPr>
        <w:t>khi thanh toán lương hưu cho nhân viên</w:t>
      </w:r>
      <w:r w:rsidR="002545C2" w:rsidRPr="00010F83">
        <w:rPr>
          <w:rFonts w:ascii="Arial" w:hAnsi="Arial" w:cs="Arial"/>
          <w:bCs/>
          <w:sz w:val="22"/>
          <w:szCs w:val="22"/>
        </w:rPr>
        <w:t>;</w:t>
      </w:r>
    </w:p>
    <w:p w:rsidR="002545C2" w:rsidRPr="00010F83" w:rsidRDefault="002545C2" w:rsidP="006E4953">
      <w:pPr>
        <w:pStyle w:val="ListParagraph"/>
        <w:numPr>
          <w:ilvl w:val="0"/>
          <w:numId w:val="17"/>
        </w:numPr>
        <w:autoSpaceDE w:val="0"/>
        <w:autoSpaceDN w:val="0"/>
        <w:adjustRightInd w:val="0"/>
        <w:spacing w:after="120"/>
        <w:ind w:left="1080"/>
        <w:jc w:val="both"/>
        <w:rPr>
          <w:rFonts w:ascii="Arial" w:hAnsi="Arial" w:cs="Arial"/>
          <w:bCs/>
          <w:sz w:val="22"/>
          <w:szCs w:val="22"/>
        </w:rPr>
      </w:pPr>
      <w:r w:rsidRPr="00010F83">
        <w:rPr>
          <w:rFonts w:ascii="Arial" w:hAnsi="Arial" w:cs="Arial"/>
          <w:bCs/>
          <w:sz w:val="22"/>
          <w:szCs w:val="22"/>
        </w:rPr>
        <w:t xml:space="preserve">Chi phí nghiên cứu được ghi nhận là chi phí khi xác định lợi nhuận kế toán trong kỳ mà chi phí này phát sinh nhưng có thể </w:t>
      </w:r>
      <w:r w:rsidR="004C016A" w:rsidRPr="00010F83">
        <w:rPr>
          <w:rFonts w:ascii="Arial" w:hAnsi="Arial" w:cs="Arial"/>
          <w:bCs/>
          <w:sz w:val="22"/>
          <w:szCs w:val="22"/>
        </w:rPr>
        <w:t>chỉ</w:t>
      </w:r>
      <w:r w:rsidRPr="00010F83">
        <w:rPr>
          <w:rFonts w:ascii="Arial" w:hAnsi="Arial" w:cs="Arial"/>
          <w:bCs/>
          <w:sz w:val="22"/>
          <w:szCs w:val="22"/>
        </w:rPr>
        <w:t xml:space="preserve"> được khấu trừ </w:t>
      </w:r>
      <w:r w:rsidR="004C016A" w:rsidRPr="00010F83">
        <w:rPr>
          <w:rFonts w:ascii="Arial" w:hAnsi="Arial" w:cs="Arial"/>
          <w:bCs/>
          <w:sz w:val="22"/>
          <w:szCs w:val="22"/>
        </w:rPr>
        <w:t>thuế</w:t>
      </w:r>
      <w:r w:rsidRPr="00010F83">
        <w:rPr>
          <w:rFonts w:ascii="Arial" w:hAnsi="Arial" w:cs="Arial"/>
          <w:bCs/>
          <w:sz w:val="22"/>
          <w:szCs w:val="22"/>
        </w:rPr>
        <w:t xml:space="preserve"> </w:t>
      </w:r>
      <w:r w:rsidR="004C016A" w:rsidRPr="00010F83">
        <w:rPr>
          <w:rFonts w:ascii="Arial" w:hAnsi="Arial" w:cs="Arial"/>
          <w:bCs/>
          <w:sz w:val="22"/>
          <w:szCs w:val="22"/>
        </w:rPr>
        <w:t>trong kỳ sau đó</w:t>
      </w:r>
      <w:r w:rsidRPr="00010F83">
        <w:rPr>
          <w:rFonts w:ascii="Arial" w:hAnsi="Arial" w:cs="Arial"/>
          <w:bCs/>
          <w:sz w:val="22"/>
          <w:szCs w:val="22"/>
        </w:rPr>
        <w:t xml:space="preserve">. Chênh lệch giữa cơ sở tính thuế của chi phí nghiên cứu, tức là số </w:t>
      </w:r>
      <w:r w:rsidR="004C016A" w:rsidRPr="00010F83">
        <w:rPr>
          <w:rFonts w:ascii="Arial" w:hAnsi="Arial" w:cs="Arial"/>
          <w:bCs/>
          <w:sz w:val="22"/>
          <w:szCs w:val="22"/>
        </w:rPr>
        <w:t xml:space="preserve">được </w:t>
      </w:r>
      <w:r w:rsidR="00D46F8B" w:rsidRPr="00010F83">
        <w:rPr>
          <w:rFonts w:ascii="Arial" w:hAnsi="Arial" w:cs="Arial"/>
          <w:bCs/>
          <w:sz w:val="22"/>
          <w:szCs w:val="22"/>
        </w:rPr>
        <w:t xml:space="preserve">cơ quan thuế chấp thuận cho khấu trừ trong tương lai, và giá trị ghi sổ bằng 0, </w:t>
      </w:r>
      <w:r w:rsidRPr="00010F83">
        <w:rPr>
          <w:rFonts w:ascii="Arial" w:hAnsi="Arial" w:cs="Arial"/>
          <w:bCs/>
          <w:sz w:val="22"/>
          <w:szCs w:val="22"/>
        </w:rPr>
        <w:t xml:space="preserve">là khoản chênh lệch tạm thời được khấu trừ tạo ra một </w:t>
      </w:r>
      <w:r w:rsidR="006805F0" w:rsidRPr="00010F83">
        <w:rPr>
          <w:rFonts w:ascii="Arial" w:hAnsi="Arial" w:cs="Arial"/>
          <w:bCs/>
          <w:sz w:val="22"/>
          <w:szCs w:val="22"/>
        </w:rPr>
        <w:t xml:space="preserve">tài sản </w:t>
      </w:r>
      <w:r w:rsidR="00731917" w:rsidRPr="00010F83">
        <w:rPr>
          <w:rFonts w:ascii="Arial" w:hAnsi="Arial" w:cs="Arial"/>
          <w:bCs/>
          <w:sz w:val="22"/>
          <w:szCs w:val="22"/>
        </w:rPr>
        <w:t>thuế TNDN</w:t>
      </w:r>
      <w:r w:rsidR="006805F0" w:rsidRPr="00010F83">
        <w:rPr>
          <w:rFonts w:ascii="Arial" w:hAnsi="Arial" w:cs="Arial"/>
          <w:bCs/>
          <w:sz w:val="22"/>
          <w:szCs w:val="22"/>
        </w:rPr>
        <w:t xml:space="preserve"> hoãn lại</w:t>
      </w:r>
      <w:r w:rsidRPr="00010F83">
        <w:rPr>
          <w:rFonts w:ascii="Arial" w:hAnsi="Arial" w:cs="Arial"/>
          <w:bCs/>
          <w:sz w:val="22"/>
          <w:szCs w:val="22"/>
        </w:rPr>
        <w:t>;</w:t>
      </w:r>
    </w:p>
    <w:p w:rsidR="002545C2" w:rsidRPr="00010F83" w:rsidRDefault="00C3430D" w:rsidP="006E4953">
      <w:pPr>
        <w:pStyle w:val="ListParagraph"/>
        <w:numPr>
          <w:ilvl w:val="0"/>
          <w:numId w:val="17"/>
        </w:numPr>
        <w:autoSpaceDE w:val="0"/>
        <w:autoSpaceDN w:val="0"/>
        <w:adjustRightInd w:val="0"/>
        <w:spacing w:after="120"/>
        <w:ind w:left="1080"/>
        <w:jc w:val="both"/>
        <w:rPr>
          <w:rFonts w:ascii="Arial" w:hAnsi="Arial" w:cs="Arial"/>
          <w:bCs/>
          <w:sz w:val="22"/>
          <w:szCs w:val="22"/>
        </w:rPr>
      </w:pPr>
      <w:r w:rsidRPr="00010F83">
        <w:rPr>
          <w:rFonts w:ascii="Arial" w:hAnsi="Arial" w:cs="Arial"/>
          <w:bCs/>
          <w:sz w:val="22"/>
          <w:szCs w:val="22"/>
        </w:rPr>
        <w:t xml:space="preserve">Trừ </w:t>
      </w:r>
      <w:r w:rsidR="004C016A" w:rsidRPr="00010F83">
        <w:rPr>
          <w:rFonts w:ascii="Arial" w:hAnsi="Arial" w:cs="Arial"/>
          <w:bCs/>
          <w:sz w:val="22"/>
          <w:szCs w:val="22"/>
        </w:rPr>
        <w:t>một số</w:t>
      </w:r>
      <w:r w:rsidR="002545C2" w:rsidRPr="00010F83">
        <w:rPr>
          <w:rFonts w:ascii="Arial" w:hAnsi="Arial" w:cs="Arial"/>
          <w:bCs/>
          <w:sz w:val="22"/>
          <w:szCs w:val="22"/>
        </w:rPr>
        <w:t xml:space="preserve"> ít</w:t>
      </w:r>
      <w:r w:rsidR="004C016A" w:rsidRPr="00010F83">
        <w:rPr>
          <w:rFonts w:ascii="Arial" w:hAnsi="Arial" w:cs="Arial"/>
          <w:bCs/>
          <w:sz w:val="22"/>
          <w:szCs w:val="22"/>
        </w:rPr>
        <w:t xml:space="preserve"> </w:t>
      </w:r>
      <w:r w:rsidRPr="00010F83">
        <w:rPr>
          <w:rFonts w:ascii="Arial" w:hAnsi="Arial" w:cs="Arial"/>
          <w:bCs/>
          <w:sz w:val="22"/>
          <w:szCs w:val="22"/>
        </w:rPr>
        <w:t xml:space="preserve">trường hợp </w:t>
      </w:r>
      <w:r w:rsidR="004C016A" w:rsidRPr="00010F83">
        <w:rPr>
          <w:rFonts w:ascii="Arial" w:hAnsi="Arial" w:cs="Arial"/>
          <w:bCs/>
          <w:sz w:val="22"/>
          <w:szCs w:val="22"/>
        </w:rPr>
        <w:t>ngoại lệ, đơn vị ghi nhận</w:t>
      </w:r>
      <w:r w:rsidR="002545C2" w:rsidRPr="00010F83">
        <w:rPr>
          <w:rFonts w:ascii="Arial" w:hAnsi="Arial" w:cs="Arial"/>
          <w:bCs/>
          <w:sz w:val="22"/>
          <w:szCs w:val="22"/>
        </w:rPr>
        <w:t xml:space="preserve"> tài sản </w:t>
      </w:r>
      <w:r w:rsidR="004C016A" w:rsidRPr="00010F83">
        <w:rPr>
          <w:rFonts w:ascii="Arial" w:hAnsi="Arial" w:cs="Arial"/>
          <w:bCs/>
          <w:sz w:val="22"/>
          <w:szCs w:val="22"/>
        </w:rPr>
        <w:t>và</w:t>
      </w:r>
      <w:r w:rsidR="002545C2" w:rsidRPr="00010F83">
        <w:rPr>
          <w:rFonts w:ascii="Arial" w:hAnsi="Arial" w:cs="Arial"/>
          <w:bCs/>
          <w:sz w:val="22"/>
          <w:szCs w:val="22"/>
        </w:rPr>
        <w:t xml:space="preserve"> nợ phải trả </w:t>
      </w:r>
      <w:r w:rsidR="004C016A" w:rsidRPr="00010F83">
        <w:rPr>
          <w:rFonts w:ascii="Arial" w:hAnsi="Arial" w:cs="Arial"/>
          <w:bCs/>
          <w:sz w:val="22"/>
          <w:szCs w:val="22"/>
        </w:rPr>
        <w:t>mua về</w:t>
      </w:r>
      <w:r w:rsidR="002545C2" w:rsidRPr="00010F83">
        <w:rPr>
          <w:rFonts w:ascii="Arial" w:hAnsi="Arial" w:cs="Arial"/>
          <w:bCs/>
          <w:sz w:val="22"/>
          <w:szCs w:val="22"/>
        </w:rPr>
        <w:t xml:space="preserve"> trong một giao dịch hợp nhất kinh doanh </w:t>
      </w:r>
      <w:proofErr w:type="gramStart"/>
      <w:r w:rsidR="002545C2" w:rsidRPr="00010F83">
        <w:rPr>
          <w:rFonts w:ascii="Arial" w:hAnsi="Arial" w:cs="Arial"/>
          <w:bCs/>
          <w:sz w:val="22"/>
          <w:szCs w:val="22"/>
        </w:rPr>
        <w:t>t</w:t>
      </w:r>
      <w:r w:rsidR="004C016A" w:rsidRPr="00010F83">
        <w:rPr>
          <w:rFonts w:ascii="Arial" w:hAnsi="Arial" w:cs="Arial"/>
          <w:bCs/>
          <w:sz w:val="22"/>
          <w:szCs w:val="22"/>
        </w:rPr>
        <w:t>heo</w:t>
      </w:r>
      <w:proofErr w:type="gramEnd"/>
      <w:r w:rsidR="002545C2" w:rsidRPr="00010F83">
        <w:rPr>
          <w:rFonts w:ascii="Arial" w:hAnsi="Arial" w:cs="Arial"/>
          <w:bCs/>
          <w:sz w:val="22"/>
          <w:szCs w:val="22"/>
        </w:rPr>
        <w:t xml:space="preserve"> giá trị hợp lý tại ngày mua. Khi khoản nợ này được ghi nhận tại ngày mua</w:t>
      </w:r>
      <w:r w:rsidR="004C016A" w:rsidRPr="00010F83">
        <w:rPr>
          <w:rFonts w:ascii="Arial" w:hAnsi="Arial" w:cs="Arial"/>
          <w:bCs/>
          <w:sz w:val="22"/>
          <w:szCs w:val="22"/>
        </w:rPr>
        <w:t>,</w:t>
      </w:r>
      <w:r w:rsidR="002545C2" w:rsidRPr="00010F83">
        <w:rPr>
          <w:rFonts w:ascii="Arial" w:hAnsi="Arial" w:cs="Arial"/>
          <w:bCs/>
          <w:sz w:val="22"/>
          <w:szCs w:val="22"/>
        </w:rPr>
        <w:t xml:space="preserve"> nhưng chi phí liên quan </w:t>
      </w:r>
      <w:r w:rsidR="004C016A" w:rsidRPr="00010F83">
        <w:rPr>
          <w:rFonts w:ascii="Arial" w:hAnsi="Arial" w:cs="Arial"/>
          <w:bCs/>
          <w:sz w:val="22"/>
          <w:szCs w:val="22"/>
        </w:rPr>
        <w:t>chỉ</w:t>
      </w:r>
      <w:r w:rsidR="002545C2" w:rsidRPr="00010F83">
        <w:rPr>
          <w:rFonts w:ascii="Arial" w:hAnsi="Arial" w:cs="Arial"/>
          <w:bCs/>
          <w:sz w:val="22"/>
          <w:szCs w:val="22"/>
        </w:rPr>
        <w:t xml:space="preserve"> được khấu trừ </w:t>
      </w:r>
      <w:r w:rsidR="004C016A" w:rsidRPr="00010F83">
        <w:rPr>
          <w:rFonts w:ascii="Arial" w:hAnsi="Arial" w:cs="Arial"/>
          <w:bCs/>
          <w:sz w:val="22"/>
          <w:szCs w:val="22"/>
        </w:rPr>
        <w:t xml:space="preserve">thuế </w:t>
      </w:r>
      <w:r w:rsidR="00120074" w:rsidRPr="00010F83">
        <w:rPr>
          <w:rFonts w:ascii="Arial" w:hAnsi="Arial" w:cs="Arial"/>
          <w:bCs/>
          <w:sz w:val="22"/>
          <w:szCs w:val="22"/>
        </w:rPr>
        <w:t>tại</w:t>
      </w:r>
      <w:r w:rsidR="002545C2" w:rsidRPr="00010F83">
        <w:rPr>
          <w:rFonts w:ascii="Arial" w:hAnsi="Arial" w:cs="Arial"/>
          <w:bCs/>
          <w:sz w:val="22"/>
          <w:szCs w:val="22"/>
        </w:rPr>
        <w:t xml:space="preserve"> một kỳ </w:t>
      </w:r>
      <w:r w:rsidR="00120074" w:rsidRPr="00010F83">
        <w:rPr>
          <w:rFonts w:ascii="Arial" w:hAnsi="Arial" w:cs="Arial"/>
          <w:bCs/>
          <w:sz w:val="22"/>
          <w:szCs w:val="22"/>
        </w:rPr>
        <w:t>trong tương lai,</w:t>
      </w:r>
      <w:r w:rsidR="002545C2" w:rsidRPr="00010F83">
        <w:rPr>
          <w:rFonts w:ascii="Arial" w:hAnsi="Arial" w:cs="Arial"/>
          <w:bCs/>
          <w:sz w:val="22"/>
          <w:szCs w:val="22"/>
        </w:rPr>
        <w:t xml:space="preserve"> </w:t>
      </w:r>
      <w:r w:rsidRPr="00010F83">
        <w:rPr>
          <w:rFonts w:ascii="Arial" w:hAnsi="Arial" w:cs="Arial"/>
          <w:bCs/>
          <w:sz w:val="22"/>
          <w:szCs w:val="22"/>
        </w:rPr>
        <w:t xml:space="preserve">xuất hiện </w:t>
      </w:r>
      <w:r w:rsidR="002545C2" w:rsidRPr="00010F83">
        <w:rPr>
          <w:rFonts w:ascii="Arial" w:hAnsi="Arial" w:cs="Arial"/>
          <w:bCs/>
          <w:sz w:val="22"/>
          <w:szCs w:val="22"/>
        </w:rPr>
        <w:t xml:space="preserve">chênh lệch tạm thời được khấu trừ </w:t>
      </w:r>
      <w:r w:rsidRPr="00010F83">
        <w:rPr>
          <w:rFonts w:ascii="Arial" w:hAnsi="Arial" w:cs="Arial"/>
          <w:bCs/>
          <w:sz w:val="22"/>
          <w:szCs w:val="22"/>
        </w:rPr>
        <w:t xml:space="preserve">làm </w:t>
      </w:r>
      <w:r w:rsidR="002545C2" w:rsidRPr="00010F83">
        <w:rPr>
          <w:rFonts w:ascii="Arial" w:hAnsi="Arial" w:cs="Arial"/>
          <w:bCs/>
          <w:sz w:val="22"/>
          <w:szCs w:val="22"/>
        </w:rPr>
        <w:t xml:space="preserve">phát sinh </w:t>
      </w:r>
      <w:r w:rsidR="006805F0" w:rsidRPr="00010F83">
        <w:rPr>
          <w:rFonts w:ascii="Arial" w:hAnsi="Arial" w:cs="Arial"/>
          <w:bCs/>
          <w:sz w:val="22"/>
          <w:szCs w:val="22"/>
        </w:rPr>
        <w:t xml:space="preserve">tài sản </w:t>
      </w:r>
      <w:r w:rsidR="00731917" w:rsidRPr="00010F83">
        <w:rPr>
          <w:rFonts w:ascii="Arial" w:hAnsi="Arial" w:cs="Arial"/>
          <w:bCs/>
          <w:sz w:val="22"/>
          <w:szCs w:val="22"/>
        </w:rPr>
        <w:t>thuế TNDN</w:t>
      </w:r>
      <w:r w:rsidR="006805F0" w:rsidRPr="00010F83">
        <w:rPr>
          <w:rFonts w:ascii="Arial" w:hAnsi="Arial" w:cs="Arial"/>
          <w:bCs/>
          <w:sz w:val="22"/>
          <w:szCs w:val="22"/>
        </w:rPr>
        <w:t xml:space="preserve"> hoãn lại</w:t>
      </w:r>
      <w:r w:rsidR="002545C2" w:rsidRPr="00010F83">
        <w:rPr>
          <w:rFonts w:ascii="Arial" w:hAnsi="Arial" w:cs="Arial"/>
          <w:bCs/>
          <w:sz w:val="22"/>
          <w:szCs w:val="22"/>
        </w:rPr>
        <w:t xml:space="preserve">. </w:t>
      </w:r>
      <w:r w:rsidR="006805F0" w:rsidRPr="00010F83">
        <w:rPr>
          <w:rFonts w:ascii="Arial" w:hAnsi="Arial" w:cs="Arial"/>
          <w:bCs/>
          <w:sz w:val="22"/>
          <w:szCs w:val="22"/>
        </w:rPr>
        <w:t xml:space="preserve">Tài sản </w:t>
      </w:r>
      <w:r w:rsidR="00731917" w:rsidRPr="00010F83">
        <w:rPr>
          <w:rFonts w:ascii="Arial" w:hAnsi="Arial" w:cs="Arial"/>
          <w:bCs/>
          <w:sz w:val="22"/>
          <w:szCs w:val="22"/>
        </w:rPr>
        <w:t>thuế TNDN</w:t>
      </w:r>
      <w:r w:rsidR="006805F0" w:rsidRPr="00010F83">
        <w:rPr>
          <w:rFonts w:ascii="Arial" w:hAnsi="Arial" w:cs="Arial"/>
          <w:bCs/>
          <w:sz w:val="22"/>
          <w:szCs w:val="22"/>
        </w:rPr>
        <w:t xml:space="preserve"> hoãn lại</w:t>
      </w:r>
      <w:r w:rsidR="002545C2" w:rsidRPr="00010F83">
        <w:rPr>
          <w:rFonts w:ascii="Arial" w:hAnsi="Arial" w:cs="Arial"/>
          <w:bCs/>
          <w:sz w:val="22"/>
          <w:szCs w:val="22"/>
        </w:rPr>
        <w:t xml:space="preserve"> cũng phát sinh khi giá tr</w:t>
      </w:r>
      <w:r w:rsidR="00120074" w:rsidRPr="00010F83">
        <w:rPr>
          <w:rFonts w:ascii="Arial" w:hAnsi="Arial" w:cs="Arial"/>
          <w:bCs/>
          <w:sz w:val="22"/>
          <w:szCs w:val="22"/>
        </w:rPr>
        <w:t>ị hợp lý của các tài sản mua về</w:t>
      </w:r>
      <w:r w:rsidR="002545C2" w:rsidRPr="00010F83">
        <w:rPr>
          <w:rFonts w:ascii="Arial" w:hAnsi="Arial" w:cs="Arial"/>
          <w:bCs/>
          <w:sz w:val="22"/>
          <w:szCs w:val="22"/>
        </w:rPr>
        <w:t xml:space="preserve"> thấp hơn cơ sở tính thuế của chúng. Trong cả 2 trường hợp, </w:t>
      </w:r>
      <w:r w:rsidR="006805F0" w:rsidRPr="00010F83">
        <w:rPr>
          <w:rFonts w:ascii="Arial" w:hAnsi="Arial" w:cs="Arial"/>
          <w:bCs/>
          <w:sz w:val="22"/>
          <w:szCs w:val="22"/>
        </w:rPr>
        <w:t xml:space="preserve">tài sản </w:t>
      </w:r>
      <w:r w:rsidR="00731917" w:rsidRPr="00010F83">
        <w:rPr>
          <w:rFonts w:ascii="Arial" w:hAnsi="Arial" w:cs="Arial"/>
          <w:bCs/>
          <w:sz w:val="22"/>
          <w:szCs w:val="22"/>
        </w:rPr>
        <w:t>thuế TNDN</w:t>
      </w:r>
      <w:r w:rsidR="006805F0" w:rsidRPr="00010F83">
        <w:rPr>
          <w:rFonts w:ascii="Arial" w:hAnsi="Arial" w:cs="Arial"/>
          <w:bCs/>
          <w:sz w:val="22"/>
          <w:szCs w:val="22"/>
        </w:rPr>
        <w:t xml:space="preserve"> hoãn lại</w:t>
      </w:r>
      <w:r w:rsidR="00120074" w:rsidRPr="00010F83">
        <w:rPr>
          <w:rFonts w:ascii="Arial" w:hAnsi="Arial" w:cs="Arial"/>
          <w:bCs/>
          <w:sz w:val="22"/>
          <w:szCs w:val="22"/>
        </w:rPr>
        <w:t xml:space="preserve"> được tạo ra sẽ</w:t>
      </w:r>
      <w:r w:rsidR="002545C2" w:rsidRPr="00010F83">
        <w:rPr>
          <w:rFonts w:ascii="Arial" w:hAnsi="Arial" w:cs="Arial"/>
          <w:bCs/>
          <w:sz w:val="22"/>
          <w:szCs w:val="22"/>
        </w:rPr>
        <w:t xml:space="preserve"> ảnh hưởng đến giá trị lợi thế thương mại (xem đoạn 66); và</w:t>
      </w:r>
    </w:p>
    <w:p w:rsidR="00C530A3" w:rsidRPr="00010F83" w:rsidRDefault="00120074" w:rsidP="006E4953">
      <w:pPr>
        <w:pStyle w:val="ListParagraph"/>
        <w:numPr>
          <w:ilvl w:val="0"/>
          <w:numId w:val="17"/>
        </w:numPr>
        <w:autoSpaceDE w:val="0"/>
        <w:autoSpaceDN w:val="0"/>
        <w:adjustRightInd w:val="0"/>
        <w:spacing w:after="120"/>
        <w:ind w:left="1080"/>
        <w:jc w:val="both"/>
        <w:rPr>
          <w:rFonts w:ascii="Arial" w:hAnsi="Arial" w:cs="Arial"/>
          <w:bCs/>
          <w:sz w:val="22"/>
          <w:szCs w:val="22"/>
        </w:rPr>
      </w:pPr>
      <w:r w:rsidRPr="00010F83">
        <w:rPr>
          <w:rFonts w:ascii="Arial" w:hAnsi="Arial" w:cs="Arial"/>
          <w:bCs/>
          <w:sz w:val="22"/>
          <w:szCs w:val="22"/>
        </w:rPr>
        <w:t>Một số tài sản</w:t>
      </w:r>
      <w:r w:rsidR="002545C2" w:rsidRPr="00010F83">
        <w:rPr>
          <w:rFonts w:ascii="Arial" w:hAnsi="Arial" w:cs="Arial"/>
          <w:bCs/>
          <w:sz w:val="22"/>
          <w:szCs w:val="22"/>
        </w:rPr>
        <w:t xml:space="preserve"> được xác định </w:t>
      </w:r>
      <w:proofErr w:type="gramStart"/>
      <w:r w:rsidR="002545C2" w:rsidRPr="00010F83">
        <w:rPr>
          <w:rFonts w:ascii="Arial" w:hAnsi="Arial" w:cs="Arial"/>
          <w:bCs/>
          <w:sz w:val="22"/>
          <w:szCs w:val="22"/>
        </w:rPr>
        <w:t>theo</w:t>
      </w:r>
      <w:proofErr w:type="gramEnd"/>
      <w:r w:rsidR="002545C2" w:rsidRPr="00010F83">
        <w:rPr>
          <w:rFonts w:ascii="Arial" w:hAnsi="Arial" w:cs="Arial"/>
          <w:bCs/>
          <w:sz w:val="22"/>
          <w:szCs w:val="22"/>
        </w:rPr>
        <w:t xml:space="preserve"> giá trị hợp lý, hoặc được đánh giá lại</w:t>
      </w:r>
      <w:r w:rsidRPr="00010F83">
        <w:rPr>
          <w:rFonts w:ascii="Arial" w:hAnsi="Arial" w:cs="Arial"/>
          <w:bCs/>
          <w:sz w:val="22"/>
          <w:szCs w:val="22"/>
        </w:rPr>
        <w:t>, trong khi cơ sở tính thuế không đổi</w:t>
      </w:r>
      <w:r w:rsidR="002545C2" w:rsidRPr="00010F83">
        <w:rPr>
          <w:rFonts w:ascii="Arial" w:hAnsi="Arial" w:cs="Arial"/>
          <w:bCs/>
          <w:sz w:val="22"/>
          <w:szCs w:val="22"/>
        </w:rPr>
        <w:t xml:space="preserve"> (xem đoạn 20). </w:t>
      </w:r>
      <w:r w:rsidR="00D46F8B" w:rsidRPr="00010F83">
        <w:rPr>
          <w:rFonts w:ascii="Arial" w:hAnsi="Arial" w:cs="Arial"/>
          <w:bCs/>
          <w:sz w:val="22"/>
          <w:szCs w:val="22"/>
        </w:rPr>
        <w:t xml:space="preserve">Sẽ phát sinh một khoản chênh lệch tạm thời được khấu trừ nếu </w:t>
      </w:r>
      <w:r w:rsidR="002545C2" w:rsidRPr="00010F83">
        <w:rPr>
          <w:rFonts w:ascii="Arial" w:hAnsi="Arial" w:cs="Arial"/>
          <w:bCs/>
          <w:sz w:val="22"/>
          <w:szCs w:val="22"/>
        </w:rPr>
        <w:t xml:space="preserve">cơ sở tính thuế của tài sản </w:t>
      </w:r>
      <w:r w:rsidRPr="00010F83">
        <w:rPr>
          <w:rFonts w:ascii="Arial" w:hAnsi="Arial" w:cs="Arial"/>
          <w:bCs/>
          <w:sz w:val="22"/>
          <w:szCs w:val="22"/>
        </w:rPr>
        <w:t>lớn hơn</w:t>
      </w:r>
      <w:r w:rsidR="002545C2" w:rsidRPr="00010F83">
        <w:rPr>
          <w:rFonts w:ascii="Arial" w:hAnsi="Arial" w:cs="Arial"/>
          <w:bCs/>
          <w:sz w:val="22"/>
          <w:szCs w:val="22"/>
        </w:rPr>
        <w:t xml:space="preserve"> giá trị ghi sổ</w:t>
      </w:r>
      <w:r w:rsidRPr="00010F83">
        <w:rPr>
          <w:rFonts w:ascii="Arial" w:hAnsi="Arial" w:cs="Arial"/>
          <w:bCs/>
          <w:sz w:val="22"/>
          <w:szCs w:val="22"/>
        </w:rPr>
        <w:t xml:space="preserve"> của tài sản đó</w:t>
      </w:r>
      <w:r w:rsidR="002545C2" w:rsidRPr="00010F83">
        <w:rPr>
          <w:rFonts w:ascii="Arial" w:hAnsi="Arial" w:cs="Arial"/>
          <w:bCs/>
          <w:sz w:val="22"/>
          <w:szCs w:val="22"/>
        </w:rPr>
        <w:t>.</w:t>
      </w:r>
    </w:p>
    <w:p w:rsidR="006E4953" w:rsidRPr="00010F83" w:rsidRDefault="006E4953">
      <w:pPr>
        <w:rPr>
          <w:rFonts w:ascii="Arial" w:hAnsi="Arial" w:cs="Arial"/>
          <w:bCs/>
        </w:rPr>
      </w:pPr>
      <w:r w:rsidRPr="00010F83">
        <w:rPr>
          <w:rFonts w:ascii="Arial" w:hAnsi="Arial" w:cs="Arial"/>
          <w:bCs/>
        </w:rPr>
        <w:br w:type="page"/>
      </w:r>
    </w:p>
    <w:p w:rsidR="00C530A3" w:rsidRPr="00010F83" w:rsidRDefault="00C530A3" w:rsidP="00590853">
      <w:pPr>
        <w:autoSpaceDE w:val="0"/>
        <w:autoSpaceDN w:val="0"/>
        <w:adjustRightInd w:val="0"/>
        <w:spacing w:after="120" w:line="240" w:lineRule="auto"/>
        <w:jc w:val="both"/>
        <w:rPr>
          <w:rFonts w:ascii="Arial" w:hAnsi="Arial" w:cs="Arial"/>
          <w:bCs/>
        </w:rPr>
      </w:pPr>
    </w:p>
    <w:tbl>
      <w:tblPr>
        <w:tblStyle w:val="TableGrid"/>
        <w:tblW w:w="0" w:type="auto"/>
        <w:tblInd w:w="720" w:type="dxa"/>
        <w:tblLook w:val="04A0"/>
      </w:tblPr>
      <w:tblGrid>
        <w:gridCol w:w="8630"/>
      </w:tblGrid>
      <w:tr w:rsidR="00C530A3" w:rsidRPr="00010F83" w:rsidTr="000F51B1">
        <w:tc>
          <w:tcPr>
            <w:tcW w:w="8630" w:type="dxa"/>
          </w:tcPr>
          <w:p w:rsidR="00C530A3" w:rsidRPr="00010F83" w:rsidRDefault="002545C2" w:rsidP="00590853">
            <w:pPr>
              <w:pStyle w:val="ListParagraph"/>
              <w:spacing w:after="120"/>
              <w:ind w:left="0"/>
              <w:jc w:val="both"/>
              <w:rPr>
                <w:rFonts w:ascii="Arial" w:hAnsi="Arial" w:cs="Arial"/>
                <w:b/>
                <w:sz w:val="22"/>
                <w:szCs w:val="22"/>
              </w:rPr>
            </w:pPr>
            <w:r w:rsidRPr="00010F83">
              <w:rPr>
                <w:rFonts w:ascii="Arial" w:hAnsi="Arial" w:cs="Arial"/>
                <w:b/>
                <w:sz w:val="22"/>
                <w:szCs w:val="22"/>
              </w:rPr>
              <w:t>Ví dụ minh họa cho đoạn 26(d)</w:t>
            </w:r>
          </w:p>
        </w:tc>
      </w:tr>
      <w:tr w:rsidR="00C530A3" w:rsidRPr="00010F83" w:rsidTr="000F51B1">
        <w:tc>
          <w:tcPr>
            <w:tcW w:w="8630" w:type="dxa"/>
          </w:tcPr>
          <w:p w:rsidR="00C530A3" w:rsidRPr="00010F83" w:rsidRDefault="00C3430D" w:rsidP="00590853">
            <w:pPr>
              <w:spacing w:after="120"/>
              <w:jc w:val="both"/>
              <w:rPr>
                <w:rFonts w:ascii="Arial" w:hAnsi="Arial" w:cs="Arial"/>
              </w:rPr>
            </w:pPr>
            <w:r w:rsidRPr="00010F83">
              <w:rPr>
                <w:rFonts w:ascii="Arial" w:hAnsi="Arial" w:cs="Arial"/>
              </w:rPr>
              <w:t>Xác định có</w:t>
            </w:r>
            <w:r w:rsidR="002545C2" w:rsidRPr="00010F83">
              <w:rPr>
                <w:rFonts w:ascii="Arial" w:hAnsi="Arial" w:cs="Arial"/>
              </w:rPr>
              <w:t xml:space="preserve"> chênh lệch tạm thời được khấu trừ cuối năm thứ 2:</w:t>
            </w:r>
          </w:p>
          <w:p w:rsidR="00C530A3" w:rsidRPr="00010F83" w:rsidRDefault="002545C2" w:rsidP="00590853">
            <w:pPr>
              <w:spacing w:after="120"/>
              <w:jc w:val="both"/>
              <w:rPr>
                <w:rFonts w:ascii="Arial" w:hAnsi="Arial" w:cs="Arial"/>
              </w:rPr>
            </w:pPr>
            <w:r w:rsidRPr="00010F83">
              <w:rPr>
                <w:rFonts w:ascii="Arial" w:hAnsi="Arial" w:cs="Arial"/>
              </w:rPr>
              <w:t>Đầu năm 1, đơn vị A mua một công cụ nợ vớ</w:t>
            </w:r>
            <w:r w:rsidR="003070FA" w:rsidRPr="00010F83">
              <w:rPr>
                <w:rFonts w:ascii="Arial" w:hAnsi="Arial" w:cs="Arial"/>
              </w:rPr>
              <w:t xml:space="preserve">i giá </w:t>
            </w:r>
            <w:r w:rsidRPr="00010F83">
              <w:rPr>
                <w:rFonts w:ascii="Arial" w:hAnsi="Arial" w:cs="Arial"/>
              </w:rPr>
              <w:t>1</w:t>
            </w:r>
            <w:r w:rsidR="003070FA" w:rsidRPr="00010F83">
              <w:rPr>
                <w:rFonts w:ascii="Arial" w:hAnsi="Arial" w:cs="Arial"/>
              </w:rPr>
              <w:t>.</w:t>
            </w:r>
            <w:r w:rsidRPr="00010F83">
              <w:rPr>
                <w:rFonts w:ascii="Arial" w:hAnsi="Arial" w:cs="Arial"/>
              </w:rPr>
              <w:t>000</w:t>
            </w:r>
            <w:r w:rsidR="003070FA" w:rsidRPr="00010F83">
              <w:rPr>
                <w:rFonts w:ascii="Arial" w:hAnsi="Arial" w:cs="Arial"/>
              </w:rPr>
              <w:t xml:space="preserve">. Công cụ nợ có mệnh giá </w:t>
            </w:r>
            <w:r w:rsidRPr="00010F83">
              <w:rPr>
                <w:rFonts w:ascii="Arial" w:hAnsi="Arial" w:cs="Arial"/>
              </w:rPr>
              <w:t>1</w:t>
            </w:r>
            <w:r w:rsidR="003070FA" w:rsidRPr="00010F83">
              <w:rPr>
                <w:rFonts w:ascii="Arial" w:hAnsi="Arial" w:cs="Arial"/>
              </w:rPr>
              <w:t>.</w:t>
            </w:r>
            <w:r w:rsidRPr="00010F83">
              <w:rPr>
                <w:rFonts w:ascii="Arial" w:hAnsi="Arial" w:cs="Arial"/>
              </w:rPr>
              <w:t>000</w:t>
            </w:r>
            <w:r w:rsidR="003070FA" w:rsidRPr="00010F83">
              <w:rPr>
                <w:rFonts w:ascii="Arial" w:hAnsi="Arial" w:cs="Arial"/>
              </w:rPr>
              <w:t>,</w:t>
            </w:r>
            <w:r w:rsidRPr="00010F83">
              <w:rPr>
                <w:rFonts w:ascii="Arial" w:hAnsi="Arial" w:cs="Arial"/>
              </w:rPr>
              <w:t xml:space="preserve"> phải trả khi đáo hạn sau 5 năm với mức lãi suất là 2% phải trả cuối mỗi năm. Mức lãi suất </w:t>
            </w:r>
            <w:r w:rsidR="00A05E46" w:rsidRPr="00010F83">
              <w:rPr>
                <w:rFonts w:ascii="Arial" w:hAnsi="Arial" w:cs="Arial"/>
              </w:rPr>
              <w:t>thực</w:t>
            </w:r>
            <w:r w:rsidRPr="00010F83">
              <w:rPr>
                <w:rFonts w:ascii="Arial" w:hAnsi="Arial" w:cs="Arial"/>
              </w:rPr>
              <w:t xml:space="preserve"> là 2%. Công cụ nợ </w:t>
            </w:r>
            <w:r w:rsidR="00A05E46" w:rsidRPr="00010F83">
              <w:rPr>
                <w:rFonts w:ascii="Arial" w:hAnsi="Arial" w:cs="Arial"/>
              </w:rPr>
              <w:t xml:space="preserve">này </w:t>
            </w:r>
            <w:r w:rsidRPr="00010F83">
              <w:rPr>
                <w:rFonts w:ascii="Arial" w:hAnsi="Arial" w:cs="Arial"/>
              </w:rPr>
              <w:t xml:space="preserve">được </w:t>
            </w:r>
            <w:r w:rsidR="003070FA" w:rsidRPr="00010F83">
              <w:rPr>
                <w:rFonts w:ascii="Arial" w:hAnsi="Arial" w:cs="Arial"/>
              </w:rPr>
              <w:t>ghi nhận</w:t>
            </w:r>
            <w:r w:rsidRPr="00010F83">
              <w:rPr>
                <w:rFonts w:ascii="Arial" w:hAnsi="Arial" w:cs="Arial"/>
              </w:rPr>
              <w:t xml:space="preserve"> theo giá trị hợp lý.</w:t>
            </w:r>
          </w:p>
          <w:p w:rsidR="00C530A3" w:rsidRPr="00010F83" w:rsidRDefault="002545C2" w:rsidP="00590853">
            <w:pPr>
              <w:spacing w:after="120"/>
              <w:jc w:val="both"/>
              <w:rPr>
                <w:rFonts w:ascii="Arial" w:hAnsi="Arial" w:cs="Arial"/>
              </w:rPr>
            </w:pPr>
            <w:r w:rsidRPr="00010F83">
              <w:rPr>
                <w:rFonts w:ascii="Arial" w:hAnsi="Arial" w:cs="Arial"/>
              </w:rPr>
              <w:t>Vào cuối năm thứ 2, giá trị hợp lý của công cụ nợ giảm xuố</w:t>
            </w:r>
            <w:r w:rsidR="003070FA" w:rsidRPr="00010F83">
              <w:rPr>
                <w:rFonts w:ascii="Arial" w:hAnsi="Arial" w:cs="Arial"/>
              </w:rPr>
              <w:t xml:space="preserve">ng còn </w:t>
            </w:r>
            <w:r w:rsidRPr="00010F83">
              <w:rPr>
                <w:rFonts w:ascii="Arial" w:hAnsi="Arial" w:cs="Arial"/>
              </w:rPr>
              <w:t xml:space="preserve">918 do lãi suất thị trường tăng lên 5%. </w:t>
            </w:r>
            <w:r w:rsidR="00A05E46" w:rsidRPr="00010F83">
              <w:rPr>
                <w:rFonts w:ascii="Arial" w:hAnsi="Arial" w:cs="Arial"/>
              </w:rPr>
              <w:t xml:space="preserve">Nhiều khả năng Đơn vị </w:t>
            </w:r>
            <w:proofErr w:type="gramStart"/>
            <w:r w:rsidR="00A05E46" w:rsidRPr="00010F83">
              <w:rPr>
                <w:rFonts w:ascii="Arial" w:hAnsi="Arial" w:cs="Arial"/>
              </w:rPr>
              <w:t>A</w:t>
            </w:r>
            <w:proofErr w:type="gramEnd"/>
            <w:r w:rsidR="00A05E46" w:rsidRPr="00010F83">
              <w:rPr>
                <w:rFonts w:ascii="Arial" w:hAnsi="Arial" w:cs="Arial"/>
              </w:rPr>
              <w:t xml:space="preserve"> sẽ nhận được toàn bộ dòng</w:t>
            </w:r>
            <w:r w:rsidR="00A05E46" w:rsidRPr="00010F83" w:rsidDel="00A05E46">
              <w:rPr>
                <w:rFonts w:ascii="Arial" w:hAnsi="Arial" w:cs="Arial"/>
              </w:rPr>
              <w:t xml:space="preserve"> </w:t>
            </w:r>
            <w:r w:rsidRPr="00010F83">
              <w:rPr>
                <w:rFonts w:ascii="Arial" w:hAnsi="Arial" w:cs="Arial"/>
              </w:rPr>
              <w:t>tiền theo hợp đồng nếu đơn vị tiếp tục nắm giữ công cụ nợ.</w:t>
            </w:r>
          </w:p>
          <w:p w:rsidR="00C530A3" w:rsidRPr="00010F83" w:rsidRDefault="002545C2" w:rsidP="00590853">
            <w:pPr>
              <w:spacing w:after="120"/>
              <w:jc w:val="both"/>
              <w:rPr>
                <w:rFonts w:ascii="Arial" w:hAnsi="Arial" w:cs="Arial"/>
              </w:rPr>
            </w:pPr>
            <w:r w:rsidRPr="00010F83">
              <w:rPr>
                <w:rFonts w:ascii="Arial" w:hAnsi="Arial" w:cs="Arial"/>
              </w:rPr>
              <w:t xml:space="preserve">Các khoản lãi (lỗ) trên công cụ nợ </w:t>
            </w:r>
            <w:r w:rsidR="00A05E46" w:rsidRPr="00010F83">
              <w:rPr>
                <w:rFonts w:ascii="Arial" w:hAnsi="Arial" w:cs="Arial"/>
              </w:rPr>
              <w:t xml:space="preserve">sẽ </w:t>
            </w:r>
            <w:r w:rsidRPr="00010F83">
              <w:rPr>
                <w:rFonts w:ascii="Arial" w:hAnsi="Arial" w:cs="Arial"/>
              </w:rPr>
              <w:t>phải chịu thuế (</w:t>
            </w:r>
            <w:r w:rsidR="00A05E46" w:rsidRPr="00010F83">
              <w:rPr>
                <w:rFonts w:ascii="Arial" w:hAnsi="Arial" w:cs="Arial"/>
              </w:rPr>
              <w:t xml:space="preserve">hoặc </w:t>
            </w:r>
            <w:r w:rsidRPr="00010F83">
              <w:rPr>
                <w:rFonts w:ascii="Arial" w:hAnsi="Arial" w:cs="Arial"/>
              </w:rPr>
              <w:t xml:space="preserve">được khấu trừ thuế) chỉ khi khoản lãi (lỗ) này được thực hiện. Các khoản lãi (lỗ) phát sinh từ việc bán hoặc đáo hạn công cụ nợ </w:t>
            </w:r>
            <w:r w:rsidR="00A05E46" w:rsidRPr="00010F83">
              <w:rPr>
                <w:rFonts w:ascii="Arial" w:hAnsi="Arial" w:cs="Arial"/>
              </w:rPr>
              <w:t xml:space="preserve">cho mục đích tính thuế thu nhập được xác định bằng khoản </w:t>
            </w:r>
            <w:r w:rsidRPr="00010F83">
              <w:rPr>
                <w:rFonts w:ascii="Arial" w:hAnsi="Arial" w:cs="Arial"/>
              </w:rPr>
              <w:t>chênh lệch giữa số tiền nhận được và giá gốc của công cụ nợ.</w:t>
            </w:r>
          </w:p>
          <w:p w:rsidR="002545C2" w:rsidRPr="00010F83" w:rsidRDefault="002545C2" w:rsidP="00590853">
            <w:pPr>
              <w:spacing w:after="120"/>
              <w:jc w:val="both"/>
              <w:rPr>
                <w:rFonts w:ascii="Arial" w:hAnsi="Arial" w:cs="Arial"/>
              </w:rPr>
            </w:pPr>
            <w:r w:rsidRPr="00010F83">
              <w:rPr>
                <w:rFonts w:ascii="Arial" w:hAnsi="Arial" w:cs="Arial"/>
              </w:rPr>
              <w:t>Theo đó, cơ sở tính thuế của công cụ nợ là giá gốc.</w:t>
            </w:r>
          </w:p>
          <w:p w:rsidR="00C530A3" w:rsidRPr="00010F83" w:rsidRDefault="002545C2" w:rsidP="00590853">
            <w:pPr>
              <w:spacing w:after="120"/>
              <w:jc w:val="both"/>
              <w:rPr>
                <w:rFonts w:ascii="Arial" w:hAnsi="Arial" w:cs="Arial"/>
                <w:i/>
              </w:rPr>
            </w:pPr>
            <w:r w:rsidRPr="00010F83">
              <w:rPr>
                <w:rFonts w:ascii="Arial" w:hAnsi="Arial" w:cs="Arial"/>
                <w:i/>
              </w:rPr>
              <w:t xml:space="preserve">Khoản chênh lệch giữa giá trị ghi sổ </w:t>
            </w:r>
            <w:r w:rsidR="003070FA" w:rsidRPr="00010F83">
              <w:rPr>
                <w:rFonts w:ascii="Arial" w:hAnsi="Arial" w:cs="Arial"/>
                <w:i/>
              </w:rPr>
              <w:t xml:space="preserve">918 </w:t>
            </w:r>
            <w:r w:rsidRPr="00010F83">
              <w:rPr>
                <w:rFonts w:ascii="Arial" w:hAnsi="Arial" w:cs="Arial"/>
                <w:i/>
              </w:rPr>
              <w:t xml:space="preserve">của công cụ nợ trong </w:t>
            </w:r>
            <w:r w:rsidR="007B64CF" w:rsidRPr="00010F83">
              <w:rPr>
                <w:rFonts w:ascii="Arial" w:hAnsi="Arial" w:cs="Arial"/>
                <w:i/>
              </w:rPr>
              <w:t>Bảng cân đối kế toán</w:t>
            </w:r>
            <w:r w:rsidR="00400052" w:rsidRPr="00010F83">
              <w:rPr>
                <w:rFonts w:ascii="Arial" w:hAnsi="Arial" w:cs="Arial"/>
                <w:i/>
              </w:rPr>
              <w:t xml:space="preserve"> </w:t>
            </w:r>
            <w:r w:rsidRPr="00010F83">
              <w:rPr>
                <w:rFonts w:ascii="Arial" w:hAnsi="Arial" w:cs="Arial"/>
                <w:i/>
              </w:rPr>
              <w:t>của đơn vị</w:t>
            </w:r>
            <w:r w:rsidR="003070FA" w:rsidRPr="00010F83">
              <w:rPr>
                <w:rFonts w:ascii="Arial" w:hAnsi="Arial" w:cs="Arial"/>
                <w:i/>
              </w:rPr>
              <w:t xml:space="preserve"> A</w:t>
            </w:r>
            <w:r w:rsidRPr="00010F83">
              <w:rPr>
                <w:rFonts w:ascii="Arial" w:hAnsi="Arial" w:cs="Arial"/>
                <w:i/>
              </w:rPr>
              <w:t xml:space="preserve"> và </w:t>
            </w:r>
            <w:r w:rsidR="003070FA" w:rsidRPr="00010F83">
              <w:rPr>
                <w:rFonts w:ascii="Arial" w:hAnsi="Arial" w:cs="Arial"/>
                <w:i/>
              </w:rPr>
              <w:t>cơ sở</w:t>
            </w:r>
            <w:r w:rsidRPr="00010F83">
              <w:rPr>
                <w:rFonts w:ascii="Arial" w:hAnsi="Arial" w:cs="Arial"/>
                <w:i/>
              </w:rPr>
              <w:t xml:space="preserve"> tính thuế</w:t>
            </w:r>
            <w:r w:rsidR="003070FA" w:rsidRPr="00010F83">
              <w:rPr>
                <w:rFonts w:ascii="Arial" w:hAnsi="Arial" w:cs="Arial"/>
                <w:i/>
              </w:rPr>
              <w:t xml:space="preserve"> </w:t>
            </w:r>
            <w:r w:rsidRPr="00010F83">
              <w:rPr>
                <w:rFonts w:ascii="Arial" w:hAnsi="Arial" w:cs="Arial"/>
                <w:i/>
              </w:rPr>
              <w:t>1,000 làm phát sinh một khoản chênh lệch tạm thời được khấu trừ</w:t>
            </w:r>
            <w:r w:rsidR="001B1BE4" w:rsidRPr="00010F83">
              <w:rPr>
                <w:rFonts w:ascii="Arial" w:hAnsi="Arial" w:cs="Arial"/>
                <w:i/>
              </w:rPr>
              <w:t xml:space="preserve"> là </w:t>
            </w:r>
            <w:r w:rsidRPr="00010F83">
              <w:rPr>
                <w:rFonts w:ascii="Arial" w:hAnsi="Arial" w:cs="Arial"/>
                <w:i/>
              </w:rPr>
              <w:t xml:space="preserve">82 vào cuối năm thứ 2 (xem đoạn 20 và 26(d)), bất kể việc đơn vị A dự kiến thu được giá trị ghi sổ của công cụ nợ </w:t>
            </w:r>
            <w:r w:rsidR="00A05E46" w:rsidRPr="00010F83">
              <w:rPr>
                <w:rFonts w:ascii="Arial" w:hAnsi="Arial" w:cs="Arial"/>
                <w:i/>
              </w:rPr>
              <w:t>thông qua</w:t>
            </w:r>
            <w:r w:rsidRPr="00010F83">
              <w:rPr>
                <w:rFonts w:ascii="Arial" w:hAnsi="Arial" w:cs="Arial"/>
                <w:i/>
              </w:rPr>
              <w:t xml:space="preserve"> việc bán hay </w:t>
            </w:r>
            <w:r w:rsidR="001B1BE4" w:rsidRPr="00010F83">
              <w:rPr>
                <w:rFonts w:ascii="Arial" w:hAnsi="Arial" w:cs="Arial"/>
                <w:i/>
              </w:rPr>
              <w:t>nắm giữ</w:t>
            </w:r>
            <w:r w:rsidR="00A05E46" w:rsidRPr="00010F83">
              <w:rPr>
                <w:rFonts w:ascii="Arial" w:hAnsi="Arial" w:cs="Arial"/>
                <w:i/>
              </w:rPr>
              <w:t xml:space="preserve"> công cụ</w:t>
            </w:r>
            <w:r w:rsidRPr="00010F83">
              <w:rPr>
                <w:rFonts w:ascii="Arial" w:hAnsi="Arial" w:cs="Arial"/>
                <w:i/>
              </w:rPr>
              <w:t xml:space="preserve">, nghĩa là bằng cách nắm giữ công cụ nợ và </w:t>
            </w:r>
            <w:r w:rsidR="00A05E46" w:rsidRPr="00010F83">
              <w:rPr>
                <w:rFonts w:ascii="Arial" w:hAnsi="Arial" w:cs="Arial"/>
                <w:i/>
              </w:rPr>
              <w:t>nhận</w:t>
            </w:r>
            <w:r w:rsidRPr="00010F83">
              <w:rPr>
                <w:rFonts w:ascii="Arial" w:hAnsi="Arial" w:cs="Arial"/>
                <w:i/>
              </w:rPr>
              <w:t xml:space="preserve"> các dòng tiền theo hợp đồng, hoặc kết hợp cả hai.</w:t>
            </w:r>
          </w:p>
          <w:p w:rsidR="00C530A3" w:rsidRPr="00010F83" w:rsidRDefault="001B1BE4" w:rsidP="00590853">
            <w:pPr>
              <w:pStyle w:val="ListParagraph"/>
              <w:spacing w:after="120"/>
              <w:ind w:left="0"/>
              <w:jc w:val="both"/>
              <w:rPr>
                <w:rFonts w:ascii="Arial" w:hAnsi="Arial" w:cs="Arial"/>
                <w:i/>
                <w:sz w:val="22"/>
                <w:szCs w:val="22"/>
              </w:rPr>
            </w:pPr>
            <w:r w:rsidRPr="00010F83">
              <w:rPr>
                <w:rFonts w:ascii="Arial" w:hAnsi="Arial" w:cs="Arial"/>
                <w:i/>
                <w:sz w:val="22"/>
                <w:szCs w:val="22"/>
              </w:rPr>
              <w:t>C</w:t>
            </w:r>
            <w:r w:rsidR="002545C2" w:rsidRPr="00010F83">
              <w:rPr>
                <w:rFonts w:ascii="Arial" w:hAnsi="Arial" w:cs="Arial"/>
                <w:i/>
                <w:sz w:val="22"/>
                <w:szCs w:val="22"/>
              </w:rPr>
              <w:t xml:space="preserve">hênh lệch tạm thời được khấu trừ là các chênh lệch giữa giá trị ghi sổ của một tài sản hoặc nợ phải trả trong </w:t>
            </w:r>
            <w:r w:rsidR="007B64CF" w:rsidRPr="00010F83">
              <w:rPr>
                <w:rFonts w:ascii="Arial" w:hAnsi="Arial" w:cs="Arial"/>
                <w:i/>
                <w:sz w:val="22"/>
                <w:szCs w:val="22"/>
              </w:rPr>
              <w:t>Bảng cân đối kế toán</w:t>
            </w:r>
            <w:r w:rsidR="00400052" w:rsidRPr="00010F83">
              <w:rPr>
                <w:rFonts w:ascii="Arial" w:hAnsi="Arial" w:cs="Arial"/>
                <w:i/>
                <w:sz w:val="22"/>
                <w:szCs w:val="22"/>
              </w:rPr>
              <w:t xml:space="preserve"> </w:t>
            </w:r>
            <w:r w:rsidR="002545C2" w:rsidRPr="00010F83">
              <w:rPr>
                <w:rFonts w:ascii="Arial" w:hAnsi="Arial" w:cs="Arial"/>
                <w:i/>
                <w:sz w:val="22"/>
                <w:szCs w:val="22"/>
              </w:rPr>
              <w:t>và cơ sở tính thuế của nó</w:t>
            </w:r>
            <w:r w:rsidRPr="00010F83">
              <w:rPr>
                <w:rFonts w:ascii="Arial" w:hAnsi="Arial" w:cs="Arial"/>
                <w:i/>
                <w:sz w:val="22"/>
                <w:szCs w:val="22"/>
              </w:rPr>
              <w:t>; các chênh lệch này</w:t>
            </w:r>
            <w:r w:rsidR="002545C2" w:rsidRPr="00010F83">
              <w:rPr>
                <w:rFonts w:ascii="Arial" w:hAnsi="Arial" w:cs="Arial"/>
                <w:i/>
                <w:sz w:val="22"/>
                <w:szCs w:val="22"/>
              </w:rPr>
              <w:t xml:space="preserve"> làm phát sinh các khoản được khấu trừ </w:t>
            </w:r>
            <w:r w:rsidRPr="00010F83">
              <w:rPr>
                <w:rFonts w:ascii="Arial" w:hAnsi="Arial" w:cs="Arial"/>
                <w:i/>
                <w:sz w:val="22"/>
                <w:szCs w:val="22"/>
              </w:rPr>
              <w:t>thuế</w:t>
            </w:r>
            <w:r w:rsidR="002545C2" w:rsidRPr="00010F83">
              <w:rPr>
                <w:rFonts w:ascii="Arial" w:hAnsi="Arial" w:cs="Arial"/>
                <w:i/>
                <w:sz w:val="22"/>
                <w:szCs w:val="22"/>
              </w:rPr>
              <w:t xml:space="preserve"> của các kỳ trong tương lai, khi giá trị ghi sổ của tài sản </w:t>
            </w:r>
            <w:r w:rsidRPr="00010F83">
              <w:rPr>
                <w:rFonts w:ascii="Arial" w:hAnsi="Arial" w:cs="Arial"/>
                <w:i/>
                <w:sz w:val="22"/>
                <w:szCs w:val="22"/>
              </w:rPr>
              <w:t xml:space="preserve">được thu hồi </w:t>
            </w:r>
            <w:r w:rsidR="002545C2" w:rsidRPr="00010F83">
              <w:rPr>
                <w:rFonts w:ascii="Arial" w:hAnsi="Arial" w:cs="Arial"/>
                <w:i/>
                <w:sz w:val="22"/>
                <w:szCs w:val="22"/>
              </w:rPr>
              <w:t>ho</w:t>
            </w:r>
            <w:r w:rsidRPr="00010F83">
              <w:rPr>
                <w:rFonts w:ascii="Arial" w:hAnsi="Arial" w:cs="Arial"/>
                <w:i/>
                <w:sz w:val="22"/>
                <w:szCs w:val="22"/>
              </w:rPr>
              <w:t>ặc nợ phải trả</w:t>
            </w:r>
            <w:r w:rsidR="002545C2" w:rsidRPr="00010F83">
              <w:rPr>
                <w:rFonts w:ascii="Arial" w:hAnsi="Arial" w:cs="Arial"/>
                <w:i/>
                <w:sz w:val="22"/>
                <w:szCs w:val="22"/>
              </w:rPr>
              <w:t xml:space="preserve"> được thanh toán (xem đoạn 5). Đơn vị A có một khoản giảm trừ </w:t>
            </w:r>
            <w:r w:rsidR="00A05E46" w:rsidRPr="00010F83">
              <w:rPr>
                <w:rFonts w:ascii="Arial" w:hAnsi="Arial" w:cs="Arial"/>
                <w:i/>
                <w:sz w:val="22"/>
                <w:szCs w:val="22"/>
              </w:rPr>
              <w:t xml:space="preserve">thuế </w:t>
            </w:r>
            <w:r w:rsidRPr="00010F83">
              <w:rPr>
                <w:rFonts w:ascii="Arial" w:hAnsi="Arial" w:cs="Arial"/>
                <w:i/>
                <w:sz w:val="22"/>
                <w:szCs w:val="22"/>
              </w:rPr>
              <w:t>bằng</w:t>
            </w:r>
            <w:r w:rsidR="002545C2" w:rsidRPr="00010F83">
              <w:rPr>
                <w:rFonts w:ascii="Arial" w:hAnsi="Arial" w:cs="Arial"/>
                <w:i/>
                <w:sz w:val="22"/>
                <w:szCs w:val="22"/>
              </w:rPr>
              <w:t xml:space="preserve"> cơ sở tính thuế </w:t>
            </w:r>
            <w:r w:rsidRPr="00010F83">
              <w:rPr>
                <w:rFonts w:ascii="Arial" w:hAnsi="Arial" w:cs="Arial"/>
                <w:i/>
                <w:sz w:val="22"/>
                <w:szCs w:val="22"/>
              </w:rPr>
              <w:t>1.000 của tài sản</w:t>
            </w:r>
            <w:r w:rsidR="002545C2" w:rsidRPr="00010F83">
              <w:rPr>
                <w:rFonts w:ascii="Arial" w:hAnsi="Arial" w:cs="Arial"/>
                <w:i/>
                <w:sz w:val="22"/>
                <w:szCs w:val="22"/>
              </w:rPr>
              <w:t xml:space="preserve"> khi xác định </w:t>
            </w:r>
            <w:r w:rsidR="00A05E46" w:rsidRPr="00010F83">
              <w:rPr>
                <w:rFonts w:ascii="Arial" w:hAnsi="Arial" w:cs="Arial"/>
                <w:i/>
                <w:sz w:val="22"/>
                <w:szCs w:val="22"/>
              </w:rPr>
              <w:t xml:space="preserve">thu nhập </w:t>
            </w:r>
            <w:r w:rsidR="002545C2" w:rsidRPr="00010F83">
              <w:rPr>
                <w:rFonts w:ascii="Arial" w:hAnsi="Arial" w:cs="Arial"/>
                <w:i/>
                <w:sz w:val="22"/>
                <w:szCs w:val="22"/>
              </w:rPr>
              <w:t>chịu thuế (lỗ tính thuế) khi bán hay khi đáo hạn công cụ nợ.</w:t>
            </w:r>
          </w:p>
        </w:tc>
      </w:tr>
    </w:tbl>
    <w:p w:rsidR="00C530A3" w:rsidRPr="00010F83" w:rsidRDefault="00C530A3" w:rsidP="00590853">
      <w:pPr>
        <w:autoSpaceDE w:val="0"/>
        <w:autoSpaceDN w:val="0"/>
        <w:adjustRightInd w:val="0"/>
        <w:spacing w:after="120" w:line="240" w:lineRule="auto"/>
        <w:jc w:val="both"/>
        <w:rPr>
          <w:rFonts w:ascii="Arial" w:hAnsi="Arial" w:cs="Arial"/>
          <w:bCs/>
        </w:rPr>
      </w:pPr>
    </w:p>
    <w:p w:rsidR="00C530A3" w:rsidRPr="00010F83" w:rsidRDefault="00C530A3" w:rsidP="006E4953">
      <w:pPr>
        <w:autoSpaceDE w:val="0"/>
        <w:autoSpaceDN w:val="0"/>
        <w:adjustRightInd w:val="0"/>
        <w:spacing w:after="120" w:line="240" w:lineRule="auto"/>
        <w:ind w:left="720" w:hanging="720"/>
        <w:jc w:val="both"/>
        <w:rPr>
          <w:rFonts w:ascii="Arial" w:hAnsi="Arial" w:cs="Arial"/>
          <w:bCs/>
        </w:rPr>
      </w:pPr>
      <w:r w:rsidRPr="00010F83">
        <w:rPr>
          <w:rFonts w:ascii="Arial" w:hAnsi="Arial" w:cs="Arial"/>
          <w:bCs/>
        </w:rPr>
        <w:t>27.</w:t>
      </w:r>
      <w:r w:rsidRPr="00010F83">
        <w:rPr>
          <w:rFonts w:ascii="Arial" w:hAnsi="Arial" w:cs="Arial"/>
          <w:bCs/>
        </w:rPr>
        <w:tab/>
      </w:r>
      <w:r w:rsidR="002545C2" w:rsidRPr="00010F83">
        <w:rPr>
          <w:rFonts w:ascii="Arial" w:hAnsi="Arial" w:cs="Arial"/>
          <w:bCs/>
        </w:rPr>
        <w:t xml:space="preserve">Việc hoàn nhập các chênh lệch tạm thời được khấu trừ dẫn đến </w:t>
      </w:r>
      <w:r w:rsidR="00A05E46" w:rsidRPr="00010F83">
        <w:rPr>
          <w:rFonts w:ascii="Arial" w:hAnsi="Arial" w:cs="Arial"/>
          <w:bCs/>
        </w:rPr>
        <w:t xml:space="preserve">sự giảm </w:t>
      </w:r>
      <w:r w:rsidR="001B1BE4" w:rsidRPr="00010F83">
        <w:rPr>
          <w:rFonts w:ascii="Arial" w:hAnsi="Arial" w:cs="Arial"/>
          <w:bCs/>
        </w:rPr>
        <w:t>trừ</w:t>
      </w:r>
      <w:r w:rsidR="002545C2" w:rsidRPr="00010F83">
        <w:rPr>
          <w:rFonts w:ascii="Arial" w:hAnsi="Arial" w:cs="Arial"/>
          <w:bCs/>
        </w:rPr>
        <w:t xml:space="preserve"> khi xác định lợi nhuận tính thuế trong tương lai. Tuy nhiên, đơn vị sẽ chỉ được hưởng lợi ích kinh tế dưới hình thức giảm trừ các khoản nộp thuế nếu đơn vị có đủ lợi nhuận tính thuế để có thể bù trừ với phần giảm trừ đó. Do vậy, một đơn vị chỉ ghi nhận </w:t>
      </w:r>
      <w:r w:rsidR="006805F0" w:rsidRPr="00010F83">
        <w:rPr>
          <w:rFonts w:ascii="Arial" w:hAnsi="Arial" w:cs="Arial"/>
          <w:bCs/>
        </w:rPr>
        <w:t xml:space="preserve">tài sản </w:t>
      </w:r>
      <w:r w:rsidR="00731917" w:rsidRPr="00010F83">
        <w:rPr>
          <w:rFonts w:ascii="Arial" w:hAnsi="Arial" w:cs="Arial"/>
          <w:bCs/>
        </w:rPr>
        <w:t>thuế TNDN</w:t>
      </w:r>
      <w:r w:rsidR="006805F0" w:rsidRPr="00010F83">
        <w:rPr>
          <w:rFonts w:ascii="Arial" w:hAnsi="Arial" w:cs="Arial"/>
          <w:bCs/>
        </w:rPr>
        <w:t xml:space="preserve"> hoãn lại</w:t>
      </w:r>
      <w:r w:rsidR="002545C2" w:rsidRPr="00010F83">
        <w:rPr>
          <w:rFonts w:ascii="Arial" w:hAnsi="Arial" w:cs="Arial"/>
          <w:bCs/>
        </w:rPr>
        <w:t xml:space="preserve"> khi có nhiều khả năng sẽ có lợi nhuận tính thuế để sử dụng các chênh lệch tạm thời được khấu trừ.</w:t>
      </w:r>
    </w:p>
    <w:p w:rsidR="006E4953" w:rsidRPr="00010F83" w:rsidRDefault="00C530A3" w:rsidP="006E4953">
      <w:pPr>
        <w:autoSpaceDE w:val="0"/>
        <w:autoSpaceDN w:val="0"/>
        <w:adjustRightInd w:val="0"/>
        <w:spacing w:after="120" w:line="240" w:lineRule="auto"/>
        <w:ind w:left="720" w:hanging="720"/>
        <w:jc w:val="both"/>
        <w:rPr>
          <w:rFonts w:ascii="Arial" w:hAnsi="Arial" w:cs="Arial"/>
          <w:bCs/>
        </w:rPr>
      </w:pPr>
      <w:r w:rsidRPr="00010F83">
        <w:rPr>
          <w:rFonts w:ascii="Arial" w:hAnsi="Arial" w:cs="Arial"/>
          <w:bCs/>
        </w:rPr>
        <w:t xml:space="preserve">27A. </w:t>
      </w:r>
      <w:r w:rsidR="002545C2" w:rsidRPr="00010F83">
        <w:rPr>
          <w:rFonts w:ascii="Arial" w:hAnsi="Arial" w:cs="Arial"/>
          <w:bCs/>
        </w:rPr>
        <w:tab/>
        <w:t xml:space="preserve">Khi đánh giá liệu lợi nhuận chịu thuế có đủ để sử dụng chênh lệch tạm thời được khấu trừ, đơn vị </w:t>
      </w:r>
      <w:r w:rsidR="00A05E46" w:rsidRPr="00010F83">
        <w:rPr>
          <w:rFonts w:ascii="Arial" w:hAnsi="Arial" w:cs="Arial"/>
          <w:bCs/>
        </w:rPr>
        <w:t xml:space="preserve">cần </w:t>
      </w:r>
      <w:r w:rsidR="002545C2" w:rsidRPr="00010F83">
        <w:rPr>
          <w:rFonts w:ascii="Arial" w:hAnsi="Arial" w:cs="Arial"/>
          <w:bCs/>
        </w:rPr>
        <w:t xml:space="preserve">cân nhắc liệu luật thuế có hạn chế </w:t>
      </w:r>
      <w:r w:rsidR="00A05E46" w:rsidRPr="00010F83">
        <w:rPr>
          <w:rFonts w:ascii="Arial" w:hAnsi="Arial" w:cs="Arial"/>
          <w:bCs/>
        </w:rPr>
        <w:t xml:space="preserve">về </w:t>
      </w:r>
      <w:r w:rsidR="002545C2" w:rsidRPr="00010F83">
        <w:rPr>
          <w:rFonts w:ascii="Arial" w:hAnsi="Arial" w:cs="Arial"/>
          <w:bCs/>
        </w:rPr>
        <w:t>nguồn lợi nhuận chịu thuế mà đơn vị có thể được giảm trừ khoản hoàn nhập chênh lệch tạm thời được khấu trừ vào nguồn đó</w:t>
      </w:r>
      <w:r w:rsidR="00A05E46" w:rsidRPr="00010F83">
        <w:rPr>
          <w:rFonts w:ascii="Arial" w:hAnsi="Arial" w:cs="Arial"/>
          <w:bCs/>
        </w:rPr>
        <w:t xml:space="preserve"> hay không</w:t>
      </w:r>
      <w:r w:rsidR="002545C2" w:rsidRPr="00010F83">
        <w:rPr>
          <w:rFonts w:ascii="Arial" w:hAnsi="Arial" w:cs="Arial"/>
          <w:bCs/>
        </w:rPr>
        <w:t xml:space="preserve">. </w:t>
      </w:r>
      <w:proofErr w:type="gramStart"/>
      <w:r w:rsidR="002545C2" w:rsidRPr="00010F83">
        <w:rPr>
          <w:rFonts w:ascii="Arial" w:hAnsi="Arial" w:cs="Arial"/>
          <w:bCs/>
        </w:rPr>
        <w:t>Nếu luật thuế không có các hạn chế này, đơn vị đánh giá chênh lệch tạm thời được khấu trừ kết hợp với tất cả các chênh lệch tạm thời được khấu trừ khác.</w:t>
      </w:r>
      <w:proofErr w:type="gramEnd"/>
      <w:r w:rsidR="002545C2" w:rsidRPr="00010F83">
        <w:rPr>
          <w:rFonts w:ascii="Arial" w:hAnsi="Arial" w:cs="Arial"/>
          <w:bCs/>
        </w:rPr>
        <w:t xml:space="preserve"> </w:t>
      </w:r>
      <w:r w:rsidR="00A05E46" w:rsidRPr="00010F83">
        <w:rPr>
          <w:rFonts w:ascii="Arial" w:hAnsi="Arial" w:cs="Arial"/>
          <w:bCs/>
        </w:rPr>
        <w:t xml:space="preserve">Mặt khác, nếu luật thuế có hạn chế về </w:t>
      </w:r>
      <w:r w:rsidR="002545C2" w:rsidRPr="00010F83">
        <w:rPr>
          <w:rFonts w:ascii="Arial" w:hAnsi="Arial" w:cs="Arial"/>
          <w:bCs/>
        </w:rPr>
        <w:t xml:space="preserve">việc sử dụng các khoản lỗ để giảm trừ </w:t>
      </w:r>
      <w:r w:rsidR="00525DA0" w:rsidRPr="00010F83">
        <w:rPr>
          <w:rFonts w:ascii="Arial" w:hAnsi="Arial" w:cs="Arial"/>
          <w:bCs/>
        </w:rPr>
        <w:t>lợi nhuận tính thuế</w:t>
      </w:r>
      <w:r w:rsidR="002545C2" w:rsidRPr="00010F83">
        <w:rPr>
          <w:rFonts w:ascii="Arial" w:hAnsi="Arial" w:cs="Arial"/>
          <w:bCs/>
        </w:rPr>
        <w:t xml:space="preserve"> </w:t>
      </w:r>
      <w:r w:rsidR="00525DA0" w:rsidRPr="00010F83">
        <w:rPr>
          <w:rFonts w:ascii="Arial" w:hAnsi="Arial" w:cs="Arial"/>
          <w:bCs/>
        </w:rPr>
        <w:t>từ một hoạt động kinh doanh</w:t>
      </w:r>
      <w:r w:rsidR="002545C2" w:rsidRPr="00010F83">
        <w:rPr>
          <w:rFonts w:ascii="Arial" w:hAnsi="Arial" w:cs="Arial"/>
          <w:bCs/>
        </w:rPr>
        <w:t xml:space="preserve"> cụ thể, </w:t>
      </w:r>
      <w:r w:rsidR="00A05E46" w:rsidRPr="00010F83">
        <w:rPr>
          <w:rFonts w:ascii="Arial" w:hAnsi="Arial" w:cs="Arial"/>
          <w:bCs/>
        </w:rPr>
        <w:t xml:space="preserve">thì </w:t>
      </w:r>
      <w:r w:rsidR="002545C2" w:rsidRPr="00010F83">
        <w:rPr>
          <w:rFonts w:ascii="Arial" w:hAnsi="Arial" w:cs="Arial"/>
          <w:bCs/>
        </w:rPr>
        <w:t xml:space="preserve">chênh lệch tạm thời được khấu trừ </w:t>
      </w:r>
      <w:r w:rsidR="00A05E46" w:rsidRPr="00010F83">
        <w:rPr>
          <w:rFonts w:ascii="Arial" w:hAnsi="Arial" w:cs="Arial"/>
          <w:bCs/>
        </w:rPr>
        <w:t xml:space="preserve">phải </w:t>
      </w:r>
      <w:r w:rsidR="002545C2" w:rsidRPr="00010F83">
        <w:rPr>
          <w:rFonts w:ascii="Arial" w:hAnsi="Arial" w:cs="Arial"/>
          <w:bCs/>
        </w:rPr>
        <w:t xml:space="preserve">được </w:t>
      </w:r>
      <w:r w:rsidR="00BD1A7B" w:rsidRPr="00010F83">
        <w:rPr>
          <w:rFonts w:ascii="Arial" w:hAnsi="Arial" w:cs="Arial"/>
          <w:bCs/>
        </w:rPr>
        <w:t xml:space="preserve">xác định chỉ </w:t>
      </w:r>
      <w:r w:rsidR="002545C2" w:rsidRPr="00010F83">
        <w:rPr>
          <w:rFonts w:ascii="Arial" w:hAnsi="Arial" w:cs="Arial"/>
          <w:bCs/>
        </w:rPr>
        <w:t xml:space="preserve">với các chênh lệch tạm thời được khấu trừ của </w:t>
      </w:r>
      <w:r w:rsidR="00525DA0" w:rsidRPr="00010F83">
        <w:rPr>
          <w:rFonts w:ascii="Arial" w:hAnsi="Arial" w:cs="Arial"/>
          <w:bCs/>
        </w:rPr>
        <w:t>hoạt động kinh doanh</w:t>
      </w:r>
      <w:r w:rsidR="002545C2" w:rsidRPr="00010F83">
        <w:rPr>
          <w:rFonts w:ascii="Arial" w:hAnsi="Arial" w:cs="Arial"/>
          <w:bCs/>
        </w:rPr>
        <w:t xml:space="preserve"> phù hợp.</w:t>
      </w:r>
    </w:p>
    <w:p w:rsidR="006E4953" w:rsidRPr="00010F83" w:rsidRDefault="006E4953">
      <w:pPr>
        <w:rPr>
          <w:rFonts w:ascii="Arial" w:hAnsi="Arial" w:cs="Arial"/>
          <w:bCs/>
        </w:rPr>
      </w:pPr>
      <w:r w:rsidRPr="00010F83">
        <w:rPr>
          <w:rFonts w:ascii="Arial" w:hAnsi="Arial" w:cs="Arial"/>
          <w:bCs/>
        </w:rPr>
        <w:br w:type="page"/>
      </w:r>
    </w:p>
    <w:p w:rsidR="00C530A3" w:rsidRPr="00010F83" w:rsidRDefault="00C530A3" w:rsidP="006E4953">
      <w:pPr>
        <w:autoSpaceDE w:val="0"/>
        <w:autoSpaceDN w:val="0"/>
        <w:adjustRightInd w:val="0"/>
        <w:spacing w:after="120" w:line="240" w:lineRule="auto"/>
        <w:ind w:left="720" w:hanging="720"/>
        <w:jc w:val="both"/>
        <w:rPr>
          <w:rFonts w:ascii="Arial" w:hAnsi="Arial" w:cs="Arial"/>
          <w:bCs/>
        </w:rPr>
      </w:pPr>
    </w:p>
    <w:p w:rsidR="00C530A3" w:rsidRPr="00010F83" w:rsidRDefault="00C530A3" w:rsidP="006E4953">
      <w:pPr>
        <w:autoSpaceDE w:val="0"/>
        <w:autoSpaceDN w:val="0"/>
        <w:adjustRightInd w:val="0"/>
        <w:spacing w:after="120" w:line="240" w:lineRule="auto"/>
        <w:ind w:left="720" w:hanging="720"/>
        <w:jc w:val="both"/>
        <w:rPr>
          <w:rFonts w:ascii="Arial" w:hAnsi="Arial" w:cs="Arial"/>
          <w:bCs/>
        </w:rPr>
      </w:pPr>
      <w:r w:rsidRPr="00010F83">
        <w:rPr>
          <w:rFonts w:ascii="Arial" w:hAnsi="Arial" w:cs="Arial"/>
          <w:bCs/>
        </w:rPr>
        <w:t>28.</w:t>
      </w:r>
      <w:r w:rsidRPr="00010F83">
        <w:rPr>
          <w:rFonts w:ascii="Arial" w:hAnsi="Arial" w:cs="Arial"/>
          <w:bCs/>
        </w:rPr>
        <w:tab/>
      </w:r>
      <w:r w:rsidR="00BD1A7B" w:rsidRPr="00010F83">
        <w:rPr>
          <w:rFonts w:ascii="Arial" w:hAnsi="Arial" w:cs="Arial"/>
          <w:bCs/>
        </w:rPr>
        <w:t xml:space="preserve">Việc có lợi nhuận tính thuế để sử dụng các chênh lệch tạm thời được khấu trừ được coi là có nhiều khả năng, </w:t>
      </w:r>
      <w:r w:rsidR="002545C2" w:rsidRPr="00010F83">
        <w:rPr>
          <w:rFonts w:ascii="Arial" w:hAnsi="Arial" w:cs="Arial"/>
          <w:bCs/>
        </w:rPr>
        <w:t xml:space="preserve">khi có đủ các chênh lệch tạm thời chịu thuế liên quan đến cùng một cơ quan thuế và cùng một đơn vị chịu thuế, và các chênh lệch tạm thời chịu thuế đó dự kiến sẽ </w:t>
      </w:r>
      <w:r w:rsidR="00BD1A7B" w:rsidRPr="00010F83">
        <w:rPr>
          <w:rFonts w:ascii="Arial" w:hAnsi="Arial" w:cs="Arial"/>
          <w:bCs/>
        </w:rPr>
        <w:t xml:space="preserve">được </w:t>
      </w:r>
      <w:r w:rsidR="002545C2" w:rsidRPr="00010F83">
        <w:rPr>
          <w:rFonts w:ascii="Arial" w:hAnsi="Arial" w:cs="Arial"/>
          <w:bCs/>
        </w:rPr>
        <w:t>hoàn nhập:</w:t>
      </w:r>
    </w:p>
    <w:p w:rsidR="002545C2" w:rsidRPr="00010F83" w:rsidRDefault="002545C2" w:rsidP="006E4953">
      <w:pPr>
        <w:pStyle w:val="ListParagraph"/>
        <w:numPr>
          <w:ilvl w:val="0"/>
          <w:numId w:val="18"/>
        </w:numPr>
        <w:autoSpaceDE w:val="0"/>
        <w:autoSpaceDN w:val="0"/>
        <w:adjustRightInd w:val="0"/>
        <w:spacing w:after="120"/>
        <w:ind w:left="1080"/>
        <w:jc w:val="both"/>
        <w:rPr>
          <w:rFonts w:ascii="Arial" w:hAnsi="Arial" w:cs="Arial"/>
          <w:bCs/>
          <w:sz w:val="22"/>
          <w:szCs w:val="22"/>
        </w:rPr>
      </w:pPr>
      <w:r w:rsidRPr="00010F83">
        <w:rPr>
          <w:rFonts w:ascii="Arial" w:hAnsi="Arial" w:cs="Arial"/>
          <w:bCs/>
          <w:sz w:val="22"/>
          <w:szCs w:val="22"/>
        </w:rPr>
        <w:t xml:space="preserve">Trong cùng kỳ dự kiến </w:t>
      </w:r>
      <w:r w:rsidR="00BD1A7B" w:rsidRPr="00010F83">
        <w:rPr>
          <w:rFonts w:ascii="Arial" w:hAnsi="Arial" w:cs="Arial"/>
          <w:bCs/>
          <w:sz w:val="22"/>
          <w:szCs w:val="22"/>
        </w:rPr>
        <w:t xml:space="preserve">với sự </w:t>
      </w:r>
      <w:r w:rsidRPr="00010F83">
        <w:rPr>
          <w:rFonts w:ascii="Arial" w:hAnsi="Arial" w:cs="Arial"/>
          <w:bCs/>
          <w:sz w:val="22"/>
          <w:szCs w:val="22"/>
        </w:rPr>
        <w:t>hoàn nhập chênh lệch tạm thời được khấu trừ đó; hoặc</w:t>
      </w:r>
    </w:p>
    <w:p w:rsidR="00C530A3" w:rsidRPr="00010F83" w:rsidRDefault="002545C2" w:rsidP="006E4953">
      <w:pPr>
        <w:pStyle w:val="ListParagraph"/>
        <w:numPr>
          <w:ilvl w:val="0"/>
          <w:numId w:val="18"/>
        </w:numPr>
        <w:autoSpaceDE w:val="0"/>
        <w:autoSpaceDN w:val="0"/>
        <w:adjustRightInd w:val="0"/>
        <w:spacing w:after="120"/>
        <w:ind w:left="1080"/>
        <w:jc w:val="both"/>
        <w:rPr>
          <w:rFonts w:ascii="Arial" w:hAnsi="Arial" w:cs="Arial"/>
          <w:bCs/>
          <w:sz w:val="22"/>
          <w:szCs w:val="22"/>
        </w:rPr>
      </w:pPr>
      <w:r w:rsidRPr="00010F83">
        <w:rPr>
          <w:rFonts w:ascii="Arial" w:hAnsi="Arial" w:cs="Arial"/>
          <w:bCs/>
          <w:sz w:val="22"/>
          <w:szCs w:val="22"/>
        </w:rPr>
        <w:t xml:space="preserve">Trong các kỳ mà một khoản lỗ tính thuế phát sinh từ </w:t>
      </w:r>
      <w:r w:rsidR="006805F0" w:rsidRPr="00010F83">
        <w:rPr>
          <w:rFonts w:ascii="Arial" w:hAnsi="Arial" w:cs="Arial"/>
          <w:bCs/>
          <w:sz w:val="22"/>
          <w:szCs w:val="22"/>
        </w:rPr>
        <w:t xml:space="preserve">tài sản </w:t>
      </w:r>
      <w:r w:rsidR="00731917" w:rsidRPr="00010F83">
        <w:rPr>
          <w:rFonts w:ascii="Arial" w:hAnsi="Arial" w:cs="Arial"/>
          <w:bCs/>
          <w:sz w:val="22"/>
          <w:szCs w:val="22"/>
        </w:rPr>
        <w:t>thuế TNDN</w:t>
      </w:r>
      <w:r w:rsidR="006805F0" w:rsidRPr="00010F83">
        <w:rPr>
          <w:rFonts w:ascii="Arial" w:hAnsi="Arial" w:cs="Arial"/>
          <w:bCs/>
          <w:sz w:val="22"/>
          <w:szCs w:val="22"/>
        </w:rPr>
        <w:t xml:space="preserve"> hoãn lại</w:t>
      </w:r>
      <w:r w:rsidRPr="00010F83">
        <w:rPr>
          <w:rFonts w:ascii="Arial" w:hAnsi="Arial" w:cs="Arial"/>
          <w:bCs/>
          <w:sz w:val="22"/>
          <w:szCs w:val="22"/>
        </w:rPr>
        <w:t xml:space="preserve"> đó có thể</w:t>
      </w:r>
      <w:r w:rsidR="00E85106" w:rsidRPr="00010F83">
        <w:rPr>
          <w:rFonts w:ascii="Arial" w:hAnsi="Arial" w:cs="Arial"/>
          <w:bCs/>
          <w:sz w:val="22"/>
          <w:szCs w:val="22"/>
        </w:rPr>
        <w:t xml:space="preserve"> được </w:t>
      </w:r>
      <w:r w:rsidR="00BD1A7B" w:rsidRPr="00010F83">
        <w:rPr>
          <w:rFonts w:ascii="Arial" w:hAnsi="Arial" w:cs="Arial"/>
          <w:bCs/>
          <w:sz w:val="22"/>
          <w:szCs w:val="22"/>
        </w:rPr>
        <w:t>khấu trừ chuyển sang các kỳ khác</w:t>
      </w:r>
      <w:r w:rsidRPr="00010F83">
        <w:rPr>
          <w:rFonts w:ascii="Arial" w:hAnsi="Arial" w:cs="Arial"/>
          <w:bCs/>
          <w:sz w:val="22"/>
          <w:szCs w:val="22"/>
        </w:rPr>
        <w:t>.</w:t>
      </w:r>
    </w:p>
    <w:p w:rsidR="00C530A3" w:rsidRPr="00010F83" w:rsidRDefault="002545C2" w:rsidP="006E4953">
      <w:pPr>
        <w:autoSpaceDE w:val="0"/>
        <w:autoSpaceDN w:val="0"/>
        <w:adjustRightInd w:val="0"/>
        <w:spacing w:after="120" w:line="240" w:lineRule="auto"/>
        <w:ind w:left="720"/>
        <w:jc w:val="both"/>
        <w:rPr>
          <w:rFonts w:ascii="Arial" w:hAnsi="Arial" w:cs="Arial"/>
          <w:bCs/>
        </w:rPr>
      </w:pPr>
      <w:proofErr w:type="gramStart"/>
      <w:r w:rsidRPr="00010F83">
        <w:rPr>
          <w:rFonts w:ascii="Arial" w:hAnsi="Arial" w:cs="Arial"/>
          <w:bCs/>
        </w:rPr>
        <w:t xml:space="preserve">Trong những trường hợp này, </w:t>
      </w:r>
      <w:r w:rsidR="006805F0" w:rsidRPr="00010F83">
        <w:rPr>
          <w:rFonts w:ascii="Arial" w:hAnsi="Arial" w:cs="Arial"/>
          <w:bCs/>
        </w:rPr>
        <w:t xml:space="preserve">tài sản </w:t>
      </w:r>
      <w:r w:rsidR="00731917" w:rsidRPr="00010F83">
        <w:rPr>
          <w:rFonts w:ascii="Arial" w:hAnsi="Arial" w:cs="Arial"/>
          <w:bCs/>
        </w:rPr>
        <w:t>thuế TNDN</w:t>
      </w:r>
      <w:r w:rsidR="006805F0" w:rsidRPr="00010F83">
        <w:rPr>
          <w:rFonts w:ascii="Arial" w:hAnsi="Arial" w:cs="Arial"/>
          <w:bCs/>
        </w:rPr>
        <w:t xml:space="preserve"> hoãn lại</w:t>
      </w:r>
      <w:r w:rsidRPr="00010F83">
        <w:rPr>
          <w:rFonts w:ascii="Arial" w:hAnsi="Arial" w:cs="Arial"/>
          <w:bCs/>
        </w:rPr>
        <w:t xml:space="preserve"> được ghi nhận trong kỳ mà chênh lệch tạm thời </w:t>
      </w:r>
      <w:r w:rsidR="00E85106" w:rsidRPr="00010F83">
        <w:rPr>
          <w:rFonts w:ascii="Arial" w:hAnsi="Arial" w:cs="Arial"/>
          <w:bCs/>
        </w:rPr>
        <w:t xml:space="preserve">được khấu trừ </w:t>
      </w:r>
      <w:r w:rsidRPr="00010F83">
        <w:rPr>
          <w:rFonts w:ascii="Arial" w:hAnsi="Arial" w:cs="Arial"/>
          <w:bCs/>
        </w:rPr>
        <w:t>phát sinh.</w:t>
      </w:r>
      <w:proofErr w:type="gramEnd"/>
    </w:p>
    <w:p w:rsidR="00C530A3" w:rsidRPr="00010F83" w:rsidRDefault="00C530A3" w:rsidP="006E4953">
      <w:pPr>
        <w:autoSpaceDE w:val="0"/>
        <w:autoSpaceDN w:val="0"/>
        <w:adjustRightInd w:val="0"/>
        <w:spacing w:before="240" w:after="120" w:line="240" w:lineRule="auto"/>
        <w:ind w:left="720" w:hanging="720"/>
        <w:jc w:val="both"/>
        <w:rPr>
          <w:rFonts w:ascii="Arial" w:hAnsi="Arial" w:cs="Arial"/>
          <w:bCs/>
        </w:rPr>
      </w:pPr>
      <w:r w:rsidRPr="00010F83">
        <w:rPr>
          <w:rFonts w:ascii="Arial" w:hAnsi="Arial" w:cs="Arial"/>
          <w:bCs/>
        </w:rPr>
        <w:t>29.</w:t>
      </w:r>
      <w:r w:rsidRPr="00010F83">
        <w:rPr>
          <w:rFonts w:ascii="Arial" w:hAnsi="Arial" w:cs="Arial"/>
          <w:bCs/>
        </w:rPr>
        <w:tab/>
      </w:r>
      <w:r w:rsidR="002545C2" w:rsidRPr="00010F83">
        <w:rPr>
          <w:rFonts w:ascii="Arial" w:hAnsi="Arial" w:cs="Arial"/>
          <w:bCs/>
        </w:rPr>
        <w:t xml:space="preserve">Khi không có đủ các chênh lệch tạm thời chịu thuế liên quan đến cùng một cơ quan thuế và cùng đơn vị chịu thuế, thì </w:t>
      </w:r>
      <w:r w:rsidR="006805F0" w:rsidRPr="00010F83">
        <w:rPr>
          <w:rFonts w:ascii="Arial" w:hAnsi="Arial" w:cs="Arial"/>
          <w:bCs/>
        </w:rPr>
        <w:t xml:space="preserve">tài sản </w:t>
      </w:r>
      <w:r w:rsidR="00731917" w:rsidRPr="00010F83">
        <w:rPr>
          <w:rFonts w:ascii="Arial" w:hAnsi="Arial" w:cs="Arial"/>
          <w:bCs/>
        </w:rPr>
        <w:t>thuế TNDN</w:t>
      </w:r>
      <w:r w:rsidR="006805F0" w:rsidRPr="00010F83">
        <w:rPr>
          <w:rFonts w:ascii="Arial" w:hAnsi="Arial" w:cs="Arial"/>
          <w:bCs/>
        </w:rPr>
        <w:t xml:space="preserve"> hoãn lại</w:t>
      </w:r>
      <w:r w:rsidR="002545C2" w:rsidRPr="00010F83">
        <w:rPr>
          <w:rFonts w:ascii="Arial" w:hAnsi="Arial" w:cs="Arial"/>
          <w:bCs/>
        </w:rPr>
        <w:t xml:space="preserve"> chỉ được ghi nhận trong phạm vi:</w:t>
      </w:r>
    </w:p>
    <w:p w:rsidR="00C530A3" w:rsidRPr="00010F83" w:rsidRDefault="002545C2" w:rsidP="006E4953">
      <w:pPr>
        <w:pStyle w:val="ListParagraph"/>
        <w:numPr>
          <w:ilvl w:val="0"/>
          <w:numId w:val="19"/>
        </w:numPr>
        <w:autoSpaceDE w:val="0"/>
        <w:autoSpaceDN w:val="0"/>
        <w:adjustRightInd w:val="0"/>
        <w:spacing w:after="120"/>
        <w:ind w:left="1080"/>
        <w:jc w:val="both"/>
        <w:rPr>
          <w:rFonts w:ascii="Arial" w:hAnsi="Arial" w:cs="Arial"/>
          <w:bCs/>
          <w:sz w:val="22"/>
          <w:szCs w:val="22"/>
        </w:rPr>
      </w:pPr>
      <w:r w:rsidRPr="00010F83">
        <w:rPr>
          <w:rFonts w:ascii="Arial" w:hAnsi="Arial" w:cs="Arial"/>
          <w:bCs/>
          <w:sz w:val="22"/>
          <w:szCs w:val="22"/>
        </w:rPr>
        <w:t>đơn vị có đủ lợi nhuận chịu thuế liên quan đến cùng một cơ quan thuế và cùng đơn vị chịu thuế trong cùng kỳ</w:t>
      </w:r>
      <w:r w:rsidR="008F2EFE" w:rsidRPr="00010F83">
        <w:rPr>
          <w:rFonts w:ascii="Arial" w:hAnsi="Arial" w:cs="Arial"/>
          <w:bCs/>
          <w:sz w:val="22"/>
          <w:szCs w:val="22"/>
        </w:rPr>
        <w:t xml:space="preserve"> xảy ra</w:t>
      </w:r>
      <w:r w:rsidRPr="00010F83">
        <w:rPr>
          <w:rFonts w:ascii="Arial" w:hAnsi="Arial" w:cs="Arial"/>
          <w:bCs/>
          <w:sz w:val="22"/>
          <w:szCs w:val="22"/>
        </w:rPr>
        <w:t xml:space="preserve"> hoàn nhập các chênh lệch tạm thời được khấu trừ (hoặc trong các kỳ mà một khoản lỗ tính thuế phát sinh từ </w:t>
      </w:r>
      <w:r w:rsidR="006805F0" w:rsidRPr="00010F83">
        <w:rPr>
          <w:rFonts w:ascii="Arial" w:hAnsi="Arial" w:cs="Arial"/>
          <w:bCs/>
          <w:sz w:val="22"/>
          <w:szCs w:val="22"/>
        </w:rPr>
        <w:t xml:space="preserve">tài sản </w:t>
      </w:r>
      <w:r w:rsidR="00731917" w:rsidRPr="00010F83">
        <w:rPr>
          <w:rFonts w:ascii="Arial" w:hAnsi="Arial" w:cs="Arial"/>
          <w:bCs/>
          <w:sz w:val="22"/>
          <w:szCs w:val="22"/>
        </w:rPr>
        <w:t>thuế TNDN</w:t>
      </w:r>
      <w:r w:rsidR="006805F0" w:rsidRPr="00010F83">
        <w:rPr>
          <w:rFonts w:ascii="Arial" w:hAnsi="Arial" w:cs="Arial"/>
          <w:bCs/>
          <w:sz w:val="22"/>
          <w:szCs w:val="22"/>
        </w:rPr>
        <w:t xml:space="preserve"> hoãn lại</w:t>
      </w:r>
      <w:r w:rsidRPr="00010F83">
        <w:rPr>
          <w:rFonts w:ascii="Arial" w:hAnsi="Arial" w:cs="Arial"/>
          <w:bCs/>
          <w:sz w:val="22"/>
          <w:szCs w:val="22"/>
        </w:rPr>
        <w:t xml:space="preserve"> đó có thể được </w:t>
      </w:r>
      <w:r w:rsidR="00BD1A7B" w:rsidRPr="00010F83">
        <w:rPr>
          <w:rFonts w:ascii="Arial" w:hAnsi="Arial" w:cs="Arial"/>
          <w:bCs/>
          <w:sz w:val="22"/>
          <w:szCs w:val="22"/>
        </w:rPr>
        <w:t>khấu trừ chuyển sang các kỳ khác</w:t>
      </w:r>
      <w:r w:rsidRPr="00010F83">
        <w:rPr>
          <w:rFonts w:ascii="Arial" w:hAnsi="Arial" w:cs="Arial"/>
          <w:bCs/>
          <w:sz w:val="22"/>
          <w:szCs w:val="22"/>
        </w:rPr>
        <w:t>). Khi đánh giá liệu đơn vị có đủ lợi nhuận chịu thuế trong tương lai, đơn vị:</w:t>
      </w:r>
    </w:p>
    <w:p w:rsidR="002545C2" w:rsidRPr="00010F83" w:rsidRDefault="002545C2" w:rsidP="006E4953">
      <w:pPr>
        <w:pStyle w:val="ListParagraph"/>
        <w:numPr>
          <w:ilvl w:val="0"/>
          <w:numId w:val="20"/>
        </w:numPr>
        <w:autoSpaceDE w:val="0"/>
        <w:autoSpaceDN w:val="0"/>
        <w:adjustRightInd w:val="0"/>
        <w:spacing w:after="120"/>
        <w:ind w:left="1530" w:hanging="450"/>
        <w:jc w:val="both"/>
        <w:rPr>
          <w:rFonts w:ascii="Arial" w:hAnsi="Arial" w:cs="Arial"/>
          <w:bCs/>
          <w:sz w:val="22"/>
          <w:szCs w:val="22"/>
        </w:rPr>
      </w:pPr>
      <w:proofErr w:type="gramStart"/>
      <w:r w:rsidRPr="00010F83">
        <w:rPr>
          <w:rFonts w:ascii="Arial" w:hAnsi="Arial" w:cs="Arial"/>
          <w:bCs/>
          <w:sz w:val="22"/>
          <w:szCs w:val="22"/>
        </w:rPr>
        <w:t>so</w:t>
      </w:r>
      <w:proofErr w:type="gramEnd"/>
      <w:r w:rsidRPr="00010F83">
        <w:rPr>
          <w:rFonts w:ascii="Arial" w:hAnsi="Arial" w:cs="Arial"/>
          <w:bCs/>
          <w:sz w:val="22"/>
          <w:szCs w:val="22"/>
        </w:rPr>
        <w:t xml:space="preserve"> sánh các chênh lệch tạm thời được khấu trừ thuế với lợi nhuận chịu thuế trong tương lai</w:t>
      </w:r>
      <w:r w:rsidR="008F2EFE" w:rsidRPr="00010F83">
        <w:rPr>
          <w:rFonts w:ascii="Arial" w:hAnsi="Arial" w:cs="Arial"/>
          <w:bCs/>
          <w:sz w:val="22"/>
          <w:szCs w:val="22"/>
        </w:rPr>
        <w:t>; lợi nhuận này</w:t>
      </w:r>
      <w:r w:rsidRPr="00010F83">
        <w:rPr>
          <w:rFonts w:ascii="Arial" w:hAnsi="Arial" w:cs="Arial"/>
          <w:bCs/>
          <w:sz w:val="22"/>
          <w:szCs w:val="22"/>
        </w:rPr>
        <w:t xml:space="preserve"> không bao gồm các khoản giảm trừ thuế phát sinh từ </w:t>
      </w:r>
      <w:r w:rsidR="008F2EFE" w:rsidRPr="00010F83">
        <w:rPr>
          <w:rFonts w:ascii="Arial" w:hAnsi="Arial" w:cs="Arial"/>
          <w:bCs/>
          <w:sz w:val="22"/>
          <w:szCs w:val="22"/>
        </w:rPr>
        <w:t xml:space="preserve">việc </w:t>
      </w:r>
      <w:r w:rsidRPr="00010F83">
        <w:rPr>
          <w:rFonts w:ascii="Arial" w:hAnsi="Arial" w:cs="Arial"/>
          <w:bCs/>
          <w:sz w:val="22"/>
          <w:szCs w:val="22"/>
        </w:rPr>
        <w:t xml:space="preserve">hoàn nhập các chênh lệch tạm thời được khấu trừ </w:t>
      </w:r>
      <w:r w:rsidR="008F2EFE" w:rsidRPr="00010F83">
        <w:rPr>
          <w:rFonts w:ascii="Arial" w:hAnsi="Arial" w:cs="Arial"/>
          <w:bCs/>
          <w:sz w:val="22"/>
          <w:szCs w:val="22"/>
        </w:rPr>
        <w:t>kể trên</w:t>
      </w:r>
      <w:r w:rsidRPr="00010F83">
        <w:rPr>
          <w:rFonts w:ascii="Arial" w:hAnsi="Arial" w:cs="Arial"/>
          <w:bCs/>
          <w:sz w:val="22"/>
          <w:szCs w:val="22"/>
        </w:rPr>
        <w:t xml:space="preserve">. Việc so sánh này cho biết mức lợi nhuận chịu thuế trong tương lai đủ để khấu trừ các khoản phát sinh từ hoàn nhập các chênh lệch tạm thời </w:t>
      </w:r>
      <w:r w:rsidR="008F2EFE" w:rsidRPr="00010F83">
        <w:rPr>
          <w:rFonts w:ascii="Arial" w:hAnsi="Arial" w:cs="Arial"/>
          <w:bCs/>
          <w:sz w:val="22"/>
          <w:szCs w:val="22"/>
        </w:rPr>
        <w:t>được khấu trừ</w:t>
      </w:r>
      <w:r w:rsidRPr="00010F83">
        <w:rPr>
          <w:rFonts w:ascii="Arial" w:hAnsi="Arial" w:cs="Arial"/>
          <w:bCs/>
          <w:sz w:val="22"/>
          <w:szCs w:val="22"/>
        </w:rPr>
        <w:t>.</w:t>
      </w:r>
    </w:p>
    <w:p w:rsidR="00C530A3" w:rsidRPr="00010F83" w:rsidRDefault="00BD1A7B" w:rsidP="006E4953">
      <w:pPr>
        <w:pStyle w:val="ListParagraph"/>
        <w:numPr>
          <w:ilvl w:val="0"/>
          <w:numId w:val="20"/>
        </w:numPr>
        <w:autoSpaceDE w:val="0"/>
        <w:autoSpaceDN w:val="0"/>
        <w:adjustRightInd w:val="0"/>
        <w:spacing w:after="120"/>
        <w:ind w:left="1530" w:hanging="450"/>
        <w:jc w:val="both"/>
        <w:rPr>
          <w:rFonts w:ascii="Arial" w:hAnsi="Arial" w:cs="Arial"/>
          <w:bCs/>
          <w:sz w:val="22"/>
          <w:szCs w:val="22"/>
        </w:rPr>
      </w:pPr>
      <w:r w:rsidRPr="00010F83">
        <w:rPr>
          <w:rFonts w:ascii="Arial" w:hAnsi="Arial" w:cs="Arial"/>
          <w:bCs/>
          <w:sz w:val="22"/>
          <w:szCs w:val="22"/>
        </w:rPr>
        <w:t xml:space="preserve">không được tính đến </w:t>
      </w:r>
      <w:r w:rsidR="008F2EFE" w:rsidRPr="00010F83">
        <w:rPr>
          <w:rFonts w:ascii="Arial" w:hAnsi="Arial" w:cs="Arial"/>
          <w:bCs/>
          <w:sz w:val="22"/>
          <w:szCs w:val="22"/>
        </w:rPr>
        <w:t>các khoản</w:t>
      </w:r>
      <w:r w:rsidR="002545C2" w:rsidRPr="00010F83">
        <w:rPr>
          <w:rFonts w:ascii="Arial" w:hAnsi="Arial" w:cs="Arial"/>
          <w:bCs/>
          <w:sz w:val="22"/>
          <w:szCs w:val="22"/>
        </w:rPr>
        <w:t xml:space="preserve"> chịu thuế phát sinh từ các chênh lệch tạm thời được khấu trừ dự kiến sẽ phát sinh trong tương lai, vì </w:t>
      </w:r>
      <w:r w:rsidR="006805F0" w:rsidRPr="00010F83">
        <w:rPr>
          <w:rFonts w:ascii="Arial" w:hAnsi="Arial" w:cs="Arial"/>
          <w:bCs/>
          <w:sz w:val="22"/>
          <w:szCs w:val="22"/>
        </w:rPr>
        <w:t xml:space="preserve">tài sản </w:t>
      </w:r>
      <w:r w:rsidR="00731917" w:rsidRPr="00010F83">
        <w:rPr>
          <w:rFonts w:ascii="Arial" w:hAnsi="Arial" w:cs="Arial"/>
          <w:bCs/>
          <w:sz w:val="22"/>
          <w:szCs w:val="22"/>
        </w:rPr>
        <w:t>thuế TNDN</w:t>
      </w:r>
      <w:r w:rsidR="006805F0" w:rsidRPr="00010F83">
        <w:rPr>
          <w:rFonts w:ascii="Arial" w:hAnsi="Arial" w:cs="Arial"/>
          <w:bCs/>
          <w:sz w:val="22"/>
          <w:szCs w:val="22"/>
        </w:rPr>
        <w:t xml:space="preserve"> hoãn lại</w:t>
      </w:r>
      <w:r w:rsidR="002545C2" w:rsidRPr="00010F83">
        <w:rPr>
          <w:rFonts w:ascii="Arial" w:hAnsi="Arial" w:cs="Arial"/>
          <w:bCs/>
          <w:sz w:val="22"/>
          <w:szCs w:val="22"/>
        </w:rPr>
        <w:t xml:space="preserve"> phát sinh từ các chênh lệch tạm thời đ</w:t>
      </w:r>
      <w:r w:rsidR="008F2EFE" w:rsidRPr="00010F83">
        <w:rPr>
          <w:rFonts w:ascii="Arial" w:hAnsi="Arial" w:cs="Arial"/>
          <w:bCs/>
          <w:sz w:val="22"/>
          <w:szCs w:val="22"/>
        </w:rPr>
        <w:t xml:space="preserve">ược khấu trừ này cũng sẽ </w:t>
      </w:r>
      <w:r w:rsidRPr="00010F83">
        <w:rPr>
          <w:rFonts w:ascii="Arial" w:hAnsi="Arial" w:cs="Arial"/>
          <w:bCs/>
          <w:sz w:val="22"/>
          <w:szCs w:val="22"/>
        </w:rPr>
        <w:t xml:space="preserve">đòi hỏi </w:t>
      </w:r>
      <w:r w:rsidR="008F2EFE" w:rsidRPr="00010F83">
        <w:rPr>
          <w:rFonts w:ascii="Arial" w:hAnsi="Arial" w:cs="Arial"/>
          <w:bCs/>
          <w:sz w:val="22"/>
          <w:szCs w:val="22"/>
        </w:rPr>
        <w:t>phải</w:t>
      </w:r>
      <w:r w:rsidR="002545C2" w:rsidRPr="00010F83">
        <w:rPr>
          <w:rFonts w:ascii="Arial" w:hAnsi="Arial" w:cs="Arial"/>
          <w:bCs/>
          <w:sz w:val="22"/>
          <w:szCs w:val="22"/>
        </w:rPr>
        <w:t xml:space="preserve"> có lợi nhuận chịu thuế trong tương lai để được sử dụng; hoặc</w:t>
      </w:r>
    </w:p>
    <w:p w:rsidR="00C530A3" w:rsidRPr="00010F83" w:rsidRDefault="006E4953" w:rsidP="006E4953">
      <w:pPr>
        <w:pStyle w:val="ListParagraph"/>
        <w:numPr>
          <w:ilvl w:val="0"/>
          <w:numId w:val="19"/>
        </w:numPr>
        <w:autoSpaceDE w:val="0"/>
        <w:autoSpaceDN w:val="0"/>
        <w:adjustRightInd w:val="0"/>
        <w:spacing w:after="120"/>
        <w:ind w:left="1080"/>
        <w:jc w:val="both"/>
        <w:rPr>
          <w:rFonts w:ascii="Arial" w:hAnsi="Arial" w:cs="Arial"/>
          <w:bCs/>
          <w:sz w:val="22"/>
          <w:szCs w:val="22"/>
        </w:rPr>
      </w:pPr>
      <w:proofErr w:type="gramStart"/>
      <w:r w:rsidRPr="00010F83">
        <w:rPr>
          <w:rFonts w:ascii="Arial" w:hAnsi="Arial" w:cs="Arial"/>
          <w:bCs/>
          <w:sz w:val="22"/>
          <w:szCs w:val="22"/>
        </w:rPr>
        <w:t>đơn</w:t>
      </w:r>
      <w:proofErr w:type="gramEnd"/>
      <w:r w:rsidRPr="00010F83">
        <w:rPr>
          <w:rFonts w:ascii="Arial" w:hAnsi="Arial" w:cs="Arial"/>
          <w:bCs/>
          <w:sz w:val="22"/>
          <w:szCs w:val="22"/>
        </w:rPr>
        <w:t xml:space="preserve"> </w:t>
      </w:r>
      <w:r w:rsidR="002545C2" w:rsidRPr="00010F83">
        <w:rPr>
          <w:rFonts w:ascii="Arial" w:hAnsi="Arial" w:cs="Arial"/>
          <w:bCs/>
          <w:sz w:val="22"/>
          <w:szCs w:val="22"/>
        </w:rPr>
        <w:t xml:space="preserve">vị có các cơ hội </w:t>
      </w:r>
      <w:r w:rsidR="00BD1A7B" w:rsidRPr="00010F83">
        <w:rPr>
          <w:rFonts w:ascii="Arial" w:hAnsi="Arial" w:cs="Arial"/>
          <w:bCs/>
          <w:sz w:val="22"/>
          <w:szCs w:val="22"/>
        </w:rPr>
        <w:t xml:space="preserve">để vận dụng hợp lý các </w:t>
      </w:r>
      <w:r w:rsidR="003E4483" w:rsidRPr="00010F83">
        <w:rPr>
          <w:rFonts w:ascii="Arial" w:hAnsi="Arial" w:cs="Arial"/>
          <w:bCs/>
          <w:sz w:val="22"/>
          <w:szCs w:val="22"/>
        </w:rPr>
        <w:t>kế hoạch</w:t>
      </w:r>
      <w:r w:rsidR="008F2EFE" w:rsidRPr="00010F83">
        <w:rPr>
          <w:rFonts w:ascii="Arial" w:hAnsi="Arial" w:cs="Arial"/>
          <w:bCs/>
          <w:sz w:val="22"/>
          <w:szCs w:val="22"/>
        </w:rPr>
        <w:t xml:space="preserve"> tối ưu thuế,</w:t>
      </w:r>
      <w:r w:rsidR="002545C2" w:rsidRPr="00010F83">
        <w:rPr>
          <w:rFonts w:ascii="Arial" w:hAnsi="Arial" w:cs="Arial"/>
          <w:bCs/>
          <w:sz w:val="22"/>
          <w:szCs w:val="22"/>
        </w:rPr>
        <w:t xml:space="preserve"> tạo ra lợi nhuận tính thuế trong những kỳ thích hợp.</w:t>
      </w:r>
    </w:p>
    <w:p w:rsidR="00C530A3" w:rsidRPr="00010F83" w:rsidRDefault="00C530A3" w:rsidP="006E4953">
      <w:pPr>
        <w:autoSpaceDE w:val="0"/>
        <w:autoSpaceDN w:val="0"/>
        <w:adjustRightInd w:val="0"/>
        <w:spacing w:before="240" w:after="120" w:line="240" w:lineRule="auto"/>
        <w:ind w:left="720" w:hanging="720"/>
        <w:jc w:val="both"/>
        <w:rPr>
          <w:rFonts w:ascii="Arial" w:hAnsi="Arial" w:cs="Arial"/>
          <w:bCs/>
        </w:rPr>
      </w:pPr>
      <w:r w:rsidRPr="00010F83">
        <w:rPr>
          <w:rFonts w:ascii="Arial" w:hAnsi="Arial" w:cs="Arial"/>
          <w:bCs/>
        </w:rPr>
        <w:t xml:space="preserve">29A. </w:t>
      </w:r>
      <w:r w:rsidR="002545C2" w:rsidRPr="00010F83">
        <w:rPr>
          <w:rFonts w:ascii="Arial" w:hAnsi="Arial" w:cs="Arial"/>
          <w:bCs/>
        </w:rPr>
        <w:tab/>
      </w:r>
      <w:r w:rsidR="00BD1A7B" w:rsidRPr="00010F83">
        <w:rPr>
          <w:rFonts w:ascii="Arial" w:hAnsi="Arial" w:cs="Arial"/>
          <w:bCs/>
        </w:rPr>
        <w:t>Việc ứ</w:t>
      </w:r>
      <w:r w:rsidR="002545C2" w:rsidRPr="00010F83">
        <w:rPr>
          <w:rFonts w:ascii="Arial" w:hAnsi="Arial" w:cs="Arial"/>
          <w:bCs/>
        </w:rPr>
        <w:t xml:space="preserve">ớc tính lợi nhuận chịu thuế trong tương lai có thể gồm </w:t>
      </w:r>
      <w:r w:rsidR="008F2EFE" w:rsidRPr="00010F83">
        <w:rPr>
          <w:rFonts w:ascii="Arial" w:hAnsi="Arial" w:cs="Arial"/>
          <w:bCs/>
        </w:rPr>
        <w:t xml:space="preserve">cả </w:t>
      </w:r>
      <w:r w:rsidR="002545C2" w:rsidRPr="00010F83">
        <w:rPr>
          <w:rFonts w:ascii="Arial" w:hAnsi="Arial" w:cs="Arial"/>
          <w:bCs/>
        </w:rPr>
        <w:t xml:space="preserve">việc </w:t>
      </w:r>
      <w:proofErr w:type="gramStart"/>
      <w:r w:rsidR="002545C2" w:rsidRPr="00010F83">
        <w:rPr>
          <w:rFonts w:ascii="Arial" w:hAnsi="Arial" w:cs="Arial"/>
          <w:bCs/>
        </w:rPr>
        <w:t>thu</w:t>
      </w:r>
      <w:proofErr w:type="gramEnd"/>
      <w:r w:rsidR="002545C2" w:rsidRPr="00010F83">
        <w:rPr>
          <w:rFonts w:ascii="Arial" w:hAnsi="Arial" w:cs="Arial"/>
          <w:bCs/>
        </w:rPr>
        <w:t xml:space="preserve"> hồi một số tài sản của đơn vị </w:t>
      </w:r>
      <w:r w:rsidR="006E4F36" w:rsidRPr="00010F83">
        <w:rPr>
          <w:rFonts w:ascii="Arial" w:hAnsi="Arial" w:cs="Arial"/>
          <w:bCs/>
        </w:rPr>
        <w:t xml:space="preserve">với giá </w:t>
      </w:r>
      <w:r w:rsidR="002545C2" w:rsidRPr="00010F83">
        <w:rPr>
          <w:rFonts w:ascii="Arial" w:hAnsi="Arial" w:cs="Arial"/>
          <w:bCs/>
        </w:rPr>
        <w:t xml:space="preserve">cao hơn giá trị ghi sổ của chúng nếu có đầy đủ bằng chứng </w:t>
      </w:r>
      <w:r w:rsidR="00BD1A7B" w:rsidRPr="00010F83">
        <w:rPr>
          <w:rFonts w:ascii="Arial" w:hAnsi="Arial" w:cs="Arial"/>
          <w:bCs/>
        </w:rPr>
        <w:t xml:space="preserve">là việc thu hồi này có tính khả thi cao. </w:t>
      </w:r>
      <w:r w:rsidR="002545C2" w:rsidRPr="00010F83">
        <w:rPr>
          <w:rFonts w:ascii="Arial" w:hAnsi="Arial" w:cs="Arial"/>
          <w:bCs/>
        </w:rPr>
        <w:t xml:space="preserve"> Ví dụ, khi một tài sản được đo lường theo giá trị hợp lý, đơn vị phải </w:t>
      </w:r>
      <w:r w:rsidR="008F2EFE" w:rsidRPr="00010F83">
        <w:rPr>
          <w:rFonts w:ascii="Arial" w:hAnsi="Arial" w:cs="Arial"/>
          <w:bCs/>
        </w:rPr>
        <w:t>xem xét</w:t>
      </w:r>
      <w:r w:rsidR="002545C2" w:rsidRPr="00010F83">
        <w:rPr>
          <w:rFonts w:ascii="Arial" w:hAnsi="Arial" w:cs="Arial"/>
          <w:bCs/>
        </w:rPr>
        <w:t xml:space="preserve"> liệu có đủ bằng chứng để kết luận rằ</w:t>
      </w:r>
      <w:r w:rsidR="008F2EFE" w:rsidRPr="00010F83">
        <w:rPr>
          <w:rFonts w:ascii="Arial" w:hAnsi="Arial" w:cs="Arial"/>
          <w:bCs/>
        </w:rPr>
        <w:t>ng</w:t>
      </w:r>
      <w:r w:rsidR="002545C2" w:rsidRPr="00010F83">
        <w:rPr>
          <w:rFonts w:ascii="Arial" w:hAnsi="Arial" w:cs="Arial"/>
          <w:bCs/>
        </w:rPr>
        <w:t xml:space="preserve"> đơn vị sẽ </w:t>
      </w:r>
      <w:r w:rsidR="003E4483" w:rsidRPr="00010F83">
        <w:rPr>
          <w:rFonts w:ascii="Arial" w:hAnsi="Arial" w:cs="Arial"/>
          <w:bCs/>
        </w:rPr>
        <w:t xml:space="preserve">có thể </w:t>
      </w:r>
      <w:r w:rsidR="002545C2" w:rsidRPr="00010F83">
        <w:rPr>
          <w:rFonts w:ascii="Arial" w:hAnsi="Arial" w:cs="Arial"/>
          <w:bCs/>
        </w:rPr>
        <w:t xml:space="preserve">thu hồi được </w:t>
      </w:r>
      <w:r w:rsidR="003E4483" w:rsidRPr="00010F83">
        <w:rPr>
          <w:rFonts w:ascii="Arial" w:hAnsi="Arial" w:cs="Arial"/>
          <w:bCs/>
        </w:rPr>
        <w:t xml:space="preserve">giá trị cao hơn giá trị ghi sổ của </w:t>
      </w:r>
      <w:r w:rsidR="002545C2" w:rsidRPr="00010F83">
        <w:rPr>
          <w:rFonts w:ascii="Arial" w:hAnsi="Arial" w:cs="Arial"/>
          <w:bCs/>
        </w:rPr>
        <w:t>tài sản</w:t>
      </w:r>
      <w:r w:rsidR="00BD1A7B" w:rsidRPr="00010F83">
        <w:rPr>
          <w:rFonts w:ascii="Arial" w:hAnsi="Arial" w:cs="Arial"/>
          <w:bCs/>
        </w:rPr>
        <w:t xml:space="preserve"> hay không. Ví dụ, điều này có thể xảy ra khi đơn vị dự kiến nắm giữ một công cụ nợ có lãi suất cố định và nhận đủ </w:t>
      </w:r>
      <w:r w:rsidR="002545C2" w:rsidRPr="00010F83">
        <w:rPr>
          <w:rFonts w:ascii="Arial" w:hAnsi="Arial" w:cs="Arial"/>
          <w:bCs/>
        </w:rPr>
        <w:t xml:space="preserve">các dòng tiền </w:t>
      </w:r>
      <w:proofErr w:type="gramStart"/>
      <w:r w:rsidR="002545C2" w:rsidRPr="00010F83">
        <w:rPr>
          <w:rFonts w:ascii="Arial" w:hAnsi="Arial" w:cs="Arial"/>
          <w:bCs/>
        </w:rPr>
        <w:t>theo</w:t>
      </w:r>
      <w:proofErr w:type="gramEnd"/>
      <w:r w:rsidR="002545C2" w:rsidRPr="00010F83">
        <w:rPr>
          <w:rFonts w:ascii="Arial" w:hAnsi="Arial" w:cs="Arial"/>
          <w:bCs/>
        </w:rPr>
        <w:t xml:space="preserve"> hợp đồng.</w:t>
      </w:r>
    </w:p>
    <w:p w:rsidR="006E4953" w:rsidRPr="00010F83" w:rsidRDefault="00C530A3" w:rsidP="006E4953">
      <w:pPr>
        <w:autoSpaceDE w:val="0"/>
        <w:autoSpaceDN w:val="0"/>
        <w:adjustRightInd w:val="0"/>
        <w:spacing w:before="240" w:after="120" w:line="240" w:lineRule="auto"/>
        <w:ind w:left="720" w:hanging="720"/>
        <w:jc w:val="both"/>
        <w:rPr>
          <w:rFonts w:ascii="Arial" w:hAnsi="Arial" w:cs="Arial"/>
          <w:bCs/>
        </w:rPr>
      </w:pPr>
      <w:r w:rsidRPr="00010F83">
        <w:rPr>
          <w:rFonts w:ascii="Arial" w:hAnsi="Arial" w:cs="Arial"/>
          <w:bCs/>
        </w:rPr>
        <w:t>30.</w:t>
      </w:r>
      <w:r w:rsidRPr="00010F83">
        <w:rPr>
          <w:rFonts w:ascii="Arial" w:hAnsi="Arial" w:cs="Arial"/>
          <w:bCs/>
        </w:rPr>
        <w:tab/>
      </w:r>
      <w:r w:rsidR="00BD1A7B" w:rsidRPr="00010F83">
        <w:rPr>
          <w:rFonts w:ascii="Arial" w:hAnsi="Arial" w:cs="Arial"/>
          <w:bCs/>
        </w:rPr>
        <w:t>Vận dụng hợp lý kế</w:t>
      </w:r>
      <w:r w:rsidR="003E4483" w:rsidRPr="00010F83">
        <w:rPr>
          <w:rFonts w:ascii="Arial" w:hAnsi="Arial" w:cs="Arial"/>
          <w:bCs/>
        </w:rPr>
        <w:t xml:space="preserve"> hoạch</w:t>
      </w:r>
      <w:r w:rsidR="002545C2" w:rsidRPr="00010F83">
        <w:rPr>
          <w:rFonts w:ascii="Arial" w:hAnsi="Arial" w:cs="Arial"/>
          <w:bCs/>
        </w:rPr>
        <w:t xml:space="preserve"> </w:t>
      </w:r>
      <w:r w:rsidR="003E4483" w:rsidRPr="00010F83">
        <w:rPr>
          <w:rFonts w:ascii="Arial" w:hAnsi="Arial" w:cs="Arial"/>
          <w:bCs/>
        </w:rPr>
        <w:t xml:space="preserve">tối ưu </w:t>
      </w:r>
      <w:r w:rsidR="002545C2" w:rsidRPr="00010F83">
        <w:rPr>
          <w:rFonts w:ascii="Arial" w:hAnsi="Arial" w:cs="Arial"/>
          <w:bCs/>
        </w:rPr>
        <w:t xml:space="preserve">thuế là </w:t>
      </w:r>
      <w:r w:rsidR="003E4483" w:rsidRPr="00010F83">
        <w:rPr>
          <w:rFonts w:ascii="Arial" w:hAnsi="Arial" w:cs="Arial"/>
          <w:bCs/>
        </w:rPr>
        <w:t xml:space="preserve">các </w:t>
      </w:r>
      <w:r w:rsidR="002545C2" w:rsidRPr="00010F83">
        <w:rPr>
          <w:rFonts w:ascii="Arial" w:hAnsi="Arial" w:cs="Arial"/>
          <w:bCs/>
        </w:rPr>
        <w:t xml:space="preserve">biện pháp mà đơn vị có thể thực hiện để tạo ra hoặc tăng mức </w:t>
      </w:r>
      <w:proofErr w:type="gramStart"/>
      <w:r w:rsidR="002545C2" w:rsidRPr="00010F83">
        <w:rPr>
          <w:rFonts w:ascii="Arial" w:hAnsi="Arial" w:cs="Arial"/>
          <w:bCs/>
        </w:rPr>
        <w:t>thu</w:t>
      </w:r>
      <w:proofErr w:type="gramEnd"/>
      <w:r w:rsidR="002545C2" w:rsidRPr="00010F83">
        <w:rPr>
          <w:rFonts w:ascii="Arial" w:hAnsi="Arial" w:cs="Arial"/>
          <w:bCs/>
        </w:rPr>
        <w:t xml:space="preserve"> nhập tính thuế trong một kỳ cụ thể trước khi hết hạn </w:t>
      </w:r>
      <w:r w:rsidR="003E4483" w:rsidRPr="00010F83">
        <w:rPr>
          <w:rFonts w:ascii="Arial" w:hAnsi="Arial" w:cs="Arial"/>
          <w:bCs/>
        </w:rPr>
        <w:t>chuyển</w:t>
      </w:r>
      <w:r w:rsidR="002545C2" w:rsidRPr="00010F83">
        <w:rPr>
          <w:rFonts w:ascii="Arial" w:hAnsi="Arial" w:cs="Arial"/>
          <w:bCs/>
        </w:rPr>
        <w:t xml:space="preserve"> lỗ hay </w:t>
      </w:r>
      <w:r w:rsidR="003E4483" w:rsidRPr="00010F83">
        <w:rPr>
          <w:rFonts w:ascii="Arial" w:hAnsi="Arial" w:cs="Arial"/>
          <w:bCs/>
        </w:rPr>
        <w:t>hết</w:t>
      </w:r>
      <w:r w:rsidR="002545C2" w:rsidRPr="00010F83">
        <w:rPr>
          <w:rFonts w:ascii="Arial" w:hAnsi="Arial" w:cs="Arial"/>
          <w:bCs/>
        </w:rPr>
        <w:t xml:space="preserve"> </w:t>
      </w:r>
      <w:r w:rsidR="00BD1A7B" w:rsidRPr="00010F83">
        <w:rPr>
          <w:rFonts w:ascii="Arial" w:hAnsi="Arial" w:cs="Arial"/>
          <w:bCs/>
        </w:rPr>
        <w:t xml:space="preserve">hạn </w:t>
      </w:r>
      <w:r w:rsidR="002545C2" w:rsidRPr="00010F83">
        <w:rPr>
          <w:rFonts w:ascii="Arial" w:hAnsi="Arial" w:cs="Arial"/>
          <w:bCs/>
        </w:rPr>
        <w:t xml:space="preserve">ưu đãi thuế. Ví dụ, ở một số </w:t>
      </w:r>
      <w:r w:rsidR="00BD1A7B" w:rsidRPr="00010F83">
        <w:rPr>
          <w:rFonts w:ascii="Arial" w:hAnsi="Arial" w:cs="Arial"/>
          <w:bCs/>
        </w:rPr>
        <w:t>khu vực</w:t>
      </w:r>
      <w:r w:rsidR="002545C2" w:rsidRPr="00010F83">
        <w:rPr>
          <w:rFonts w:ascii="Arial" w:hAnsi="Arial" w:cs="Arial"/>
          <w:bCs/>
        </w:rPr>
        <w:t xml:space="preserve">, lợi nhuận tính thuế có thể được tạo ra hoặc tăng lên </w:t>
      </w:r>
      <w:r w:rsidR="00BD1A7B" w:rsidRPr="00010F83">
        <w:rPr>
          <w:rFonts w:ascii="Arial" w:hAnsi="Arial" w:cs="Arial"/>
          <w:bCs/>
        </w:rPr>
        <w:t>bởi</w:t>
      </w:r>
      <w:r w:rsidR="002545C2" w:rsidRPr="00010F83">
        <w:rPr>
          <w:rFonts w:ascii="Arial" w:hAnsi="Arial" w:cs="Arial"/>
          <w:bCs/>
        </w:rPr>
        <w:t>:</w:t>
      </w:r>
    </w:p>
    <w:p w:rsidR="006E4953" w:rsidRPr="00010F83" w:rsidRDefault="006E4953">
      <w:pPr>
        <w:rPr>
          <w:rFonts w:ascii="Arial" w:hAnsi="Arial" w:cs="Arial"/>
          <w:bCs/>
        </w:rPr>
      </w:pPr>
      <w:r w:rsidRPr="00010F83">
        <w:rPr>
          <w:rFonts w:ascii="Arial" w:hAnsi="Arial" w:cs="Arial"/>
          <w:bCs/>
        </w:rPr>
        <w:br w:type="page"/>
      </w:r>
    </w:p>
    <w:p w:rsidR="00C530A3" w:rsidRPr="00010F83" w:rsidRDefault="00C530A3" w:rsidP="006E4953">
      <w:pPr>
        <w:autoSpaceDE w:val="0"/>
        <w:autoSpaceDN w:val="0"/>
        <w:adjustRightInd w:val="0"/>
        <w:spacing w:after="120" w:line="240" w:lineRule="auto"/>
        <w:ind w:left="720" w:hanging="720"/>
        <w:jc w:val="both"/>
        <w:rPr>
          <w:rFonts w:ascii="Arial" w:hAnsi="Arial" w:cs="Arial"/>
          <w:bCs/>
        </w:rPr>
      </w:pPr>
    </w:p>
    <w:p w:rsidR="002F6F00" w:rsidRPr="00010F83" w:rsidRDefault="00BD1A7B" w:rsidP="006E4953">
      <w:pPr>
        <w:pStyle w:val="ListParagraph"/>
        <w:numPr>
          <w:ilvl w:val="0"/>
          <w:numId w:val="21"/>
        </w:numPr>
        <w:autoSpaceDE w:val="0"/>
        <w:autoSpaceDN w:val="0"/>
        <w:adjustRightInd w:val="0"/>
        <w:spacing w:after="120"/>
        <w:ind w:left="1080"/>
        <w:jc w:val="both"/>
        <w:rPr>
          <w:rFonts w:ascii="Arial" w:hAnsi="Arial" w:cs="Arial"/>
          <w:bCs/>
          <w:sz w:val="22"/>
          <w:szCs w:val="22"/>
        </w:rPr>
      </w:pPr>
      <w:r w:rsidRPr="00010F83">
        <w:rPr>
          <w:rFonts w:ascii="Arial" w:hAnsi="Arial" w:cs="Arial"/>
          <w:bCs/>
          <w:sz w:val="22"/>
          <w:szCs w:val="22"/>
        </w:rPr>
        <w:t xml:space="preserve">đơn vị được chọn </w:t>
      </w:r>
      <w:r w:rsidR="002545C2" w:rsidRPr="00010F83">
        <w:rPr>
          <w:rFonts w:ascii="Arial" w:hAnsi="Arial" w:cs="Arial"/>
          <w:bCs/>
          <w:sz w:val="22"/>
          <w:szCs w:val="22"/>
        </w:rPr>
        <w:t xml:space="preserve">để tính thuế </w:t>
      </w:r>
      <w:r w:rsidR="003E4483" w:rsidRPr="00010F83">
        <w:rPr>
          <w:rFonts w:ascii="Arial" w:hAnsi="Arial" w:cs="Arial"/>
          <w:bCs/>
          <w:sz w:val="22"/>
          <w:szCs w:val="22"/>
        </w:rPr>
        <w:t>thu nhập</w:t>
      </w:r>
      <w:r w:rsidRPr="00010F83">
        <w:rPr>
          <w:rFonts w:ascii="Arial" w:hAnsi="Arial" w:cs="Arial"/>
          <w:bCs/>
          <w:sz w:val="22"/>
          <w:szCs w:val="22"/>
        </w:rPr>
        <w:t xml:space="preserve"> đối với</w:t>
      </w:r>
      <w:r w:rsidR="003E4483" w:rsidRPr="00010F83">
        <w:rPr>
          <w:rFonts w:ascii="Arial" w:hAnsi="Arial" w:cs="Arial"/>
          <w:bCs/>
          <w:sz w:val="22"/>
          <w:szCs w:val="22"/>
        </w:rPr>
        <w:t xml:space="preserve"> tiền lãi </w:t>
      </w:r>
      <w:r w:rsidR="002545C2" w:rsidRPr="00010F83">
        <w:rPr>
          <w:rFonts w:ascii="Arial" w:hAnsi="Arial" w:cs="Arial"/>
          <w:bCs/>
          <w:sz w:val="22"/>
          <w:szCs w:val="22"/>
        </w:rPr>
        <w:t>trên cơ sở thực thu</w:t>
      </w:r>
      <w:r w:rsidR="003E4483" w:rsidRPr="00010F83">
        <w:rPr>
          <w:rFonts w:ascii="Arial" w:hAnsi="Arial" w:cs="Arial"/>
          <w:bCs/>
          <w:sz w:val="22"/>
          <w:szCs w:val="22"/>
        </w:rPr>
        <w:t xml:space="preserve"> hoặc dồn tích, nếu có</w:t>
      </w:r>
      <w:r w:rsidR="002545C2" w:rsidRPr="00010F83">
        <w:rPr>
          <w:rFonts w:ascii="Arial" w:hAnsi="Arial" w:cs="Arial"/>
          <w:bCs/>
          <w:sz w:val="22"/>
          <w:szCs w:val="22"/>
        </w:rPr>
        <w:t xml:space="preserve">; </w:t>
      </w:r>
    </w:p>
    <w:p w:rsidR="002F6F00" w:rsidRPr="00010F83" w:rsidRDefault="002545C2" w:rsidP="006E4953">
      <w:pPr>
        <w:pStyle w:val="ListParagraph"/>
        <w:numPr>
          <w:ilvl w:val="0"/>
          <w:numId w:val="21"/>
        </w:numPr>
        <w:autoSpaceDE w:val="0"/>
        <w:autoSpaceDN w:val="0"/>
        <w:adjustRightInd w:val="0"/>
        <w:spacing w:after="120"/>
        <w:ind w:left="1080"/>
        <w:jc w:val="both"/>
        <w:rPr>
          <w:rFonts w:ascii="Arial" w:hAnsi="Arial" w:cs="Arial"/>
          <w:bCs/>
          <w:sz w:val="22"/>
          <w:szCs w:val="22"/>
        </w:rPr>
      </w:pPr>
      <w:r w:rsidRPr="00010F83">
        <w:rPr>
          <w:rFonts w:ascii="Arial" w:hAnsi="Arial" w:cs="Arial"/>
          <w:bCs/>
          <w:sz w:val="22"/>
          <w:szCs w:val="22"/>
        </w:rPr>
        <w:t xml:space="preserve">tạm hoãn </w:t>
      </w:r>
      <w:r w:rsidR="003E4483" w:rsidRPr="00010F83">
        <w:rPr>
          <w:rFonts w:ascii="Arial" w:hAnsi="Arial" w:cs="Arial"/>
          <w:bCs/>
          <w:sz w:val="22"/>
          <w:szCs w:val="22"/>
        </w:rPr>
        <w:t>khấu</w:t>
      </w:r>
      <w:r w:rsidRPr="00010F83">
        <w:rPr>
          <w:rFonts w:ascii="Arial" w:hAnsi="Arial" w:cs="Arial"/>
          <w:bCs/>
          <w:sz w:val="22"/>
          <w:szCs w:val="22"/>
        </w:rPr>
        <w:t xml:space="preserve"> trừ một số khoản nhất định vào lợi nhuận tính thuế;</w:t>
      </w:r>
    </w:p>
    <w:p w:rsidR="002F6F00" w:rsidRPr="00010F83" w:rsidRDefault="002545C2" w:rsidP="006E4953">
      <w:pPr>
        <w:pStyle w:val="ListParagraph"/>
        <w:numPr>
          <w:ilvl w:val="0"/>
          <w:numId w:val="21"/>
        </w:numPr>
        <w:autoSpaceDE w:val="0"/>
        <w:autoSpaceDN w:val="0"/>
        <w:adjustRightInd w:val="0"/>
        <w:spacing w:after="120"/>
        <w:ind w:left="1080"/>
        <w:jc w:val="both"/>
        <w:rPr>
          <w:rFonts w:ascii="Arial" w:hAnsi="Arial" w:cs="Arial"/>
          <w:bCs/>
          <w:sz w:val="22"/>
          <w:szCs w:val="22"/>
        </w:rPr>
      </w:pPr>
      <w:r w:rsidRPr="00010F83">
        <w:rPr>
          <w:rFonts w:ascii="Arial" w:hAnsi="Arial" w:cs="Arial"/>
          <w:bCs/>
          <w:sz w:val="22"/>
          <w:szCs w:val="22"/>
        </w:rPr>
        <w:t>bán</w:t>
      </w:r>
      <w:r w:rsidR="003E4483" w:rsidRPr="00010F83">
        <w:rPr>
          <w:rFonts w:ascii="Arial" w:hAnsi="Arial" w:cs="Arial"/>
          <w:bCs/>
          <w:sz w:val="22"/>
          <w:szCs w:val="22"/>
        </w:rPr>
        <w:t xml:space="preserve"> và thuê lại</w:t>
      </w:r>
      <w:r w:rsidRPr="00010F83">
        <w:rPr>
          <w:rFonts w:ascii="Arial" w:hAnsi="Arial" w:cs="Arial"/>
          <w:bCs/>
          <w:sz w:val="22"/>
          <w:szCs w:val="22"/>
        </w:rPr>
        <w:t xml:space="preserve"> các tài sản đã tăng giá nhưng cơ sở tính thuế không </w:t>
      </w:r>
      <w:r w:rsidR="00AB1119" w:rsidRPr="00010F83">
        <w:rPr>
          <w:rFonts w:ascii="Arial" w:hAnsi="Arial" w:cs="Arial"/>
          <w:bCs/>
          <w:sz w:val="22"/>
          <w:szCs w:val="22"/>
        </w:rPr>
        <w:t xml:space="preserve">điều chỉnh </w:t>
      </w:r>
      <w:r w:rsidRPr="00010F83">
        <w:rPr>
          <w:rFonts w:ascii="Arial" w:hAnsi="Arial" w:cs="Arial"/>
          <w:bCs/>
          <w:sz w:val="22"/>
          <w:szCs w:val="22"/>
        </w:rPr>
        <w:t>theo sự tăng giá đó; và</w:t>
      </w:r>
    </w:p>
    <w:p w:rsidR="00C530A3" w:rsidRPr="00010F83" w:rsidRDefault="002545C2" w:rsidP="006E4953">
      <w:pPr>
        <w:pStyle w:val="ListParagraph"/>
        <w:numPr>
          <w:ilvl w:val="0"/>
          <w:numId w:val="21"/>
        </w:numPr>
        <w:autoSpaceDE w:val="0"/>
        <w:autoSpaceDN w:val="0"/>
        <w:adjustRightInd w:val="0"/>
        <w:spacing w:after="120"/>
        <w:ind w:left="1080"/>
        <w:jc w:val="both"/>
        <w:rPr>
          <w:rFonts w:ascii="Arial" w:hAnsi="Arial" w:cs="Arial"/>
          <w:bCs/>
          <w:sz w:val="22"/>
          <w:szCs w:val="22"/>
        </w:rPr>
      </w:pPr>
      <w:proofErr w:type="gramStart"/>
      <w:r w:rsidRPr="00010F83">
        <w:rPr>
          <w:rFonts w:ascii="Arial" w:hAnsi="Arial" w:cs="Arial"/>
          <w:bCs/>
          <w:sz w:val="22"/>
          <w:szCs w:val="22"/>
        </w:rPr>
        <w:t>bán</w:t>
      </w:r>
      <w:proofErr w:type="gramEnd"/>
      <w:r w:rsidRPr="00010F83">
        <w:rPr>
          <w:rFonts w:ascii="Arial" w:hAnsi="Arial" w:cs="Arial"/>
          <w:bCs/>
          <w:sz w:val="22"/>
          <w:szCs w:val="22"/>
        </w:rPr>
        <w:t xml:space="preserve"> các tài sản tạo ra thu nhập không chịu thuế </w:t>
      </w:r>
      <w:r w:rsidR="003E4483" w:rsidRPr="00010F83">
        <w:rPr>
          <w:rFonts w:ascii="Arial" w:hAnsi="Arial" w:cs="Arial"/>
          <w:bCs/>
          <w:sz w:val="22"/>
          <w:szCs w:val="22"/>
        </w:rPr>
        <w:t xml:space="preserve">(ví dụ </w:t>
      </w:r>
      <w:r w:rsidRPr="00010F83">
        <w:rPr>
          <w:rFonts w:ascii="Arial" w:hAnsi="Arial" w:cs="Arial"/>
          <w:bCs/>
          <w:sz w:val="22"/>
          <w:szCs w:val="22"/>
        </w:rPr>
        <w:t xml:space="preserve">như </w:t>
      </w:r>
      <w:r w:rsidR="00AB1119" w:rsidRPr="00010F83">
        <w:rPr>
          <w:rFonts w:ascii="Arial" w:hAnsi="Arial" w:cs="Arial"/>
          <w:bCs/>
          <w:sz w:val="22"/>
          <w:szCs w:val="22"/>
        </w:rPr>
        <w:t xml:space="preserve">bán </w:t>
      </w:r>
      <w:r w:rsidRPr="00010F83">
        <w:rPr>
          <w:rFonts w:ascii="Arial" w:hAnsi="Arial" w:cs="Arial"/>
          <w:bCs/>
          <w:sz w:val="22"/>
          <w:szCs w:val="22"/>
        </w:rPr>
        <w:t xml:space="preserve">trái phiếu chính phủ </w:t>
      </w:r>
      <w:r w:rsidR="003E4483" w:rsidRPr="00010F83">
        <w:rPr>
          <w:rFonts w:ascii="Arial" w:hAnsi="Arial" w:cs="Arial"/>
          <w:bCs/>
          <w:sz w:val="22"/>
          <w:szCs w:val="22"/>
        </w:rPr>
        <w:t xml:space="preserve">tại một số quốc gia) </w:t>
      </w:r>
      <w:r w:rsidRPr="00010F83">
        <w:rPr>
          <w:rFonts w:ascii="Arial" w:hAnsi="Arial" w:cs="Arial"/>
          <w:bCs/>
          <w:sz w:val="22"/>
          <w:szCs w:val="22"/>
        </w:rPr>
        <w:t>để mua khoản đầu tư khác tạo ra thu nhập chịu thuế.</w:t>
      </w:r>
    </w:p>
    <w:p w:rsidR="00C530A3" w:rsidRPr="00010F83" w:rsidRDefault="007B64CF" w:rsidP="006E4953">
      <w:pPr>
        <w:autoSpaceDE w:val="0"/>
        <w:autoSpaceDN w:val="0"/>
        <w:adjustRightInd w:val="0"/>
        <w:spacing w:after="120" w:line="240" w:lineRule="auto"/>
        <w:ind w:left="720"/>
        <w:jc w:val="both"/>
        <w:rPr>
          <w:rFonts w:ascii="Arial" w:hAnsi="Arial" w:cs="Arial"/>
          <w:bCs/>
        </w:rPr>
      </w:pPr>
      <w:r w:rsidRPr="00010F83">
        <w:rPr>
          <w:rFonts w:ascii="Arial" w:hAnsi="Arial" w:cs="Arial"/>
          <w:bCs/>
        </w:rPr>
        <w:t xml:space="preserve">Trong khi vận dụng kế hoạch tối ưu thuế có khả năng chuyển lợi nhuận tính thuế từ kỳ sau lên kỳ trước, thì việc sử dụng một khoản chuyển lỗ hay khấu trừ thuế chuyển sang vẫn phải </w:t>
      </w:r>
      <w:r w:rsidR="002545C2" w:rsidRPr="00010F83">
        <w:rPr>
          <w:rFonts w:ascii="Arial" w:hAnsi="Arial" w:cs="Arial"/>
          <w:bCs/>
        </w:rPr>
        <w:t xml:space="preserve">phụ thuộc vào </w:t>
      </w:r>
      <w:r w:rsidR="00AD6245" w:rsidRPr="00010F83">
        <w:rPr>
          <w:rFonts w:ascii="Arial" w:hAnsi="Arial" w:cs="Arial"/>
          <w:bCs/>
        </w:rPr>
        <w:t>việc</w:t>
      </w:r>
      <w:r w:rsidR="002545C2" w:rsidRPr="00010F83">
        <w:rPr>
          <w:rFonts w:ascii="Arial" w:hAnsi="Arial" w:cs="Arial"/>
          <w:bCs/>
        </w:rPr>
        <w:t xml:space="preserve"> có được lợi nhuận tính thuế trong tương lai được tạo ra từ các nguồn khác chứ không phải là từ các chênh lệch tạm thời phát sinh trong tương lai.</w:t>
      </w:r>
    </w:p>
    <w:p w:rsidR="00C530A3" w:rsidRPr="00010F83" w:rsidRDefault="00C530A3" w:rsidP="00590853">
      <w:pPr>
        <w:autoSpaceDE w:val="0"/>
        <w:autoSpaceDN w:val="0"/>
        <w:adjustRightInd w:val="0"/>
        <w:spacing w:after="120" w:line="240" w:lineRule="auto"/>
        <w:jc w:val="both"/>
        <w:rPr>
          <w:rFonts w:ascii="Arial" w:hAnsi="Arial" w:cs="Arial"/>
          <w:bCs/>
        </w:rPr>
      </w:pPr>
      <w:r w:rsidRPr="00010F83">
        <w:rPr>
          <w:rFonts w:ascii="Arial" w:hAnsi="Arial" w:cs="Arial"/>
          <w:bCs/>
        </w:rPr>
        <w:t>31.</w:t>
      </w:r>
      <w:r w:rsidRPr="00010F83">
        <w:rPr>
          <w:rFonts w:ascii="Arial" w:hAnsi="Arial" w:cs="Arial"/>
          <w:bCs/>
        </w:rPr>
        <w:tab/>
      </w:r>
      <w:r w:rsidR="002F6F00" w:rsidRPr="00010F83">
        <w:rPr>
          <w:rFonts w:ascii="Arial" w:hAnsi="Arial" w:cs="Arial"/>
          <w:bCs/>
        </w:rPr>
        <w:t xml:space="preserve">Khi </w:t>
      </w:r>
      <w:proofErr w:type="gramStart"/>
      <w:r w:rsidR="002F6F00" w:rsidRPr="00010F83">
        <w:rPr>
          <w:rFonts w:ascii="Arial" w:hAnsi="Arial" w:cs="Arial"/>
          <w:bCs/>
        </w:rPr>
        <w:t>đơn</w:t>
      </w:r>
      <w:proofErr w:type="gramEnd"/>
      <w:r w:rsidR="002F6F00" w:rsidRPr="00010F83">
        <w:rPr>
          <w:rFonts w:ascii="Arial" w:hAnsi="Arial" w:cs="Arial"/>
          <w:bCs/>
        </w:rPr>
        <w:t xml:space="preserve"> vị </w:t>
      </w:r>
      <w:r w:rsidR="00387F92" w:rsidRPr="00010F83">
        <w:rPr>
          <w:rFonts w:ascii="Arial" w:hAnsi="Arial" w:cs="Arial"/>
          <w:bCs/>
        </w:rPr>
        <w:t>liên tiếp thua lỗ</w:t>
      </w:r>
      <w:r w:rsidR="00AD6245" w:rsidRPr="00010F83">
        <w:rPr>
          <w:rFonts w:ascii="Arial" w:hAnsi="Arial" w:cs="Arial"/>
          <w:bCs/>
        </w:rPr>
        <w:t>,</w:t>
      </w:r>
      <w:r w:rsidR="002F6F00" w:rsidRPr="00010F83">
        <w:rPr>
          <w:rFonts w:ascii="Arial" w:hAnsi="Arial" w:cs="Arial"/>
          <w:bCs/>
        </w:rPr>
        <w:t xml:space="preserve"> </w:t>
      </w:r>
      <w:r w:rsidR="00AB1119" w:rsidRPr="00010F83">
        <w:rPr>
          <w:rFonts w:ascii="Arial" w:hAnsi="Arial" w:cs="Arial"/>
          <w:bCs/>
        </w:rPr>
        <w:t xml:space="preserve">đơn vị </w:t>
      </w:r>
      <w:r w:rsidR="00AD6245" w:rsidRPr="00010F83">
        <w:rPr>
          <w:rFonts w:ascii="Arial" w:hAnsi="Arial" w:cs="Arial"/>
          <w:bCs/>
        </w:rPr>
        <w:t>cần</w:t>
      </w:r>
      <w:r w:rsidR="002F6F00" w:rsidRPr="00010F83">
        <w:rPr>
          <w:rFonts w:ascii="Arial" w:hAnsi="Arial" w:cs="Arial"/>
          <w:bCs/>
        </w:rPr>
        <w:t xml:space="preserve"> xem các </w:t>
      </w:r>
      <w:r w:rsidR="00AD6245" w:rsidRPr="00010F83">
        <w:rPr>
          <w:rFonts w:ascii="Arial" w:hAnsi="Arial" w:cs="Arial"/>
          <w:bCs/>
        </w:rPr>
        <w:t>hướng dẫn</w:t>
      </w:r>
      <w:r w:rsidR="002F6F00" w:rsidRPr="00010F83">
        <w:rPr>
          <w:rFonts w:ascii="Arial" w:hAnsi="Arial" w:cs="Arial"/>
          <w:bCs/>
        </w:rPr>
        <w:t xml:space="preserve"> trong đoạn 35 và 36.</w:t>
      </w:r>
    </w:p>
    <w:p w:rsidR="00C530A3" w:rsidRPr="00010F83" w:rsidRDefault="00C530A3" w:rsidP="00590853">
      <w:pPr>
        <w:autoSpaceDE w:val="0"/>
        <w:autoSpaceDN w:val="0"/>
        <w:adjustRightInd w:val="0"/>
        <w:spacing w:after="120" w:line="240" w:lineRule="auto"/>
        <w:jc w:val="both"/>
        <w:rPr>
          <w:rFonts w:ascii="Arial" w:hAnsi="Arial" w:cs="Arial"/>
          <w:bCs/>
        </w:rPr>
      </w:pPr>
      <w:r w:rsidRPr="00010F83">
        <w:rPr>
          <w:rFonts w:ascii="Arial" w:hAnsi="Arial" w:cs="Arial"/>
          <w:bCs/>
        </w:rPr>
        <w:t>32.</w:t>
      </w:r>
      <w:r w:rsidRPr="00010F83">
        <w:rPr>
          <w:rFonts w:ascii="Arial" w:hAnsi="Arial" w:cs="Arial"/>
          <w:bCs/>
        </w:rPr>
        <w:tab/>
      </w:r>
      <w:r w:rsidR="006E4F36" w:rsidRPr="00010F83">
        <w:rPr>
          <w:rFonts w:ascii="Arial" w:hAnsi="Arial" w:cs="Arial"/>
          <w:bCs/>
        </w:rPr>
        <w:t>[</w:t>
      </w:r>
      <w:r w:rsidR="002F6F00" w:rsidRPr="00010F83">
        <w:rPr>
          <w:rFonts w:ascii="Arial" w:hAnsi="Arial" w:cs="Arial"/>
          <w:bCs/>
        </w:rPr>
        <w:t>Bỏ đoạn này</w:t>
      </w:r>
      <w:r w:rsidR="006E4F36" w:rsidRPr="00010F83">
        <w:rPr>
          <w:rFonts w:ascii="Arial" w:hAnsi="Arial" w:cs="Arial"/>
          <w:bCs/>
        </w:rPr>
        <w:t>]</w:t>
      </w:r>
    </w:p>
    <w:p w:rsidR="002F6F00" w:rsidRPr="00010F83" w:rsidRDefault="002F6F00" w:rsidP="00754265">
      <w:pPr>
        <w:autoSpaceDE w:val="0"/>
        <w:autoSpaceDN w:val="0"/>
        <w:adjustRightInd w:val="0"/>
        <w:spacing w:before="240" w:after="120" w:line="240" w:lineRule="auto"/>
        <w:ind w:firstLine="720"/>
        <w:jc w:val="both"/>
        <w:rPr>
          <w:rFonts w:ascii="Arial" w:hAnsi="Arial" w:cs="Arial"/>
          <w:b/>
          <w:bCs/>
        </w:rPr>
      </w:pPr>
      <w:r w:rsidRPr="00010F83">
        <w:rPr>
          <w:rFonts w:ascii="Arial" w:hAnsi="Arial" w:cs="Arial"/>
          <w:b/>
          <w:bCs/>
        </w:rPr>
        <w:t>Lợi thế thương mại</w:t>
      </w:r>
    </w:p>
    <w:p w:rsidR="00C530A3" w:rsidRPr="00010F83" w:rsidRDefault="00C530A3" w:rsidP="00754265">
      <w:pPr>
        <w:autoSpaceDE w:val="0"/>
        <w:autoSpaceDN w:val="0"/>
        <w:adjustRightInd w:val="0"/>
        <w:spacing w:after="120" w:line="240" w:lineRule="auto"/>
        <w:ind w:left="720" w:hanging="720"/>
        <w:jc w:val="both"/>
        <w:rPr>
          <w:rFonts w:ascii="Arial" w:hAnsi="Arial" w:cs="Arial"/>
          <w:bCs/>
        </w:rPr>
      </w:pPr>
      <w:proofErr w:type="gramStart"/>
      <w:r w:rsidRPr="00010F83">
        <w:rPr>
          <w:rFonts w:ascii="Arial" w:hAnsi="Arial" w:cs="Arial"/>
          <w:bCs/>
        </w:rPr>
        <w:t xml:space="preserve">32A. </w:t>
      </w:r>
      <w:r w:rsidR="002F6F00" w:rsidRPr="00010F83">
        <w:rPr>
          <w:rFonts w:ascii="Arial" w:hAnsi="Arial" w:cs="Arial"/>
          <w:bCs/>
        </w:rPr>
        <w:tab/>
        <w:t xml:space="preserve">Nếu giá trị ghi sổ của lợi thế thương mại phát sinh từ hợp nhất kinh doanh thấp hơn so với cơ sở tính thuế của nó, thì chênh lệch sẽ tạo ra </w:t>
      </w:r>
      <w:r w:rsidR="006805F0" w:rsidRPr="00010F83">
        <w:rPr>
          <w:rFonts w:ascii="Arial" w:hAnsi="Arial" w:cs="Arial"/>
          <w:bCs/>
        </w:rPr>
        <w:t xml:space="preserve">tài sản </w:t>
      </w:r>
      <w:r w:rsidR="00731917" w:rsidRPr="00010F83">
        <w:rPr>
          <w:rFonts w:ascii="Arial" w:hAnsi="Arial" w:cs="Arial"/>
          <w:bCs/>
        </w:rPr>
        <w:t>thuế TNDN</w:t>
      </w:r>
      <w:r w:rsidR="006805F0" w:rsidRPr="00010F83">
        <w:rPr>
          <w:rFonts w:ascii="Arial" w:hAnsi="Arial" w:cs="Arial"/>
          <w:bCs/>
        </w:rPr>
        <w:t xml:space="preserve"> hoãn lại</w:t>
      </w:r>
      <w:r w:rsidR="002F6F00" w:rsidRPr="00010F83">
        <w:rPr>
          <w:rFonts w:ascii="Arial" w:hAnsi="Arial" w:cs="Arial"/>
          <w:bCs/>
        </w:rPr>
        <w:t>.</w:t>
      </w:r>
      <w:proofErr w:type="gramEnd"/>
      <w:r w:rsidR="002F6F00" w:rsidRPr="00010F83">
        <w:rPr>
          <w:rFonts w:ascii="Arial" w:hAnsi="Arial" w:cs="Arial"/>
          <w:bCs/>
        </w:rPr>
        <w:t xml:space="preserve"> </w:t>
      </w:r>
      <w:r w:rsidR="006805F0" w:rsidRPr="00010F83">
        <w:rPr>
          <w:rFonts w:ascii="Arial" w:hAnsi="Arial" w:cs="Arial"/>
          <w:bCs/>
        </w:rPr>
        <w:t xml:space="preserve">Tài sản </w:t>
      </w:r>
      <w:r w:rsidR="00731917" w:rsidRPr="00010F83">
        <w:rPr>
          <w:rFonts w:ascii="Arial" w:hAnsi="Arial" w:cs="Arial"/>
          <w:bCs/>
        </w:rPr>
        <w:t>thuế TNDN</w:t>
      </w:r>
      <w:r w:rsidR="006805F0" w:rsidRPr="00010F83">
        <w:rPr>
          <w:rFonts w:ascii="Arial" w:hAnsi="Arial" w:cs="Arial"/>
          <w:bCs/>
        </w:rPr>
        <w:t xml:space="preserve"> hoãn lại</w:t>
      </w:r>
      <w:r w:rsidR="002F6F00" w:rsidRPr="00010F83">
        <w:rPr>
          <w:rFonts w:ascii="Arial" w:hAnsi="Arial" w:cs="Arial"/>
          <w:bCs/>
        </w:rPr>
        <w:t xml:space="preserve"> phát sinh từ việc ghi nhận ban đầu của lợi thế thương mại phải được ghi nhận như một phần của </w:t>
      </w:r>
      <w:r w:rsidR="00AD6245" w:rsidRPr="00010F83">
        <w:rPr>
          <w:rFonts w:ascii="Arial" w:hAnsi="Arial" w:cs="Arial"/>
          <w:bCs/>
        </w:rPr>
        <w:t>việc hạch toán</w:t>
      </w:r>
      <w:r w:rsidR="002F6F00" w:rsidRPr="00010F83">
        <w:rPr>
          <w:rFonts w:ascii="Arial" w:hAnsi="Arial" w:cs="Arial"/>
          <w:bCs/>
        </w:rPr>
        <w:t xml:space="preserve"> giao dịch hợp nhất kinh doanh với điều kiện sẽ chắc chắn có lợi nhuận chịu thuế trong tương lai để chênh lệch tạm thời được khấu trừ có thể được sử dụng.</w:t>
      </w:r>
    </w:p>
    <w:p w:rsidR="002F6F00" w:rsidRPr="00010F83" w:rsidRDefault="002F6F00" w:rsidP="00754265">
      <w:pPr>
        <w:autoSpaceDE w:val="0"/>
        <w:autoSpaceDN w:val="0"/>
        <w:adjustRightInd w:val="0"/>
        <w:spacing w:before="240" w:after="120" w:line="240" w:lineRule="auto"/>
        <w:ind w:firstLine="720"/>
        <w:jc w:val="both"/>
        <w:rPr>
          <w:rFonts w:ascii="Arial" w:hAnsi="Arial" w:cs="Arial"/>
          <w:b/>
          <w:bCs/>
        </w:rPr>
      </w:pPr>
      <w:r w:rsidRPr="00010F83">
        <w:rPr>
          <w:rFonts w:ascii="Arial" w:hAnsi="Arial" w:cs="Arial"/>
          <w:b/>
          <w:bCs/>
        </w:rPr>
        <w:t>Việc ghi nhận ban đầu của tài sản hoặc nợ phải trả</w:t>
      </w:r>
    </w:p>
    <w:p w:rsidR="00C530A3" w:rsidRPr="00010F83" w:rsidRDefault="00C530A3" w:rsidP="00754265">
      <w:pPr>
        <w:autoSpaceDE w:val="0"/>
        <w:autoSpaceDN w:val="0"/>
        <w:adjustRightInd w:val="0"/>
        <w:spacing w:after="120" w:line="240" w:lineRule="auto"/>
        <w:ind w:left="720" w:hanging="720"/>
        <w:jc w:val="both"/>
        <w:rPr>
          <w:rFonts w:ascii="Arial" w:hAnsi="Arial" w:cs="Arial"/>
          <w:bCs/>
        </w:rPr>
      </w:pPr>
      <w:r w:rsidRPr="00010F83">
        <w:rPr>
          <w:rFonts w:ascii="Arial" w:hAnsi="Arial" w:cs="Arial"/>
          <w:bCs/>
        </w:rPr>
        <w:t>33.</w:t>
      </w:r>
      <w:r w:rsidRPr="00010F83">
        <w:rPr>
          <w:rFonts w:ascii="Arial" w:hAnsi="Arial" w:cs="Arial"/>
          <w:bCs/>
        </w:rPr>
        <w:tab/>
      </w:r>
      <w:r w:rsidR="002F6F00" w:rsidRPr="00010F83">
        <w:rPr>
          <w:rFonts w:ascii="Arial" w:hAnsi="Arial" w:cs="Arial"/>
          <w:bCs/>
        </w:rPr>
        <w:t>Một trường hợ</w:t>
      </w:r>
      <w:r w:rsidR="00AD6245" w:rsidRPr="00010F83">
        <w:rPr>
          <w:rFonts w:ascii="Arial" w:hAnsi="Arial" w:cs="Arial"/>
          <w:bCs/>
        </w:rPr>
        <w:t xml:space="preserve">p </w:t>
      </w:r>
      <w:r w:rsidR="006805F0" w:rsidRPr="00010F83">
        <w:rPr>
          <w:rFonts w:ascii="Arial" w:hAnsi="Arial" w:cs="Arial"/>
          <w:bCs/>
        </w:rPr>
        <w:t xml:space="preserve">tài sản </w:t>
      </w:r>
      <w:r w:rsidR="00731917" w:rsidRPr="00010F83">
        <w:rPr>
          <w:rFonts w:ascii="Arial" w:hAnsi="Arial" w:cs="Arial"/>
          <w:bCs/>
        </w:rPr>
        <w:t>thuế TNDN</w:t>
      </w:r>
      <w:r w:rsidR="006805F0" w:rsidRPr="00010F83">
        <w:rPr>
          <w:rFonts w:ascii="Arial" w:hAnsi="Arial" w:cs="Arial"/>
          <w:bCs/>
        </w:rPr>
        <w:t xml:space="preserve"> hoãn lại</w:t>
      </w:r>
      <w:r w:rsidR="002F6F00" w:rsidRPr="00010F83">
        <w:rPr>
          <w:rFonts w:ascii="Arial" w:hAnsi="Arial" w:cs="Arial"/>
          <w:bCs/>
        </w:rPr>
        <w:t xml:space="preserve"> phát sinh từ việc ghi nhận ban đầu của một tài sản là khi một khoản </w:t>
      </w:r>
      <w:r w:rsidR="00AD6245" w:rsidRPr="00010F83">
        <w:rPr>
          <w:rFonts w:ascii="Arial" w:hAnsi="Arial" w:cs="Arial"/>
          <w:bCs/>
        </w:rPr>
        <w:t xml:space="preserve">trợ cấp </w:t>
      </w:r>
      <w:r w:rsidR="00AB1119" w:rsidRPr="00010F83">
        <w:rPr>
          <w:rFonts w:ascii="Arial" w:hAnsi="Arial" w:cs="Arial"/>
          <w:bCs/>
        </w:rPr>
        <w:t>của C</w:t>
      </w:r>
      <w:r w:rsidR="002F6F00" w:rsidRPr="00010F83">
        <w:rPr>
          <w:rFonts w:ascii="Arial" w:hAnsi="Arial" w:cs="Arial"/>
          <w:bCs/>
        </w:rPr>
        <w:t xml:space="preserve">hính phủ không chịu thuế </w:t>
      </w:r>
      <w:r w:rsidR="00AD6245" w:rsidRPr="00010F83">
        <w:rPr>
          <w:rFonts w:ascii="Arial" w:hAnsi="Arial" w:cs="Arial"/>
          <w:bCs/>
        </w:rPr>
        <w:t>để mua</w:t>
      </w:r>
      <w:r w:rsidR="002F6F00" w:rsidRPr="00010F83">
        <w:rPr>
          <w:rFonts w:ascii="Arial" w:hAnsi="Arial" w:cs="Arial"/>
          <w:bCs/>
        </w:rPr>
        <w:t xml:space="preserve"> tài sả</w:t>
      </w:r>
      <w:r w:rsidR="00AD6245" w:rsidRPr="00010F83">
        <w:rPr>
          <w:rFonts w:ascii="Arial" w:hAnsi="Arial" w:cs="Arial"/>
          <w:bCs/>
        </w:rPr>
        <w:t>n</w:t>
      </w:r>
      <w:r w:rsidR="002F6F00" w:rsidRPr="00010F83">
        <w:rPr>
          <w:rFonts w:ascii="Arial" w:hAnsi="Arial" w:cs="Arial"/>
          <w:bCs/>
        </w:rPr>
        <w:t xml:space="preserve"> được trừ ra để tính giá trị ghi sổ của tài sản</w:t>
      </w:r>
      <w:r w:rsidR="00AD6245" w:rsidRPr="00010F83">
        <w:rPr>
          <w:rFonts w:ascii="Arial" w:hAnsi="Arial" w:cs="Arial"/>
          <w:bCs/>
        </w:rPr>
        <w:t>;</w:t>
      </w:r>
      <w:r w:rsidR="002F6F00" w:rsidRPr="00010F83">
        <w:rPr>
          <w:rFonts w:ascii="Arial" w:hAnsi="Arial" w:cs="Arial"/>
          <w:bCs/>
        </w:rPr>
        <w:t xml:space="preserve"> nhưng cho mục đích thuế</w:t>
      </w:r>
      <w:r w:rsidR="00AD6245" w:rsidRPr="00010F83">
        <w:rPr>
          <w:rFonts w:ascii="Arial" w:hAnsi="Arial" w:cs="Arial"/>
          <w:bCs/>
        </w:rPr>
        <w:t>,</w:t>
      </w:r>
      <w:r w:rsidR="002F6F00" w:rsidRPr="00010F83">
        <w:rPr>
          <w:rFonts w:ascii="Arial" w:hAnsi="Arial" w:cs="Arial"/>
          <w:bCs/>
        </w:rPr>
        <w:t xml:space="preserve"> </w:t>
      </w:r>
      <w:r w:rsidR="00AD6245" w:rsidRPr="00010F83">
        <w:rPr>
          <w:rFonts w:ascii="Arial" w:hAnsi="Arial" w:cs="Arial"/>
          <w:bCs/>
        </w:rPr>
        <w:t>trợ cấp này không</w:t>
      </w:r>
      <w:r w:rsidR="002F6F00" w:rsidRPr="00010F83">
        <w:rPr>
          <w:rFonts w:ascii="Arial" w:hAnsi="Arial" w:cs="Arial"/>
          <w:bCs/>
        </w:rPr>
        <w:t xml:space="preserve"> được trừ khỏi giá trị tính khấu hao của tài sản (nói cách khác là cơ sở tính thuế của tài sản); giá trị ghi sổ của tài sản thấp hơn cơ sở tính thuế và điều này </w:t>
      </w:r>
      <w:r w:rsidR="00AB1119" w:rsidRPr="00010F83">
        <w:rPr>
          <w:rFonts w:ascii="Arial" w:hAnsi="Arial" w:cs="Arial"/>
          <w:bCs/>
        </w:rPr>
        <w:t xml:space="preserve">làm phát sinh khoản </w:t>
      </w:r>
      <w:r w:rsidR="002F6F00" w:rsidRPr="00010F83">
        <w:rPr>
          <w:rFonts w:ascii="Arial" w:hAnsi="Arial" w:cs="Arial"/>
          <w:bCs/>
        </w:rPr>
        <w:t xml:space="preserve">chênh lệch tạm thời được khấu trừ. Khoản tài trợ từ chính phủ </w:t>
      </w:r>
      <w:r w:rsidR="00AD6245" w:rsidRPr="00010F83">
        <w:rPr>
          <w:rFonts w:ascii="Arial" w:hAnsi="Arial" w:cs="Arial"/>
          <w:bCs/>
        </w:rPr>
        <w:t xml:space="preserve">cũng có </w:t>
      </w:r>
      <w:r w:rsidR="002F6F00" w:rsidRPr="00010F83">
        <w:rPr>
          <w:rFonts w:ascii="Arial" w:hAnsi="Arial" w:cs="Arial"/>
          <w:bCs/>
        </w:rPr>
        <w:t xml:space="preserve">có thể được </w:t>
      </w:r>
      <w:r w:rsidR="00AD6245" w:rsidRPr="00010F83">
        <w:rPr>
          <w:rFonts w:ascii="Arial" w:hAnsi="Arial" w:cs="Arial"/>
          <w:bCs/>
        </w:rPr>
        <w:t>hạch toán</w:t>
      </w:r>
      <w:r w:rsidR="002F6F00" w:rsidRPr="00010F83">
        <w:rPr>
          <w:rFonts w:ascii="Arial" w:hAnsi="Arial" w:cs="Arial"/>
          <w:bCs/>
        </w:rPr>
        <w:t xml:space="preserve"> như khoản thu nhập </w:t>
      </w:r>
      <w:r w:rsidR="00AD6245" w:rsidRPr="00010F83">
        <w:rPr>
          <w:rFonts w:ascii="Arial" w:hAnsi="Arial" w:cs="Arial"/>
          <w:bCs/>
        </w:rPr>
        <w:t>chưa thực hiện;</w:t>
      </w:r>
      <w:r w:rsidR="002F6F00" w:rsidRPr="00010F83">
        <w:rPr>
          <w:rFonts w:ascii="Arial" w:hAnsi="Arial" w:cs="Arial"/>
          <w:bCs/>
        </w:rPr>
        <w:t xml:space="preserve"> trong trường hợp đó chênh lệch giữa </w:t>
      </w:r>
      <w:r w:rsidR="00AD6245" w:rsidRPr="00010F83">
        <w:rPr>
          <w:rFonts w:ascii="Arial" w:hAnsi="Arial" w:cs="Arial"/>
          <w:bCs/>
        </w:rPr>
        <w:t xml:space="preserve">giá trị ghi sổ của </w:t>
      </w:r>
      <w:r w:rsidR="002F6F00" w:rsidRPr="00010F83">
        <w:rPr>
          <w:rFonts w:ascii="Arial" w:hAnsi="Arial" w:cs="Arial"/>
          <w:bCs/>
        </w:rPr>
        <w:t xml:space="preserve">thu nhập </w:t>
      </w:r>
      <w:r w:rsidR="00AD6245" w:rsidRPr="00010F83">
        <w:rPr>
          <w:rFonts w:ascii="Arial" w:hAnsi="Arial" w:cs="Arial"/>
          <w:bCs/>
        </w:rPr>
        <w:t>chưa thực hiện</w:t>
      </w:r>
      <w:r w:rsidR="002F6F00" w:rsidRPr="00010F83">
        <w:rPr>
          <w:rFonts w:ascii="Arial" w:hAnsi="Arial" w:cs="Arial"/>
          <w:bCs/>
        </w:rPr>
        <w:t xml:space="preserve"> và cơ sở tính thuế </w:t>
      </w:r>
      <w:r w:rsidR="00AD6245" w:rsidRPr="00010F83">
        <w:rPr>
          <w:rFonts w:ascii="Arial" w:hAnsi="Arial" w:cs="Arial"/>
          <w:bCs/>
        </w:rPr>
        <w:t>của nó (</w:t>
      </w:r>
      <w:r w:rsidR="002F6F00" w:rsidRPr="00010F83">
        <w:rPr>
          <w:rFonts w:ascii="Arial" w:hAnsi="Arial" w:cs="Arial"/>
          <w:bCs/>
        </w:rPr>
        <w:t>bằng không</w:t>
      </w:r>
      <w:r w:rsidR="00AD6245" w:rsidRPr="00010F83">
        <w:rPr>
          <w:rFonts w:ascii="Arial" w:hAnsi="Arial" w:cs="Arial"/>
          <w:bCs/>
        </w:rPr>
        <w:t>, vì khoản trợ cấp không chịu thuế)</w:t>
      </w:r>
      <w:r w:rsidR="002F6F00" w:rsidRPr="00010F83">
        <w:rPr>
          <w:rFonts w:ascii="Arial" w:hAnsi="Arial" w:cs="Arial"/>
          <w:bCs/>
        </w:rPr>
        <w:t xml:space="preserve"> là một chênh lệch tạm thời được khấu trừ. </w:t>
      </w:r>
      <w:r w:rsidR="00AB1119" w:rsidRPr="00010F83">
        <w:rPr>
          <w:rFonts w:ascii="Arial" w:hAnsi="Arial" w:cs="Arial"/>
          <w:bCs/>
        </w:rPr>
        <w:t>Trong mọi trường hợp</w:t>
      </w:r>
      <w:r w:rsidR="002F6F00" w:rsidRPr="00010F83">
        <w:rPr>
          <w:rFonts w:ascii="Arial" w:hAnsi="Arial" w:cs="Arial"/>
          <w:bCs/>
        </w:rPr>
        <w:t xml:space="preserve">, thì đơn vị cũng không thể ghi nhận </w:t>
      </w:r>
      <w:r w:rsidR="006805F0" w:rsidRPr="00010F83">
        <w:rPr>
          <w:rFonts w:ascii="Arial" w:hAnsi="Arial" w:cs="Arial"/>
          <w:bCs/>
        </w:rPr>
        <w:t xml:space="preserve">tài sản </w:t>
      </w:r>
      <w:r w:rsidR="00731917" w:rsidRPr="00010F83">
        <w:rPr>
          <w:rFonts w:ascii="Arial" w:hAnsi="Arial" w:cs="Arial"/>
          <w:bCs/>
        </w:rPr>
        <w:t>thuế TNDN</w:t>
      </w:r>
      <w:r w:rsidR="006805F0" w:rsidRPr="00010F83">
        <w:rPr>
          <w:rFonts w:ascii="Arial" w:hAnsi="Arial" w:cs="Arial"/>
          <w:bCs/>
        </w:rPr>
        <w:t xml:space="preserve"> hoãn lại</w:t>
      </w:r>
      <w:r w:rsidR="002F6F00" w:rsidRPr="00010F83">
        <w:rPr>
          <w:rFonts w:ascii="Arial" w:hAnsi="Arial" w:cs="Arial"/>
          <w:bCs/>
        </w:rPr>
        <w:t xml:space="preserve"> </w:t>
      </w:r>
      <w:r w:rsidR="00387F92" w:rsidRPr="00010F83">
        <w:rPr>
          <w:rFonts w:ascii="Arial" w:hAnsi="Arial" w:cs="Arial"/>
          <w:bCs/>
        </w:rPr>
        <w:t>cho chênh lệch tạm thời được khấu trừ</w:t>
      </w:r>
      <w:r w:rsidR="002F6F00" w:rsidRPr="00010F83">
        <w:rPr>
          <w:rFonts w:ascii="Arial" w:hAnsi="Arial" w:cs="Arial"/>
          <w:bCs/>
        </w:rPr>
        <w:t xml:space="preserve">, </w:t>
      </w:r>
      <w:proofErr w:type="gramStart"/>
      <w:r w:rsidR="00387F92" w:rsidRPr="00010F83">
        <w:rPr>
          <w:rFonts w:ascii="Arial" w:hAnsi="Arial" w:cs="Arial"/>
          <w:bCs/>
        </w:rPr>
        <w:t>theo</w:t>
      </w:r>
      <w:proofErr w:type="gramEnd"/>
      <w:r w:rsidR="00387F92" w:rsidRPr="00010F83">
        <w:rPr>
          <w:rFonts w:ascii="Arial" w:hAnsi="Arial" w:cs="Arial"/>
          <w:bCs/>
        </w:rPr>
        <w:t xml:space="preserve"> hướng dẫn của</w:t>
      </w:r>
      <w:r w:rsidR="002F6F00" w:rsidRPr="00010F83">
        <w:rPr>
          <w:rFonts w:ascii="Arial" w:hAnsi="Arial" w:cs="Arial"/>
          <w:bCs/>
        </w:rPr>
        <w:t xml:space="preserve"> đoạn 22.</w:t>
      </w:r>
    </w:p>
    <w:p w:rsidR="002F6F00" w:rsidRPr="00010F83" w:rsidRDefault="002F6F00" w:rsidP="00754265">
      <w:pPr>
        <w:autoSpaceDE w:val="0"/>
        <w:autoSpaceDN w:val="0"/>
        <w:adjustRightInd w:val="0"/>
        <w:spacing w:before="240" w:after="120" w:line="240" w:lineRule="auto"/>
        <w:ind w:firstLine="720"/>
        <w:jc w:val="both"/>
        <w:rPr>
          <w:rFonts w:ascii="Arial" w:hAnsi="Arial" w:cs="Arial"/>
          <w:b/>
          <w:bCs/>
        </w:rPr>
      </w:pPr>
      <w:r w:rsidRPr="00010F83">
        <w:rPr>
          <w:rFonts w:ascii="Arial" w:hAnsi="Arial" w:cs="Arial"/>
          <w:b/>
          <w:bCs/>
        </w:rPr>
        <w:t>Các khoản lỗ tính thuế và các khoản ưu đãi</w:t>
      </w:r>
      <w:r w:rsidR="00AB1119" w:rsidRPr="00010F83">
        <w:rPr>
          <w:rFonts w:ascii="Arial" w:hAnsi="Arial" w:cs="Arial"/>
          <w:b/>
          <w:bCs/>
        </w:rPr>
        <w:t xml:space="preserve"> hoặc khấu trừ</w:t>
      </w:r>
      <w:r w:rsidRPr="00010F83">
        <w:rPr>
          <w:rFonts w:ascii="Arial" w:hAnsi="Arial" w:cs="Arial"/>
          <w:b/>
          <w:bCs/>
        </w:rPr>
        <w:t xml:space="preserve"> thuế chưa sử dụng</w:t>
      </w:r>
    </w:p>
    <w:p w:rsidR="00754265" w:rsidRPr="00010F83" w:rsidRDefault="00C530A3" w:rsidP="00754265">
      <w:pPr>
        <w:autoSpaceDE w:val="0"/>
        <w:autoSpaceDN w:val="0"/>
        <w:adjustRightInd w:val="0"/>
        <w:spacing w:after="120" w:line="240" w:lineRule="auto"/>
        <w:ind w:left="720" w:hanging="720"/>
        <w:jc w:val="both"/>
        <w:rPr>
          <w:rFonts w:ascii="Arial" w:hAnsi="Arial" w:cs="Arial"/>
          <w:bCs/>
        </w:rPr>
      </w:pPr>
      <w:r w:rsidRPr="00010F83">
        <w:rPr>
          <w:rFonts w:ascii="Arial" w:hAnsi="Arial" w:cs="Arial"/>
          <w:bCs/>
        </w:rPr>
        <w:t>34.</w:t>
      </w:r>
      <w:r w:rsidRPr="00010F83">
        <w:rPr>
          <w:rFonts w:ascii="Arial" w:hAnsi="Arial" w:cs="Arial"/>
          <w:b/>
          <w:bCs/>
        </w:rPr>
        <w:tab/>
      </w:r>
      <w:r w:rsidR="007B64CF" w:rsidRPr="00010F83">
        <w:rPr>
          <w:rFonts w:ascii="Arial" w:hAnsi="Arial" w:cs="Arial"/>
          <w:bCs/>
        </w:rPr>
        <w:t>Chỉ được ghi nhận một khoản</w:t>
      </w:r>
      <w:r w:rsidR="00AB1119" w:rsidRPr="00010F83">
        <w:rPr>
          <w:rFonts w:ascii="Arial" w:hAnsi="Arial" w:cs="Arial"/>
          <w:b/>
          <w:bCs/>
        </w:rPr>
        <w:t xml:space="preserve"> </w:t>
      </w:r>
      <w:r w:rsidR="00AB1119" w:rsidRPr="00010F83">
        <w:rPr>
          <w:rFonts w:ascii="Arial" w:hAnsi="Arial" w:cs="Arial"/>
          <w:bCs/>
        </w:rPr>
        <w:t>tài sản thuế TNDN hoãn lại cho các khoản lỗ tính thuế được chuyển sang kỳ tương lai và các khoản ưu đãi khấu trừ thuế chưa sử dụng, với điều kiện là đơn vị có lợi nhuận tính thuế trong tương lai để sử dụng các khoản lỗ tính thuế và các ưu đãi khấu trừ thuế chưa sử dụng đó.</w:t>
      </w:r>
    </w:p>
    <w:p w:rsidR="00754265" w:rsidRPr="00010F83" w:rsidRDefault="00754265">
      <w:pPr>
        <w:rPr>
          <w:rFonts w:ascii="Arial" w:hAnsi="Arial" w:cs="Arial"/>
          <w:bCs/>
        </w:rPr>
      </w:pPr>
      <w:r w:rsidRPr="00010F83">
        <w:rPr>
          <w:rFonts w:ascii="Arial" w:hAnsi="Arial" w:cs="Arial"/>
          <w:bCs/>
        </w:rPr>
        <w:br w:type="page"/>
      </w:r>
    </w:p>
    <w:p w:rsidR="00C530A3" w:rsidRPr="00010F83" w:rsidRDefault="00C530A3" w:rsidP="00754265">
      <w:pPr>
        <w:autoSpaceDE w:val="0"/>
        <w:autoSpaceDN w:val="0"/>
        <w:adjustRightInd w:val="0"/>
        <w:spacing w:after="120" w:line="240" w:lineRule="auto"/>
        <w:ind w:left="720" w:hanging="720"/>
        <w:jc w:val="both"/>
        <w:rPr>
          <w:rFonts w:ascii="Arial" w:hAnsi="Arial" w:cs="Arial"/>
          <w:bCs/>
        </w:rPr>
      </w:pPr>
    </w:p>
    <w:p w:rsidR="00C530A3" w:rsidRPr="00010F83" w:rsidRDefault="00C530A3" w:rsidP="00754265">
      <w:pPr>
        <w:autoSpaceDE w:val="0"/>
        <w:autoSpaceDN w:val="0"/>
        <w:adjustRightInd w:val="0"/>
        <w:spacing w:after="120" w:line="240" w:lineRule="auto"/>
        <w:ind w:left="720" w:hanging="720"/>
        <w:jc w:val="both"/>
        <w:rPr>
          <w:rFonts w:ascii="Arial" w:hAnsi="Arial" w:cs="Arial"/>
          <w:bCs/>
        </w:rPr>
      </w:pPr>
      <w:r w:rsidRPr="00010F83">
        <w:rPr>
          <w:rFonts w:ascii="Arial" w:hAnsi="Arial" w:cs="Arial"/>
          <w:bCs/>
        </w:rPr>
        <w:t>35.</w:t>
      </w:r>
      <w:r w:rsidRPr="00010F83">
        <w:rPr>
          <w:rFonts w:ascii="Arial" w:hAnsi="Arial" w:cs="Arial"/>
          <w:bCs/>
        </w:rPr>
        <w:tab/>
      </w:r>
      <w:r w:rsidR="002F6F00" w:rsidRPr="00010F83">
        <w:rPr>
          <w:rFonts w:ascii="Arial" w:hAnsi="Arial" w:cs="Arial"/>
          <w:bCs/>
        </w:rPr>
        <w:t xml:space="preserve">Điều kiện ghi nhận </w:t>
      </w:r>
      <w:r w:rsidR="006805F0" w:rsidRPr="00010F83">
        <w:rPr>
          <w:rFonts w:ascii="Arial" w:hAnsi="Arial" w:cs="Arial"/>
          <w:bCs/>
        </w:rPr>
        <w:t xml:space="preserve">tài sản </w:t>
      </w:r>
      <w:r w:rsidR="00731917" w:rsidRPr="00010F83">
        <w:rPr>
          <w:rFonts w:ascii="Arial" w:hAnsi="Arial" w:cs="Arial"/>
          <w:bCs/>
        </w:rPr>
        <w:t>thuế TNDN</w:t>
      </w:r>
      <w:r w:rsidR="006805F0" w:rsidRPr="00010F83">
        <w:rPr>
          <w:rFonts w:ascii="Arial" w:hAnsi="Arial" w:cs="Arial"/>
          <w:bCs/>
        </w:rPr>
        <w:t xml:space="preserve"> hoãn lại</w:t>
      </w:r>
      <w:r w:rsidR="002F6F00" w:rsidRPr="00010F83">
        <w:rPr>
          <w:rFonts w:ascii="Arial" w:hAnsi="Arial" w:cs="Arial"/>
          <w:bCs/>
        </w:rPr>
        <w:t xml:space="preserve"> phát sinh từ </w:t>
      </w:r>
      <w:r w:rsidR="00AB1119" w:rsidRPr="00010F83">
        <w:rPr>
          <w:rFonts w:ascii="Arial" w:hAnsi="Arial" w:cs="Arial"/>
          <w:bCs/>
        </w:rPr>
        <w:t>lỗ tính thuế được chuyển từ kỳ trước</w:t>
      </w:r>
      <w:r w:rsidR="00387F92" w:rsidRPr="00010F83">
        <w:rPr>
          <w:rFonts w:ascii="Arial" w:hAnsi="Arial" w:cs="Arial"/>
          <w:bCs/>
        </w:rPr>
        <w:t xml:space="preserve"> </w:t>
      </w:r>
      <w:r w:rsidR="002F6F00" w:rsidRPr="00010F83">
        <w:rPr>
          <w:rFonts w:ascii="Arial" w:hAnsi="Arial" w:cs="Arial"/>
          <w:bCs/>
        </w:rPr>
        <w:t xml:space="preserve">và các khoản ưu đãi </w:t>
      </w:r>
      <w:r w:rsidR="00AB1119" w:rsidRPr="00010F83">
        <w:rPr>
          <w:rFonts w:ascii="Arial" w:hAnsi="Arial" w:cs="Arial"/>
          <w:bCs/>
        </w:rPr>
        <w:t xml:space="preserve">khấu trừ </w:t>
      </w:r>
      <w:r w:rsidR="002F6F00" w:rsidRPr="00010F83">
        <w:rPr>
          <w:rFonts w:ascii="Arial" w:hAnsi="Arial" w:cs="Arial"/>
          <w:bCs/>
        </w:rPr>
        <w:t xml:space="preserve">thuế chưa sử dụng cũng giống với điều kiện ghi nhận </w:t>
      </w:r>
      <w:r w:rsidR="006805F0" w:rsidRPr="00010F83">
        <w:rPr>
          <w:rFonts w:ascii="Arial" w:hAnsi="Arial" w:cs="Arial"/>
          <w:bCs/>
        </w:rPr>
        <w:t xml:space="preserve">tài sản </w:t>
      </w:r>
      <w:r w:rsidR="00731917" w:rsidRPr="00010F83">
        <w:rPr>
          <w:rFonts w:ascii="Arial" w:hAnsi="Arial" w:cs="Arial"/>
          <w:bCs/>
        </w:rPr>
        <w:t>thuế TNDN</w:t>
      </w:r>
      <w:r w:rsidR="006805F0" w:rsidRPr="00010F83">
        <w:rPr>
          <w:rFonts w:ascii="Arial" w:hAnsi="Arial" w:cs="Arial"/>
          <w:bCs/>
        </w:rPr>
        <w:t xml:space="preserve"> hoãn lại</w:t>
      </w:r>
      <w:r w:rsidR="002F6F00" w:rsidRPr="00010F83">
        <w:rPr>
          <w:rFonts w:ascii="Arial" w:hAnsi="Arial" w:cs="Arial"/>
          <w:bCs/>
        </w:rPr>
        <w:t xml:space="preserve"> phát sinh từ các khoản chênh lệch tạm thời được khấu trừ. Tuy nhiên, sự tồn tại của các khoản lỗ tính thuế chưa sử dụng là bằng chứng </w:t>
      </w:r>
      <w:r w:rsidR="00AB1119" w:rsidRPr="00010F83">
        <w:rPr>
          <w:rFonts w:ascii="Arial" w:hAnsi="Arial" w:cs="Arial"/>
          <w:bCs/>
        </w:rPr>
        <w:t xml:space="preserve">rõ ràng </w:t>
      </w:r>
      <w:r w:rsidR="002F6F00" w:rsidRPr="00010F83">
        <w:rPr>
          <w:rFonts w:ascii="Arial" w:hAnsi="Arial" w:cs="Arial"/>
          <w:bCs/>
        </w:rPr>
        <w:t xml:space="preserve">về việc đơn vị có thể </w:t>
      </w:r>
      <w:r w:rsidR="00AB1119" w:rsidRPr="00010F83">
        <w:rPr>
          <w:rFonts w:ascii="Arial" w:hAnsi="Arial" w:cs="Arial"/>
          <w:bCs/>
        </w:rPr>
        <w:t xml:space="preserve">không </w:t>
      </w:r>
      <w:r w:rsidR="002F6F00" w:rsidRPr="00010F83">
        <w:rPr>
          <w:rFonts w:ascii="Arial" w:hAnsi="Arial" w:cs="Arial"/>
          <w:bCs/>
        </w:rPr>
        <w:t>có lợi nhuận tính thuế trong tương lai. Khi đơn vị liên tiếp thua lỗ</w:t>
      </w:r>
      <w:r w:rsidR="00387F92" w:rsidRPr="00010F83">
        <w:rPr>
          <w:rFonts w:ascii="Arial" w:hAnsi="Arial" w:cs="Arial"/>
          <w:bCs/>
        </w:rPr>
        <w:t>,</w:t>
      </w:r>
      <w:r w:rsidR="002F6F00" w:rsidRPr="00010F83">
        <w:rPr>
          <w:rFonts w:ascii="Arial" w:hAnsi="Arial" w:cs="Arial"/>
          <w:bCs/>
        </w:rPr>
        <w:t xml:space="preserve"> đơn vị chỉ </w:t>
      </w:r>
      <w:r w:rsidR="00AB1119" w:rsidRPr="00010F83">
        <w:rPr>
          <w:rFonts w:ascii="Arial" w:hAnsi="Arial" w:cs="Arial"/>
          <w:bCs/>
        </w:rPr>
        <w:t xml:space="preserve">được </w:t>
      </w:r>
      <w:r w:rsidR="002F6F00" w:rsidRPr="00010F83">
        <w:rPr>
          <w:rFonts w:ascii="Arial" w:hAnsi="Arial" w:cs="Arial"/>
          <w:bCs/>
        </w:rPr>
        <w:t xml:space="preserve">ghi nhận </w:t>
      </w:r>
      <w:r w:rsidR="006805F0" w:rsidRPr="00010F83">
        <w:rPr>
          <w:rFonts w:ascii="Arial" w:hAnsi="Arial" w:cs="Arial"/>
          <w:bCs/>
        </w:rPr>
        <w:t xml:space="preserve">tài sản </w:t>
      </w:r>
      <w:r w:rsidR="00731917" w:rsidRPr="00010F83">
        <w:rPr>
          <w:rFonts w:ascii="Arial" w:hAnsi="Arial" w:cs="Arial"/>
          <w:bCs/>
        </w:rPr>
        <w:t>thuế TNDN</w:t>
      </w:r>
      <w:r w:rsidR="006805F0" w:rsidRPr="00010F83">
        <w:rPr>
          <w:rFonts w:ascii="Arial" w:hAnsi="Arial" w:cs="Arial"/>
          <w:bCs/>
        </w:rPr>
        <w:t xml:space="preserve"> hoãn lại</w:t>
      </w:r>
      <w:r w:rsidR="002F6F00" w:rsidRPr="00010F83">
        <w:rPr>
          <w:rFonts w:ascii="Arial" w:hAnsi="Arial" w:cs="Arial"/>
          <w:bCs/>
        </w:rPr>
        <w:t xml:space="preserve"> phát sinh từ các khoản lỗ tính thuế hay các khoản ưu đãi</w:t>
      </w:r>
      <w:r w:rsidR="00AB1119" w:rsidRPr="00010F83">
        <w:rPr>
          <w:rFonts w:ascii="Arial" w:hAnsi="Arial" w:cs="Arial"/>
          <w:bCs/>
        </w:rPr>
        <w:t xml:space="preserve"> khấu trừ</w:t>
      </w:r>
      <w:r w:rsidR="002F6F00" w:rsidRPr="00010F83">
        <w:rPr>
          <w:rFonts w:ascii="Arial" w:hAnsi="Arial" w:cs="Arial"/>
          <w:bCs/>
        </w:rPr>
        <w:t xml:space="preserve"> thuế chưa sử dụng </w:t>
      </w:r>
      <w:r w:rsidR="00AB1119" w:rsidRPr="00010F83">
        <w:rPr>
          <w:rFonts w:ascii="Arial" w:hAnsi="Arial" w:cs="Arial"/>
          <w:bCs/>
        </w:rPr>
        <w:t xml:space="preserve">với điều kiện </w:t>
      </w:r>
      <w:r w:rsidR="002F6F00" w:rsidRPr="00010F83">
        <w:rPr>
          <w:rFonts w:ascii="Arial" w:hAnsi="Arial" w:cs="Arial"/>
          <w:bCs/>
        </w:rPr>
        <w:t xml:space="preserve">đơn vị có đủ các chênh lệch tạm thời </w:t>
      </w:r>
      <w:r w:rsidR="00AB1119" w:rsidRPr="00010F83">
        <w:rPr>
          <w:rFonts w:ascii="Arial" w:hAnsi="Arial" w:cs="Arial"/>
          <w:bCs/>
        </w:rPr>
        <w:t xml:space="preserve">phải </w:t>
      </w:r>
      <w:r w:rsidR="002F6F00" w:rsidRPr="00010F83">
        <w:rPr>
          <w:rFonts w:ascii="Arial" w:hAnsi="Arial" w:cs="Arial"/>
          <w:bCs/>
        </w:rPr>
        <w:t xml:space="preserve">chịu thuế hoặc có bằng chứng thuyết phục khác về việc sẽ có </w:t>
      </w:r>
      <w:r w:rsidR="00471DF6" w:rsidRPr="00010F83">
        <w:rPr>
          <w:rFonts w:ascii="Arial" w:hAnsi="Arial" w:cs="Arial"/>
          <w:bCs/>
        </w:rPr>
        <w:t xml:space="preserve">đủ </w:t>
      </w:r>
      <w:r w:rsidR="002F6F00" w:rsidRPr="00010F83">
        <w:rPr>
          <w:rFonts w:ascii="Arial" w:hAnsi="Arial" w:cs="Arial"/>
          <w:bCs/>
        </w:rPr>
        <w:t xml:space="preserve">lợi nhuận tính thuế để đơn vị có thể sử dụng được các khoản lỗ tính thuế và các khoản ưu đãi </w:t>
      </w:r>
      <w:r w:rsidR="00471DF6" w:rsidRPr="00010F83">
        <w:rPr>
          <w:rFonts w:ascii="Arial" w:hAnsi="Arial" w:cs="Arial"/>
          <w:bCs/>
        </w:rPr>
        <w:t xml:space="preserve">khấu trừ </w:t>
      </w:r>
      <w:r w:rsidR="002F6F00" w:rsidRPr="00010F83">
        <w:rPr>
          <w:rFonts w:ascii="Arial" w:hAnsi="Arial" w:cs="Arial"/>
          <w:bCs/>
        </w:rPr>
        <w:t xml:space="preserve">thuế chưa sử dụng đó. Trong những trường hợp như vậy, đoạn 82 yêu cầu là phải </w:t>
      </w:r>
      <w:r w:rsidR="00471DF6" w:rsidRPr="00010F83">
        <w:rPr>
          <w:rFonts w:ascii="Arial" w:hAnsi="Arial" w:cs="Arial"/>
          <w:bCs/>
        </w:rPr>
        <w:t>trình bày</w:t>
      </w:r>
      <w:r w:rsidR="002F6F00" w:rsidRPr="00010F83">
        <w:rPr>
          <w:rFonts w:ascii="Arial" w:hAnsi="Arial" w:cs="Arial"/>
          <w:bCs/>
        </w:rPr>
        <w:t xml:space="preserve"> giá trị </w:t>
      </w:r>
      <w:r w:rsidR="006805F0" w:rsidRPr="00010F83">
        <w:rPr>
          <w:rFonts w:ascii="Arial" w:hAnsi="Arial" w:cs="Arial"/>
          <w:bCs/>
        </w:rPr>
        <w:t xml:space="preserve">tài sản </w:t>
      </w:r>
      <w:r w:rsidR="00731917" w:rsidRPr="00010F83">
        <w:rPr>
          <w:rFonts w:ascii="Arial" w:hAnsi="Arial" w:cs="Arial"/>
          <w:bCs/>
        </w:rPr>
        <w:t>thuế TNDN</w:t>
      </w:r>
      <w:r w:rsidR="006805F0" w:rsidRPr="00010F83">
        <w:rPr>
          <w:rFonts w:ascii="Arial" w:hAnsi="Arial" w:cs="Arial"/>
          <w:bCs/>
        </w:rPr>
        <w:t xml:space="preserve"> hoãn lại</w:t>
      </w:r>
      <w:r w:rsidR="002F6F00" w:rsidRPr="00010F83">
        <w:rPr>
          <w:rFonts w:ascii="Arial" w:hAnsi="Arial" w:cs="Arial"/>
          <w:bCs/>
        </w:rPr>
        <w:t xml:space="preserve"> </w:t>
      </w:r>
      <w:r w:rsidR="00387F92" w:rsidRPr="00010F83">
        <w:rPr>
          <w:rFonts w:ascii="Arial" w:hAnsi="Arial" w:cs="Arial"/>
          <w:bCs/>
        </w:rPr>
        <w:t xml:space="preserve">tương ứng </w:t>
      </w:r>
      <w:r w:rsidR="002F6F00" w:rsidRPr="00010F83">
        <w:rPr>
          <w:rFonts w:ascii="Arial" w:hAnsi="Arial" w:cs="Arial"/>
          <w:bCs/>
        </w:rPr>
        <w:t xml:space="preserve">và các bằng chứng chứng minh cho việc ghi nhận </w:t>
      </w:r>
      <w:r w:rsidR="006805F0" w:rsidRPr="00010F83">
        <w:rPr>
          <w:rFonts w:ascii="Arial" w:hAnsi="Arial" w:cs="Arial"/>
          <w:bCs/>
        </w:rPr>
        <w:t xml:space="preserve">tài sản </w:t>
      </w:r>
      <w:r w:rsidR="00731917" w:rsidRPr="00010F83">
        <w:rPr>
          <w:rFonts w:ascii="Arial" w:hAnsi="Arial" w:cs="Arial"/>
          <w:bCs/>
        </w:rPr>
        <w:t>thuế TNDN</w:t>
      </w:r>
      <w:r w:rsidR="006805F0" w:rsidRPr="00010F83">
        <w:rPr>
          <w:rFonts w:ascii="Arial" w:hAnsi="Arial" w:cs="Arial"/>
          <w:bCs/>
        </w:rPr>
        <w:t xml:space="preserve"> hoãn lại</w:t>
      </w:r>
      <w:r w:rsidR="002F6F00" w:rsidRPr="00010F83">
        <w:rPr>
          <w:rFonts w:ascii="Arial" w:hAnsi="Arial" w:cs="Arial"/>
          <w:bCs/>
        </w:rPr>
        <w:t>.</w:t>
      </w:r>
    </w:p>
    <w:p w:rsidR="00C530A3" w:rsidRPr="00010F83" w:rsidRDefault="00C530A3" w:rsidP="00754265">
      <w:pPr>
        <w:autoSpaceDE w:val="0"/>
        <w:autoSpaceDN w:val="0"/>
        <w:adjustRightInd w:val="0"/>
        <w:spacing w:after="120" w:line="240" w:lineRule="auto"/>
        <w:ind w:left="720" w:hanging="720"/>
        <w:jc w:val="both"/>
        <w:rPr>
          <w:rFonts w:ascii="Arial" w:hAnsi="Arial" w:cs="Arial"/>
          <w:bCs/>
        </w:rPr>
      </w:pPr>
      <w:r w:rsidRPr="00010F83">
        <w:rPr>
          <w:rFonts w:ascii="Arial" w:hAnsi="Arial" w:cs="Arial"/>
          <w:bCs/>
        </w:rPr>
        <w:t>36.</w:t>
      </w:r>
      <w:r w:rsidRPr="00010F83">
        <w:rPr>
          <w:rFonts w:ascii="Arial" w:hAnsi="Arial" w:cs="Arial"/>
          <w:bCs/>
        </w:rPr>
        <w:tab/>
      </w:r>
      <w:r w:rsidR="002F6F00" w:rsidRPr="00010F83">
        <w:rPr>
          <w:rFonts w:ascii="Arial" w:hAnsi="Arial" w:cs="Arial"/>
          <w:bCs/>
        </w:rPr>
        <w:t xml:space="preserve">Khi đánh giá khả năng </w:t>
      </w:r>
      <w:r w:rsidR="00471DF6" w:rsidRPr="00010F83">
        <w:rPr>
          <w:rFonts w:ascii="Arial" w:hAnsi="Arial" w:cs="Arial"/>
          <w:bCs/>
        </w:rPr>
        <w:t xml:space="preserve">chắc chắn </w:t>
      </w:r>
      <w:r w:rsidR="002F6F00" w:rsidRPr="00010F83">
        <w:rPr>
          <w:rFonts w:ascii="Arial" w:hAnsi="Arial" w:cs="Arial"/>
          <w:bCs/>
        </w:rPr>
        <w:t xml:space="preserve">sẽ có lợi nhuận tính thuế để có thể sử dụng được các khoản lỗ tính thuế </w:t>
      </w:r>
      <w:r w:rsidR="00471DF6" w:rsidRPr="00010F83">
        <w:rPr>
          <w:rFonts w:ascii="Arial" w:hAnsi="Arial" w:cs="Arial"/>
          <w:bCs/>
        </w:rPr>
        <w:t xml:space="preserve">được chuyển </w:t>
      </w:r>
      <w:r w:rsidR="002F6F00" w:rsidRPr="00010F83">
        <w:rPr>
          <w:rFonts w:ascii="Arial" w:hAnsi="Arial" w:cs="Arial"/>
          <w:bCs/>
        </w:rPr>
        <w:t xml:space="preserve">và các khoản ưu đãi thuế chưa sử dụng, đơn vị cần cân nhắc các </w:t>
      </w:r>
      <w:r w:rsidR="00471DF6" w:rsidRPr="00010F83">
        <w:rPr>
          <w:rFonts w:ascii="Arial" w:hAnsi="Arial" w:cs="Arial"/>
          <w:bCs/>
        </w:rPr>
        <w:t>điều kiện</w:t>
      </w:r>
      <w:r w:rsidR="002F6F00" w:rsidRPr="00010F83">
        <w:rPr>
          <w:rFonts w:ascii="Arial" w:hAnsi="Arial" w:cs="Arial"/>
          <w:bCs/>
        </w:rPr>
        <w:t xml:space="preserve"> sau:</w:t>
      </w:r>
    </w:p>
    <w:p w:rsidR="002F6F00" w:rsidRPr="00010F83" w:rsidRDefault="002F6F00" w:rsidP="00754265">
      <w:pPr>
        <w:pStyle w:val="ListParagraph"/>
        <w:numPr>
          <w:ilvl w:val="0"/>
          <w:numId w:val="22"/>
        </w:numPr>
        <w:autoSpaceDE w:val="0"/>
        <w:autoSpaceDN w:val="0"/>
        <w:adjustRightInd w:val="0"/>
        <w:spacing w:after="120"/>
        <w:ind w:left="1080"/>
        <w:jc w:val="both"/>
        <w:rPr>
          <w:rFonts w:ascii="Arial" w:hAnsi="Arial" w:cs="Arial"/>
          <w:bCs/>
          <w:sz w:val="22"/>
          <w:szCs w:val="22"/>
        </w:rPr>
      </w:pPr>
      <w:r w:rsidRPr="00010F83">
        <w:rPr>
          <w:rFonts w:ascii="Arial" w:hAnsi="Arial" w:cs="Arial"/>
          <w:bCs/>
          <w:sz w:val="22"/>
          <w:szCs w:val="22"/>
        </w:rPr>
        <w:t>đơn vị có đủ các chênh lệch tạm thời chịu thuế liên quan đến cùng cơ quan t</w:t>
      </w:r>
      <w:r w:rsidR="000F6468" w:rsidRPr="00010F83">
        <w:rPr>
          <w:rFonts w:ascii="Arial" w:hAnsi="Arial" w:cs="Arial"/>
          <w:bCs/>
          <w:sz w:val="22"/>
          <w:szCs w:val="22"/>
        </w:rPr>
        <w:t xml:space="preserve">huế và cùng đơn vị chịu thuế, </w:t>
      </w:r>
      <w:r w:rsidR="00471DF6" w:rsidRPr="00010F83">
        <w:rPr>
          <w:rFonts w:ascii="Arial" w:hAnsi="Arial" w:cs="Arial"/>
          <w:bCs/>
          <w:sz w:val="22"/>
          <w:szCs w:val="22"/>
        </w:rPr>
        <w:t xml:space="preserve">mà các chênh lệch này </w:t>
      </w:r>
      <w:r w:rsidR="000F6468" w:rsidRPr="00010F83">
        <w:rPr>
          <w:rFonts w:ascii="Arial" w:hAnsi="Arial" w:cs="Arial"/>
          <w:bCs/>
          <w:sz w:val="22"/>
          <w:szCs w:val="22"/>
        </w:rPr>
        <w:t>sẽ làm phát sinh các khoản thu nhập</w:t>
      </w:r>
      <w:r w:rsidRPr="00010F83">
        <w:rPr>
          <w:rFonts w:ascii="Arial" w:hAnsi="Arial" w:cs="Arial"/>
          <w:bCs/>
          <w:sz w:val="22"/>
          <w:szCs w:val="22"/>
        </w:rPr>
        <w:t xml:space="preserve"> chịu thuế để </w:t>
      </w:r>
      <w:r w:rsidR="00471DF6" w:rsidRPr="00010F83">
        <w:rPr>
          <w:rFonts w:ascii="Arial" w:hAnsi="Arial" w:cs="Arial"/>
          <w:bCs/>
          <w:sz w:val="22"/>
          <w:szCs w:val="22"/>
        </w:rPr>
        <w:t xml:space="preserve">có thể </w:t>
      </w:r>
      <w:r w:rsidR="006E4F36" w:rsidRPr="00010F83">
        <w:rPr>
          <w:rFonts w:ascii="Arial" w:hAnsi="Arial" w:cs="Arial"/>
          <w:bCs/>
          <w:sz w:val="22"/>
          <w:szCs w:val="22"/>
        </w:rPr>
        <w:t xml:space="preserve">sử dụng </w:t>
      </w:r>
      <w:r w:rsidRPr="00010F83">
        <w:rPr>
          <w:rFonts w:ascii="Arial" w:hAnsi="Arial" w:cs="Arial"/>
          <w:bCs/>
          <w:sz w:val="22"/>
          <w:szCs w:val="22"/>
        </w:rPr>
        <w:t>các khoản lỗ tính thuế hoặc các khoản ưu đãi thuế chưa sử dụng trước khi các khoản này hết hiệu lực;</w:t>
      </w:r>
    </w:p>
    <w:p w:rsidR="002F6F00" w:rsidRPr="00010F83" w:rsidRDefault="00F36049" w:rsidP="00754265">
      <w:pPr>
        <w:pStyle w:val="ListParagraph"/>
        <w:numPr>
          <w:ilvl w:val="0"/>
          <w:numId w:val="22"/>
        </w:numPr>
        <w:autoSpaceDE w:val="0"/>
        <w:autoSpaceDN w:val="0"/>
        <w:adjustRightInd w:val="0"/>
        <w:spacing w:after="120"/>
        <w:ind w:left="1080"/>
        <w:jc w:val="both"/>
        <w:rPr>
          <w:rFonts w:ascii="Arial" w:hAnsi="Arial" w:cs="Arial"/>
          <w:bCs/>
          <w:sz w:val="22"/>
          <w:szCs w:val="22"/>
        </w:rPr>
      </w:pPr>
      <w:r w:rsidRPr="00010F83">
        <w:rPr>
          <w:rFonts w:ascii="Arial" w:hAnsi="Arial" w:cs="Arial"/>
          <w:bCs/>
          <w:sz w:val="22"/>
          <w:szCs w:val="22"/>
        </w:rPr>
        <w:t>có nhiều khả năng đơn vị sẽ có lợi nhuận tính thuế trước khi hết hạn sử dụng các khoản lỗ thuế có thể chuyển và các khoản ưu đãi khấu trừ thuế chưa được sử dụng</w:t>
      </w:r>
      <w:r w:rsidR="002F6F00" w:rsidRPr="00010F83">
        <w:rPr>
          <w:rFonts w:ascii="Arial" w:hAnsi="Arial" w:cs="Arial"/>
          <w:bCs/>
          <w:sz w:val="22"/>
          <w:szCs w:val="22"/>
        </w:rPr>
        <w:t>;</w:t>
      </w:r>
    </w:p>
    <w:p w:rsidR="002F6F00" w:rsidRPr="00010F83" w:rsidRDefault="002F6F00" w:rsidP="00754265">
      <w:pPr>
        <w:pStyle w:val="ListParagraph"/>
        <w:numPr>
          <w:ilvl w:val="0"/>
          <w:numId w:val="22"/>
        </w:numPr>
        <w:autoSpaceDE w:val="0"/>
        <w:autoSpaceDN w:val="0"/>
        <w:adjustRightInd w:val="0"/>
        <w:spacing w:after="120"/>
        <w:ind w:left="1080"/>
        <w:jc w:val="both"/>
        <w:rPr>
          <w:rFonts w:ascii="Arial" w:hAnsi="Arial" w:cs="Arial"/>
          <w:bCs/>
          <w:sz w:val="22"/>
          <w:szCs w:val="22"/>
        </w:rPr>
      </w:pPr>
      <w:r w:rsidRPr="00010F83">
        <w:rPr>
          <w:rFonts w:ascii="Arial" w:hAnsi="Arial" w:cs="Arial"/>
          <w:bCs/>
          <w:sz w:val="22"/>
          <w:szCs w:val="22"/>
        </w:rPr>
        <w:t>các khoản lỗ tính thuế chưa sử dụng phát sinh do các nguyên nhân ít có khả nă</w:t>
      </w:r>
      <w:r w:rsidR="009A6FFC" w:rsidRPr="00010F83">
        <w:rPr>
          <w:rFonts w:ascii="Arial" w:hAnsi="Arial" w:cs="Arial"/>
          <w:bCs/>
          <w:sz w:val="22"/>
          <w:szCs w:val="22"/>
        </w:rPr>
        <w:t>ng tiếp tục xảy ra</w:t>
      </w:r>
      <w:r w:rsidRPr="00010F83">
        <w:rPr>
          <w:rFonts w:ascii="Arial" w:hAnsi="Arial" w:cs="Arial"/>
          <w:bCs/>
          <w:sz w:val="22"/>
          <w:szCs w:val="22"/>
        </w:rPr>
        <w:t>; và</w:t>
      </w:r>
    </w:p>
    <w:p w:rsidR="002F6F00" w:rsidRPr="00010F83" w:rsidRDefault="002F6F00" w:rsidP="00754265">
      <w:pPr>
        <w:pStyle w:val="ListParagraph"/>
        <w:numPr>
          <w:ilvl w:val="0"/>
          <w:numId w:val="22"/>
        </w:numPr>
        <w:autoSpaceDE w:val="0"/>
        <w:autoSpaceDN w:val="0"/>
        <w:adjustRightInd w:val="0"/>
        <w:spacing w:after="120"/>
        <w:ind w:left="1080"/>
        <w:jc w:val="both"/>
        <w:rPr>
          <w:rFonts w:ascii="Arial" w:hAnsi="Arial" w:cs="Arial"/>
          <w:bCs/>
          <w:sz w:val="22"/>
          <w:szCs w:val="22"/>
        </w:rPr>
      </w:pPr>
      <w:proofErr w:type="gramStart"/>
      <w:r w:rsidRPr="00010F83">
        <w:rPr>
          <w:rFonts w:ascii="Arial" w:hAnsi="Arial" w:cs="Arial"/>
          <w:bCs/>
          <w:sz w:val="22"/>
          <w:szCs w:val="22"/>
        </w:rPr>
        <w:t>kế</w:t>
      </w:r>
      <w:proofErr w:type="gramEnd"/>
      <w:r w:rsidRPr="00010F83">
        <w:rPr>
          <w:rFonts w:ascii="Arial" w:hAnsi="Arial" w:cs="Arial"/>
          <w:bCs/>
          <w:sz w:val="22"/>
          <w:szCs w:val="22"/>
        </w:rPr>
        <w:t xml:space="preserve"> hoạch </w:t>
      </w:r>
      <w:r w:rsidR="009A6FFC" w:rsidRPr="00010F83">
        <w:rPr>
          <w:rFonts w:ascii="Arial" w:hAnsi="Arial" w:cs="Arial"/>
          <w:bCs/>
          <w:sz w:val="22"/>
          <w:szCs w:val="22"/>
        </w:rPr>
        <w:t>tối ưu</w:t>
      </w:r>
      <w:r w:rsidRPr="00010F83">
        <w:rPr>
          <w:rFonts w:ascii="Arial" w:hAnsi="Arial" w:cs="Arial"/>
          <w:bCs/>
          <w:sz w:val="22"/>
          <w:szCs w:val="22"/>
        </w:rPr>
        <w:t xml:space="preserve"> thuế (xem đoạn 30) có cho phép đơn vị tạo ra lợi nhuận tính thuế trong kỳ có thể sử dụng được các khoản lỗ tính thuế hay các khoản ưu</w:t>
      </w:r>
      <w:r w:rsidR="009A6FFC" w:rsidRPr="00010F83">
        <w:rPr>
          <w:rFonts w:ascii="Arial" w:hAnsi="Arial" w:cs="Arial"/>
          <w:bCs/>
          <w:sz w:val="22"/>
          <w:szCs w:val="22"/>
        </w:rPr>
        <w:t xml:space="preserve"> đãi thuế chưa sử dụng</w:t>
      </w:r>
      <w:r w:rsidRPr="00010F83">
        <w:rPr>
          <w:rFonts w:ascii="Arial" w:hAnsi="Arial" w:cs="Arial"/>
          <w:bCs/>
          <w:sz w:val="22"/>
          <w:szCs w:val="22"/>
        </w:rPr>
        <w:t>.</w:t>
      </w:r>
    </w:p>
    <w:p w:rsidR="00C530A3" w:rsidRPr="00010F83" w:rsidRDefault="002F6F00" w:rsidP="00754265">
      <w:pPr>
        <w:autoSpaceDE w:val="0"/>
        <w:autoSpaceDN w:val="0"/>
        <w:adjustRightInd w:val="0"/>
        <w:spacing w:after="120" w:line="240" w:lineRule="auto"/>
        <w:ind w:left="720"/>
        <w:jc w:val="both"/>
        <w:rPr>
          <w:rFonts w:ascii="Arial" w:hAnsi="Arial" w:cs="Arial"/>
          <w:bCs/>
        </w:rPr>
      </w:pPr>
      <w:proofErr w:type="gramStart"/>
      <w:r w:rsidRPr="00010F83">
        <w:rPr>
          <w:rFonts w:ascii="Arial" w:hAnsi="Arial" w:cs="Arial"/>
          <w:bCs/>
        </w:rPr>
        <w:t xml:space="preserve">Nếu không chắc chắn có lợi nhuận tính thuế để sử dụng các khoản lỗ chịu thuế và các khoản ưu đãi </w:t>
      </w:r>
      <w:r w:rsidR="00F36049" w:rsidRPr="00010F83">
        <w:rPr>
          <w:rFonts w:ascii="Arial" w:hAnsi="Arial" w:cs="Arial"/>
          <w:bCs/>
        </w:rPr>
        <w:t xml:space="preserve">khấu trừ </w:t>
      </w:r>
      <w:r w:rsidRPr="00010F83">
        <w:rPr>
          <w:rFonts w:ascii="Arial" w:hAnsi="Arial" w:cs="Arial"/>
          <w:bCs/>
        </w:rPr>
        <w:t>thuế chưa sử dụng, thì</w:t>
      </w:r>
      <w:r w:rsidR="009A6FFC" w:rsidRPr="00010F83">
        <w:rPr>
          <w:rFonts w:ascii="Arial" w:hAnsi="Arial" w:cs="Arial"/>
          <w:bCs/>
        </w:rPr>
        <w:t xml:space="preserve"> </w:t>
      </w:r>
      <w:r w:rsidR="00F36049" w:rsidRPr="00010F83">
        <w:rPr>
          <w:rFonts w:ascii="Arial" w:hAnsi="Arial" w:cs="Arial"/>
          <w:bCs/>
        </w:rPr>
        <w:t xml:space="preserve">đơn vị </w:t>
      </w:r>
      <w:r w:rsidR="009A6FFC" w:rsidRPr="00010F83">
        <w:rPr>
          <w:rFonts w:ascii="Arial" w:hAnsi="Arial" w:cs="Arial"/>
          <w:bCs/>
        </w:rPr>
        <w:t xml:space="preserve">không </w:t>
      </w:r>
      <w:r w:rsidR="00F36049" w:rsidRPr="00010F83">
        <w:rPr>
          <w:rFonts w:ascii="Arial" w:hAnsi="Arial" w:cs="Arial"/>
          <w:bCs/>
        </w:rPr>
        <w:t xml:space="preserve">được </w:t>
      </w:r>
      <w:r w:rsidR="009A6FFC" w:rsidRPr="00010F83">
        <w:rPr>
          <w:rFonts w:ascii="Arial" w:hAnsi="Arial" w:cs="Arial"/>
          <w:bCs/>
        </w:rPr>
        <w:t>ghi nhận</w:t>
      </w:r>
      <w:r w:rsidRPr="00010F83">
        <w:rPr>
          <w:rFonts w:ascii="Arial" w:hAnsi="Arial" w:cs="Arial"/>
          <w:bCs/>
        </w:rPr>
        <w:t xml:space="preserve"> </w:t>
      </w:r>
      <w:r w:rsidR="006805F0" w:rsidRPr="00010F83">
        <w:rPr>
          <w:rFonts w:ascii="Arial" w:hAnsi="Arial" w:cs="Arial"/>
          <w:bCs/>
        </w:rPr>
        <w:t xml:space="preserve">tài sản </w:t>
      </w:r>
      <w:r w:rsidR="00731917" w:rsidRPr="00010F83">
        <w:rPr>
          <w:rFonts w:ascii="Arial" w:hAnsi="Arial" w:cs="Arial"/>
          <w:bCs/>
        </w:rPr>
        <w:t>thuế TNDN</w:t>
      </w:r>
      <w:r w:rsidR="006805F0" w:rsidRPr="00010F83">
        <w:rPr>
          <w:rFonts w:ascii="Arial" w:hAnsi="Arial" w:cs="Arial"/>
          <w:bCs/>
        </w:rPr>
        <w:t xml:space="preserve"> hoãn lại</w:t>
      </w:r>
      <w:r w:rsidRPr="00010F83">
        <w:rPr>
          <w:rFonts w:ascii="Arial" w:hAnsi="Arial" w:cs="Arial"/>
          <w:bCs/>
        </w:rPr>
        <w:t>.</w:t>
      </w:r>
      <w:proofErr w:type="gramEnd"/>
    </w:p>
    <w:p w:rsidR="002F6F00" w:rsidRPr="00010F83" w:rsidRDefault="002F6F00" w:rsidP="00754265">
      <w:pPr>
        <w:autoSpaceDE w:val="0"/>
        <w:autoSpaceDN w:val="0"/>
        <w:adjustRightInd w:val="0"/>
        <w:spacing w:before="240" w:after="120" w:line="240" w:lineRule="auto"/>
        <w:ind w:firstLine="720"/>
        <w:jc w:val="both"/>
        <w:rPr>
          <w:rFonts w:ascii="Arial" w:hAnsi="Arial" w:cs="Arial"/>
          <w:b/>
          <w:bCs/>
        </w:rPr>
      </w:pPr>
      <w:r w:rsidRPr="00010F83">
        <w:rPr>
          <w:rFonts w:ascii="Arial" w:hAnsi="Arial" w:cs="Arial"/>
          <w:b/>
          <w:bCs/>
        </w:rPr>
        <w:t xml:space="preserve">Đánh giá lại </w:t>
      </w:r>
      <w:r w:rsidR="006805F0" w:rsidRPr="00010F83">
        <w:rPr>
          <w:rFonts w:ascii="Arial" w:hAnsi="Arial" w:cs="Arial"/>
          <w:b/>
          <w:bCs/>
        </w:rPr>
        <w:t xml:space="preserve">tài sản </w:t>
      </w:r>
      <w:r w:rsidR="00731917" w:rsidRPr="00010F83">
        <w:rPr>
          <w:rFonts w:ascii="Arial" w:hAnsi="Arial" w:cs="Arial"/>
          <w:b/>
          <w:bCs/>
        </w:rPr>
        <w:t>thuế TNDN</w:t>
      </w:r>
      <w:r w:rsidR="006805F0" w:rsidRPr="00010F83">
        <w:rPr>
          <w:rFonts w:ascii="Arial" w:hAnsi="Arial" w:cs="Arial"/>
          <w:b/>
          <w:bCs/>
        </w:rPr>
        <w:t xml:space="preserve"> hoãn lại</w:t>
      </w:r>
      <w:r w:rsidRPr="00010F83">
        <w:rPr>
          <w:rFonts w:ascii="Arial" w:hAnsi="Arial" w:cs="Arial"/>
          <w:b/>
          <w:bCs/>
        </w:rPr>
        <w:t xml:space="preserve"> chưa được ghi nhận</w:t>
      </w:r>
      <w:r w:rsidR="00073122" w:rsidRPr="00010F83">
        <w:rPr>
          <w:rFonts w:ascii="Arial" w:hAnsi="Arial" w:cs="Arial"/>
          <w:b/>
          <w:bCs/>
        </w:rPr>
        <w:t xml:space="preserve"> trước đó</w:t>
      </w:r>
    </w:p>
    <w:p w:rsidR="00C530A3" w:rsidRPr="00010F83" w:rsidRDefault="00C530A3" w:rsidP="00754265">
      <w:pPr>
        <w:autoSpaceDE w:val="0"/>
        <w:autoSpaceDN w:val="0"/>
        <w:adjustRightInd w:val="0"/>
        <w:spacing w:after="120" w:line="240" w:lineRule="auto"/>
        <w:ind w:left="720" w:hanging="720"/>
        <w:jc w:val="both"/>
        <w:rPr>
          <w:rFonts w:ascii="Arial" w:hAnsi="Arial" w:cs="Arial"/>
          <w:bCs/>
        </w:rPr>
      </w:pPr>
      <w:r w:rsidRPr="00010F83">
        <w:rPr>
          <w:rFonts w:ascii="Arial" w:hAnsi="Arial" w:cs="Arial"/>
          <w:bCs/>
        </w:rPr>
        <w:t>37.</w:t>
      </w:r>
      <w:r w:rsidRPr="00010F83">
        <w:rPr>
          <w:rFonts w:ascii="Arial" w:hAnsi="Arial" w:cs="Arial"/>
          <w:bCs/>
        </w:rPr>
        <w:tab/>
      </w:r>
      <w:r w:rsidR="00F36049" w:rsidRPr="00010F83">
        <w:rPr>
          <w:rFonts w:ascii="Arial" w:hAnsi="Arial" w:cs="Arial"/>
          <w:bCs/>
        </w:rPr>
        <w:t xml:space="preserve">Tại các ngày kết thúc mỗi kỳ báo cáo, đơn vị phải đánh giá các tài sản thuế TNDN hoãn lại chưa được ghi nhận ở các kỳ trước. Đơn vị cần ghi nhận tài sản thuế TNDN hoãn lại trước đó chưa được ghi nhận khi việc có được lợi nhuận tính thuế trong tương lai để cho phép tài sản thuế TNDN hoãn lại được </w:t>
      </w:r>
      <w:proofErr w:type="gramStart"/>
      <w:r w:rsidR="00F36049" w:rsidRPr="00010F83">
        <w:rPr>
          <w:rFonts w:ascii="Arial" w:hAnsi="Arial" w:cs="Arial"/>
          <w:bCs/>
        </w:rPr>
        <w:t>thu</w:t>
      </w:r>
      <w:proofErr w:type="gramEnd"/>
      <w:r w:rsidR="00F36049" w:rsidRPr="00010F83">
        <w:rPr>
          <w:rFonts w:ascii="Arial" w:hAnsi="Arial" w:cs="Arial"/>
          <w:bCs/>
        </w:rPr>
        <w:t xml:space="preserve"> hồi trở nên gần như chắc chắn. </w:t>
      </w:r>
      <w:proofErr w:type="gramStart"/>
      <w:r w:rsidR="002F6F00" w:rsidRPr="00010F83">
        <w:rPr>
          <w:rFonts w:ascii="Arial" w:hAnsi="Arial" w:cs="Arial"/>
          <w:bCs/>
        </w:rPr>
        <w:t xml:space="preserve">Ví dụ, việc cải thiện điều kiện kinh doanh có thể làm tăng khả năng đơn vị sẽ tạo ra đủ lợi nhuận tính thuế trong tương lai đến mức đủ để </w:t>
      </w:r>
      <w:r w:rsidR="006805F0" w:rsidRPr="00010F83">
        <w:rPr>
          <w:rFonts w:ascii="Arial" w:hAnsi="Arial" w:cs="Arial"/>
          <w:bCs/>
        </w:rPr>
        <w:t xml:space="preserve">tài sản </w:t>
      </w:r>
      <w:r w:rsidR="00731917" w:rsidRPr="00010F83">
        <w:rPr>
          <w:rFonts w:ascii="Arial" w:hAnsi="Arial" w:cs="Arial"/>
          <w:bCs/>
        </w:rPr>
        <w:t>thuế TNDN</w:t>
      </w:r>
      <w:r w:rsidR="006805F0" w:rsidRPr="00010F83">
        <w:rPr>
          <w:rFonts w:ascii="Arial" w:hAnsi="Arial" w:cs="Arial"/>
          <w:bCs/>
        </w:rPr>
        <w:t xml:space="preserve"> hoãn lại</w:t>
      </w:r>
      <w:r w:rsidR="002F6F00" w:rsidRPr="00010F83">
        <w:rPr>
          <w:rFonts w:ascii="Arial" w:hAnsi="Arial" w:cs="Arial"/>
          <w:bCs/>
        </w:rPr>
        <w:t xml:space="preserve"> thỏa mãn các tiêu chí ghi nhận trong đoạn 24 hoặc 34.</w:t>
      </w:r>
      <w:proofErr w:type="gramEnd"/>
      <w:r w:rsidR="002F6F00" w:rsidRPr="00010F83">
        <w:rPr>
          <w:rFonts w:ascii="Arial" w:hAnsi="Arial" w:cs="Arial"/>
          <w:bCs/>
        </w:rPr>
        <w:t xml:space="preserve"> Một ví dụ khác là </w:t>
      </w:r>
      <w:proofErr w:type="gramStart"/>
      <w:r w:rsidR="002F6F00" w:rsidRPr="00010F83">
        <w:rPr>
          <w:rFonts w:ascii="Arial" w:hAnsi="Arial" w:cs="Arial"/>
          <w:bCs/>
        </w:rPr>
        <w:t>khi đơn</w:t>
      </w:r>
      <w:proofErr w:type="gramEnd"/>
      <w:r w:rsidR="002F6F00" w:rsidRPr="00010F83">
        <w:rPr>
          <w:rFonts w:ascii="Arial" w:hAnsi="Arial" w:cs="Arial"/>
          <w:bCs/>
        </w:rPr>
        <w:t xml:space="preserve"> vị đánh giá lại </w:t>
      </w:r>
      <w:r w:rsidR="006805F0" w:rsidRPr="00010F83">
        <w:rPr>
          <w:rFonts w:ascii="Arial" w:hAnsi="Arial" w:cs="Arial"/>
          <w:bCs/>
        </w:rPr>
        <w:t xml:space="preserve">tài sản </w:t>
      </w:r>
      <w:r w:rsidR="00731917" w:rsidRPr="00010F83">
        <w:rPr>
          <w:rFonts w:ascii="Arial" w:hAnsi="Arial" w:cs="Arial"/>
          <w:bCs/>
        </w:rPr>
        <w:t>thuế TNDN</w:t>
      </w:r>
      <w:r w:rsidR="006805F0" w:rsidRPr="00010F83">
        <w:rPr>
          <w:rFonts w:ascii="Arial" w:hAnsi="Arial" w:cs="Arial"/>
          <w:bCs/>
        </w:rPr>
        <w:t xml:space="preserve"> hoãn lại</w:t>
      </w:r>
      <w:r w:rsidR="002F6F00" w:rsidRPr="00010F83">
        <w:rPr>
          <w:rFonts w:ascii="Arial" w:hAnsi="Arial" w:cs="Arial"/>
          <w:bCs/>
        </w:rPr>
        <w:t xml:space="preserve"> tại ngày hợp nhất kinh doanh hoặc sau </w:t>
      </w:r>
      <w:r w:rsidR="000D355D" w:rsidRPr="00010F83">
        <w:rPr>
          <w:rFonts w:ascii="Arial" w:hAnsi="Arial" w:cs="Arial"/>
          <w:bCs/>
        </w:rPr>
        <w:t>ngày hợp nhất kinh doanh</w:t>
      </w:r>
      <w:r w:rsidR="002F6F00" w:rsidRPr="00010F83">
        <w:rPr>
          <w:rFonts w:ascii="Arial" w:hAnsi="Arial" w:cs="Arial"/>
          <w:bCs/>
        </w:rPr>
        <w:t xml:space="preserve"> (xem đoạn 67 và 68).</w:t>
      </w:r>
    </w:p>
    <w:p w:rsidR="00754265" w:rsidRPr="00010F83" w:rsidRDefault="00754265">
      <w:pPr>
        <w:rPr>
          <w:rFonts w:ascii="Arial" w:hAnsi="Arial" w:cs="Arial"/>
          <w:b/>
          <w:bCs/>
        </w:rPr>
      </w:pPr>
      <w:r w:rsidRPr="00010F83">
        <w:rPr>
          <w:rFonts w:ascii="Arial" w:hAnsi="Arial" w:cs="Arial"/>
          <w:b/>
          <w:bCs/>
        </w:rPr>
        <w:br w:type="page"/>
      </w:r>
    </w:p>
    <w:p w:rsidR="00C530A3" w:rsidRPr="00010F83" w:rsidRDefault="002F6F00" w:rsidP="00754265">
      <w:pPr>
        <w:autoSpaceDE w:val="0"/>
        <w:autoSpaceDN w:val="0"/>
        <w:adjustRightInd w:val="0"/>
        <w:spacing w:after="120" w:line="240" w:lineRule="auto"/>
        <w:ind w:left="720"/>
        <w:jc w:val="both"/>
        <w:rPr>
          <w:rFonts w:ascii="Arial" w:hAnsi="Arial" w:cs="Arial"/>
          <w:b/>
          <w:bCs/>
        </w:rPr>
      </w:pPr>
      <w:r w:rsidRPr="00010F83">
        <w:rPr>
          <w:rFonts w:ascii="Arial" w:hAnsi="Arial" w:cs="Arial"/>
          <w:b/>
          <w:bCs/>
        </w:rPr>
        <w:lastRenderedPageBreak/>
        <w:t xml:space="preserve">Khoản đầu tư vào công ty con, chi nhánh, công ty liên kết và lợi ích trong các thỏa thuận </w:t>
      </w:r>
      <w:proofErr w:type="gramStart"/>
      <w:r w:rsidRPr="00010F83">
        <w:rPr>
          <w:rFonts w:ascii="Arial" w:hAnsi="Arial" w:cs="Arial"/>
          <w:b/>
          <w:bCs/>
        </w:rPr>
        <w:t>chung</w:t>
      </w:r>
      <w:proofErr w:type="gramEnd"/>
    </w:p>
    <w:p w:rsidR="002F6F00" w:rsidRPr="00010F83" w:rsidRDefault="00C530A3" w:rsidP="00754265">
      <w:pPr>
        <w:autoSpaceDE w:val="0"/>
        <w:autoSpaceDN w:val="0"/>
        <w:adjustRightInd w:val="0"/>
        <w:spacing w:after="120" w:line="240" w:lineRule="auto"/>
        <w:ind w:left="720" w:hanging="720"/>
        <w:jc w:val="both"/>
        <w:rPr>
          <w:rFonts w:ascii="Arial" w:hAnsi="Arial" w:cs="Arial"/>
          <w:bCs/>
        </w:rPr>
      </w:pPr>
      <w:r w:rsidRPr="00010F83">
        <w:rPr>
          <w:rFonts w:ascii="Arial" w:hAnsi="Arial" w:cs="Arial"/>
          <w:bCs/>
        </w:rPr>
        <w:t>38.</w:t>
      </w:r>
      <w:r w:rsidRPr="00010F83">
        <w:rPr>
          <w:rFonts w:ascii="Arial" w:hAnsi="Arial" w:cs="Arial"/>
          <w:bCs/>
        </w:rPr>
        <w:tab/>
      </w:r>
      <w:r w:rsidR="002F6F00" w:rsidRPr="00010F83">
        <w:rPr>
          <w:rFonts w:ascii="Arial" w:hAnsi="Arial" w:cs="Arial"/>
          <w:bCs/>
        </w:rPr>
        <w:t xml:space="preserve">Chênh lệch tạm thời phát sinh khi giá trị ghi sổ của các khoản đầu tư vào công ty con, chi nhánh và công ty liên kết hoặc lợi ích trong các thỏa thuận </w:t>
      </w:r>
      <w:r w:rsidR="006E4F36" w:rsidRPr="00010F83">
        <w:rPr>
          <w:rFonts w:ascii="Arial" w:hAnsi="Arial" w:cs="Arial"/>
          <w:bCs/>
        </w:rPr>
        <w:t>chung</w:t>
      </w:r>
      <w:r w:rsidR="002F6F00" w:rsidRPr="00010F83">
        <w:rPr>
          <w:rFonts w:ascii="Arial" w:hAnsi="Arial" w:cs="Arial"/>
          <w:bCs/>
        </w:rPr>
        <w:t xml:space="preserve"> (</w:t>
      </w:r>
      <w:r w:rsidR="000D355D" w:rsidRPr="00010F83">
        <w:rPr>
          <w:rFonts w:ascii="Arial" w:hAnsi="Arial" w:cs="Arial"/>
          <w:bCs/>
        </w:rPr>
        <w:t>tương đương với</w:t>
      </w:r>
      <w:r w:rsidR="002F6F00" w:rsidRPr="00010F83">
        <w:rPr>
          <w:rFonts w:ascii="Arial" w:hAnsi="Arial" w:cs="Arial"/>
          <w:bCs/>
        </w:rPr>
        <w:t xml:space="preserve"> phần sở hữu của công ty mẹ hay nhà đầu tư trong tài sản ròng của công ty con, chi nhánh, công ty liên kết hoặc đơn vị nhận đầu tư, bao gồm cả giá trị ghi sổ của lợi thế thương mại) trở nên khác biệt với cơ sở tính thuế (thường là ghi nhận theo giá trị gốc) của khoản đầ</w:t>
      </w:r>
      <w:r w:rsidR="000D355D" w:rsidRPr="00010F83">
        <w:rPr>
          <w:rFonts w:ascii="Arial" w:hAnsi="Arial" w:cs="Arial"/>
          <w:bCs/>
        </w:rPr>
        <w:t>u tư</w:t>
      </w:r>
      <w:r w:rsidR="002F6F00" w:rsidRPr="00010F83">
        <w:rPr>
          <w:rFonts w:ascii="Arial" w:hAnsi="Arial" w:cs="Arial"/>
          <w:bCs/>
        </w:rPr>
        <w:t>. Các chênh lệch này có thể phát sinh trong nhiều trường hợp khác nhau, ví dụ:</w:t>
      </w:r>
    </w:p>
    <w:p w:rsidR="002F6F00" w:rsidRPr="00010F83" w:rsidRDefault="002F6F00" w:rsidP="00754265">
      <w:pPr>
        <w:pStyle w:val="ListParagraph"/>
        <w:numPr>
          <w:ilvl w:val="0"/>
          <w:numId w:val="23"/>
        </w:numPr>
        <w:autoSpaceDE w:val="0"/>
        <w:autoSpaceDN w:val="0"/>
        <w:adjustRightInd w:val="0"/>
        <w:spacing w:after="120"/>
        <w:ind w:left="1080"/>
        <w:jc w:val="both"/>
        <w:rPr>
          <w:rFonts w:ascii="Arial" w:hAnsi="Arial" w:cs="Arial"/>
          <w:bCs/>
          <w:sz w:val="22"/>
          <w:szCs w:val="22"/>
        </w:rPr>
      </w:pPr>
      <w:r w:rsidRPr="00010F83">
        <w:rPr>
          <w:rFonts w:ascii="Arial" w:hAnsi="Arial" w:cs="Arial"/>
          <w:bCs/>
          <w:sz w:val="22"/>
          <w:szCs w:val="22"/>
        </w:rPr>
        <w:t xml:space="preserve">có </w:t>
      </w:r>
      <w:r w:rsidR="000D355D" w:rsidRPr="00010F83">
        <w:rPr>
          <w:rFonts w:ascii="Arial" w:hAnsi="Arial" w:cs="Arial"/>
          <w:bCs/>
          <w:sz w:val="22"/>
          <w:szCs w:val="22"/>
        </w:rPr>
        <w:t xml:space="preserve">phát sinh </w:t>
      </w:r>
      <w:r w:rsidRPr="00010F83">
        <w:rPr>
          <w:rFonts w:ascii="Arial" w:hAnsi="Arial" w:cs="Arial"/>
          <w:bCs/>
          <w:sz w:val="22"/>
          <w:szCs w:val="22"/>
        </w:rPr>
        <w:t xml:space="preserve">lợi nhuận chưa phân phối từ các công ty con, chi nhánh, công ty liên kết và thỏa thuận </w:t>
      </w:r>
      <w:r w:rsidR="000D355D" w:rsidRPr="00010F83">
        <w:rPr>
          <w:rFonts w:ascii="Arial" w:hAnsi="Arial" w:cs="Arial"/>
          <w:bCs/>
          <w:sz w:val="22"/>
          <w:szCs w:val="22"/>
        </w:rPr>
        <w:t>chung</w:t>
      </w:r>
      <w:r w:rsidRPr="00010F83">
        <w:rPr>
          <w:rFonts w:ascii="Arial" w:hAnsi="Arial" w:cs="Arial"/>
          <w:bCs/>
          <w:sz w:val="22"/>
          <w:szCs w:val="22"/>
        </w:rPr>
        <w:t>;</w:t>
      </w:r>
    </w:p>
    <w:p w:rsidR="002F6F00" w:rsidRPr="00010F83" w:rsidRDefault="002F6F00" w:rsidP="00754265">
      <w:pPr>
        <w:pStyle w:val="ListParagraph"/>
        <w:numPr>
          <w:ilvl w:val="0"/>
          <w:numId w:val="23"/>
        </w:numPr>
        <w:autoSpaceDE w:val="0"/>
        <w:autoSpaceDN w:val="0"/>
        <w:adjustRightInd w:val="0"/>
        <w:spacing w:after="120"/>
        <w:ind w:left="1080"/>
        <w:jc w:val="both"/>
        <w:rPr>
          <w:rFonts w:ascii="Arial" w:hAnsi="Arial" w:cs="Arial"/>
          <w:bCs/>
          <w:sz w:val="22"/>
          <w:szCs w:val="22"/>
        </w:rPr>
      </w:pPr>
      <w:r w:rsidRPr="00010F83">
        <w:rPr>
          <w:rFonts w:ascii="Arial" w:hAnsi="Arial" w:cs="Arial"/>
          <w:bCs/>
          <w:sz w:val="22"/>
          <w:szCs w:val="22"/>
        </w:rPr>
        <w:t>có sự thay đổi tỷ giá hối đoái khi công ty mẹ và công ty con thành lập ở các nước khác nhau; và</w:t>
      </w:r>
    </w:p>
    <w:p w:rsidR="002F6F00" w:rsidRPr="00010F83" w:rsidRDefault="00F36049" w:rsidP="00754265">
      <w:pPr>
        <w:pStyle w:val="ListParagraph"/>
        <w:numPr>
          <w:ilvl w:val="0"/>
          <w:numId w:val="23"/>
        </w:numPr>
        <w:autoSpaceDE w:val="0"/>
        <w:autoSpaceDN w:val="0"/>
        <w:adjustRightInd w:val="0"/>
        <w:spacing w:after="120"/>
        <w:ind w:left="1080"/>
        <w:jc w:val="both"/>
        <w:rPr>
          <w:rFonts w:ascii="Arial" w:hAnsi="Arial" w:cs="Arial"/>
          <w:bCs/>
          <w:sz w:val="22"/>
          <w:szCs w:val="22"/>
        </w:rPr>
      </w:pPr>
      <w:proofErr w:type="gramStart"/>
      <w:r w:rsidRPr="00010F83">
        <w:rPr>
          <w:rFonts w:ascii="Arial" w:hAnsi="Arial" w:cs="Arial"/>
          <w:bCs/>
          <w:sz w:val="22"/>
          <w:szCs w:val="22"/>
        </w:rPr>
        <w:t>giá</w:t>
      </w:r>
      <w:proofErr w:type="gramEnd"/>
      <w:r w:rsidRPr="00010F83">
        <w:rPr>
          <w:rFonts w:ascii="Arial" w:hAnsi="Arial" w:cs="Arial"/>
          <w:bCs/>
          <w:sz w:val="22"/>
          <w:szCs w:val="22"/>
        </w:rPr>
        <w:t xml:space="preserve"> trị ghi sổ của khoản đầu tư vào công ty liên kết giảm xuống bằng giá trị có thể thu hồi.</w:t>
      </w:r>
    </w:p>
    <w:p w:rsidR="00C530A3" w:rsidRPr="00010F83" w:rsidRDefault="002F6F00" w:rsidP="00754265">
      <w:pPr>
        <w:autoSpaceDE w:val="0"/>
        <w:autoSpaceDN w:val="0"/>
        <w:adjustRightInd w:val="0"/>
        <w:spacing w:after="120" w:line="240" w:lineRule="auto"/>
        <w:ind w:left="720"/>
        <w:jc w:val="both"/>
        <w:rPr>
          <w:rFonts w:ascii="Arial" w:hAnsi="Arial" w:cs="Arial"/>
          <w:bCs/>
        </w:rPr>
      </w:pPr>
      <w:r w:rsidRPr="00010F83">
        <w:rPr>
          <w:rFonts w:ascii="Arial" w:hAnsi="Arial" w:cs="Arial"/>
          <w:bCs/>
        </w:rPr>
        <w:t xml:space="preserve">Trong báo cáo tài chính hợp nhất, chênh lệch tạm thời này có thể khác biệt với chênh lệch tạm thời liên quan đến các khoản đầu tư trên báo cáo riêng của công ty mẹ </w:t>
      </w:r>
      <w:r w:rsidR="000D355D" w:rsidRPr="00010F83">
        <w:rPr>
          <w:rFonts w:ascii="Arial" w:hAnsi="Arial" w:cs="Arial"/>
          <w:bCs/>
        </w:rPr>
        <w:t>trong trường hợp</w:t>
      </w:r>
      <w:r w:rsidRPr="00010F83">
        <w:rPr>
          <w:rFonts w:ascii="Arial" w:hAnsi="Arial" w:cs="Arial"/>
          <w:bCs/>
        </w:rPr>
        <w:t xml:space="preserve"> công ty mẹ ghi nhận các khoản đầu tư này theo giá gốc hoặc giá trị đánh giá lại trên báo cáo tài chính riêng của mình.</w:t>
      </w:r>
    </w:p>
    <w:p w:rsidR="00C530A3" w:rsidRPr="00010F83" w:rsidRDefault="00C530A3" w:rsidP="00754265">
      <w:pPr>
        <w:autoSpaceDE w:val="0"/>
        <w:autoSpaceDN w:val="0"/>
        <w:adjustRightInd w:val="0"/>
        <w:spacing w:after="120" w:line="240" w:lineRule="auto"/>
        <w:ind w:left="720" w:hanging="720"/>
        <w:jc w:val="both"/>
        <w:rPr>
          <w:rFonts w:ascii="Arial" w:hAnsi="Arial" w:cs="Arial"/>
          <w:bCs/>
        </w:rPr>
      </w:pPr>
      <w:r w:rsidRPr="00010F83">
        <w:rPr>
          <w:rFonts w:ascii="Arial" w:hAnsi="Arial" w:cs="Arial"/>
          <w:bCs/>
        </w:rPr>
        <w:t>39.</w:t>
      </w:r>
      <w:r w:rsidRPr="00010F83">
        <w:rPr>
          <w:rFonts w:ascii="Arial" w:hAnsi="Arial" w:cs="Arial"/>
          <w:bCs/>
        </w:rPr>
        <w:tab/>
      </w:r>
      <w:r w:rsidR="002F6F00" w:rsidRPr="00010F83">
        <w:rPr>
          <w:rFonts w:ascii="Arial" w:hAnsi="Arial" w:cs="Arial"/>
          <w:bCs/>
        </w:rPr>
        <w:t xml:space="preserve">Một đơn vị phải ghi nhận </w:t>
      </w:r>
      <w:r w:rsidR="00731917" w:rsidRPr="00010F83">
        <w:rPr>
          <w:rFonts w:ascii="Arial" w:hAnsi="Arial" w:cs="Arial"/>
          <w:bCs/>
        </w:rPr>
        <w:t>thuế TNDN</w:t>
      </w:r>
      <w:r w:rsidR="006805F0" w:rsidRPr="00010F83">
        <w:rPr>
          <w:rFonts w:ascii="Arial" w:hAnsi="Arial" w:cs="Arial"/>
          <w:bCs/>
        </w:rPr>
        <w:t xml:space="preserve"> hoãn lại phải trả</w:t>
      </w:r>
      <w:r w:rsidR="002F6F00" w:rsidRPr="00010F83">
        <w:rPr>
          <w:rFonts w:ascii="Arial" w:hAnsi="Arial" w:cs="Arial"/>
          <w:bCs/>
        </w:rPr>
        <w:t xml:space="preserve"> cho tất cả các chênh lệch tạm thời chịu thuế gắn liền với các khoản đầu tư vào công ty con, chi nhánh, công ty liên kết và lợi ích trong các thỏa thuận </w:t>
      </w:r>
      <w:r w:rsidR="00C752A3" w:rsidRPr="00010F83">
        <w:rPr>
          <w:rFonts w:ascii="Arial" w:hAnsi="Arial" w:cs="Arial"/>
          <w:bCs/>
        </w:rPr>
        <w:t>chung</w:t>
      </w:r>
      <w:r w:rsidR="002F6F00" w:rsidRPr="00010F83">
        <w:rPr>
          <w:rFonts w:ascii="Arial" w:hAnsi="Arial" w:cs="Arial"/>
          <w:bCs/>
        </w:rPr>
        <w:t>, trừ khi đáp ứng được cả 2 điều kiện sau:</w:t>
      </w:r>
    </w:p>
    <w:p w:rsidR="002F6F00" w:rsidRPr="00010F83" w:rsidRDefault="002F6F00" w:rsidP="00754265">
      <w:pPr>
        <w:pStyle w:val="ListParagraph"/>
        <w:numPr>
          <w:ilvl w:val="0"/>
          <w:numId w:val="24"/>
        </w:numPr>
        <w:autoSpaceDE w:val="0"/>
        <w:autoSpaceDN w:val="0"/>
        <w:adjustRightInd w:val="0"/>
        <w:spacing w:after="120"/>
        <w:jc w:val="both"/>
        <w:rPr>
          <w:rFonts w:ascii="Arial" w:hAnsi="Arial" w:cs="Arial"/>
          <w:bCs/>
          <w:sz w:val="22"/>
          <w:szCs w:val="22"/>
        </w:rPr>
      </w:pPr>
      <w:r w:rsidRPr="00010F83">
        <w:rPr>
          <w:rFonts w:ascii="Arial" w:hAnsi="Arial" w:cs="Arial"/>
          <w:bCs/>
          <w:sz w:val="22"/>
          <w:szCs w:val="22"/>
        </w:rPr>
        <w:t>Công ty mẹ, nhà đầu tư, bên liên doanh hoặc bên đồng điều hành có khả năng kiểm soát thời gian hoàn nhập khoản chênh lệch tạm thời; và</w:t>
      </w:r>
    </w:p>
    <w:p w:rsidR="00C530A3" w:rsidRPr="00010F83" w:rsidRDefault="00340C82" w:rsidP="00754265">
      <w:pPr>
        <w:pStyle w:val="ListParagraph"/>
        <w:numPr>
          <w:ilvl w:val="0"/>
          <w:numId w:val="24"/>
        </w:numPr>
        <w:autoSpaceDE w:val="0"/>
        <w:autoSpaceDN w:val="0"/>
        <w:adjustRightInd w:val="0"/>
        <w:spacing w:after="120"/>
        <w:jc w:val="both"/>
        <w:rPr>
          <w:rFonts w:ascii="Arial" w:hAnsi="Arial" w:cs="Arial"/>
          <w:bCs/>
        </w:rPr>
      </w:pPr>
      <w:r w:rsidRPr="00010F83">
        <w:rPr>
          <w:rFonts w:ascii="Arial" w:hAnsi="Arial" w:cs="Arial"/>
          <w:bCs/>
          <w:sz w:val="22"/>
          <w:szCs w:val="22"/>
        </w:rPr>
        <w:t>N</w:t>
      </w:r>
      <w:r w:rsidR="002F6F00" w:rsidRPr="00010F83">
        <w:rPr>
          <w:rFonts w:ascii="Arial" w:hAnsi="Arial" w:cs="Arial"/>
          <w:bCs/>
          <w:sz w:val="22"/>
          <w:szCs w:val="22"/>
        </w:rPr>
        <w:t>hiều khả năng khoản chênh lệch tạm thời sẽ không</w:t>
      </w:r>
      <w:r w:rsidR="00F36049" w:rsidRPr="00010F83">
        <w:rPr>
          <w:rFonts w:ascii="Arial" w:hAnsi="Arial" w:cs="Arial"/>
          <w:bCs/>
          <w:sz w:val="22"/>
          <w:szCs w:val="22"/>
        </w:rPr>
        <w:t xml:space="preserve"> được</w:t>
      </w:r>
      <w:r w:rsidR="002F6F00" w:rsidRPr="00010F83">
        <w:rPr>
          <w:rFonts w:ascii="Arial" w:hAnsi="Arial" w:cs="Arial"/>
          <w:bCs/>
          <w:sz w:val="22"/>
          <w:szCs w:val="22"/>
        </w:rPr>
        <w:t xml:space="preserve"> hoàn nhập trong tương lai có thể dự đoán được.</w:t>
      </w:r>
    </w:p>
    <w:p w:rsidR="00C530A3" w:rsidRPr="00010F83" w:rsidRDefault="00C530A3" w:rsidP="00754265">
      <w:pPr>
        <w:autoSpaceDE w:val="0"/>
        <w:autoSpaceDN w:val="0"/>
        <w:adjustRightInd w:val="0"/>
        <w:spacing w:after="120" w:line="240" w:lineRule="auto"/>
        <w:ind w:left="720" w:hanging="720"/>
        <w:jc w:val="both"/>
        <w:rPr>
          <w:rFonts w:ascii="Arial" w:hAnsi="Arial" w:cs="Arial"/>
          <w:bCs/>
        </w:rPr>
      </w:pPr>
      <w:r w:rsidRPr="00010F83">
        <w:rPr>
          <w:rFonts w:ascii="Arial" w:hAnsi="Arial" w:cs="Arial"/>
          <w:bCs/>
        </w:rPr>
        <w:t>40.</w:t>
      </w:r>
      <w:r w:rsidRPr="00010F83">
        <w:rPr>
          <w:rFonts w:ascii="Arial" w:hAnsi="Arial" w:cs="Arial"/>
          <w:bCs/>
        </w:rPr>
        <w:tab/>
      </w:r>
      <w:r w:rsidR="00340C82" w:rsidRPr="00010F83">
        <w:rPr>
          <w:rFonts w:ascii="Arial" w:hAnsi="Arial" w:cs="Arial"/>
          <w:bCs/>
        </w:rPr>
        <w:t xml:space="preserve">Khi </w:t>
      </w:r>
      <w:r w:rsidR="002F6F00" w:rsidRPr="00010F83">
        <w:rPr>
          <w:rFonts w:ascii="Arial" w:hAnsi="Arial" w:cs="Arial"/>
          <w:bCs/>
        </w:rPr>
        <w:t xml:space="preserve">công ty mẹ kiểm soát được chính sách chia cổ tức của công ty con, công ty mẹ có thể kiểm soát thời gian hoàn nhập các chênh lệch tạm thời gắn liền với khoản đầu tư đó (gồm các chênh lệch tạm thời phát sinh </w:t>
      </w:r>
      <w:r w:rsidR="003B486D" w:rsidRPr="00010F83">
        <w:rPr>
          <w:rFonts w:ascii="Arial" w:hAnsi="Arial" w:cs="Arial"/>
          <w:bCs/>
        </w:rPr>
        <w:t xml:space="preserve">không chỉ từ lợi nhuận chưa phân phối mà còn từ các chênh lệch chuyển đổi ngoại tệ). Hơn nữa, thường khó có thể xác định được giá trị khoản thuế </w:t>
      </w:r>
      <w:proofErr w:type="gramStart"/>
      <w:r w:rsidR="003B486D" w:rsidRPr="00010F83">
        <w:rPr>
          <w:rFonts w:ascii="Arial" w:hAnsi="Arial" w:cs="Arial"/>
          <w:bCs/>
        </w:rPr>
        <w:t>thu</w:t>
      </w:r>
      <w:proofErr w:type="gramEnd"/>
      <w:r w:rsidR="003B486D" w:rsidRPr="00010F83">
        <w:rPr>
          <w:rFonts w:ascii="Arial" w:hAnsi="Arial" w:cs="Arial"/>
          <w:bCs/>
        </w:rPr>
        <w:t xml:space="preserve"> nhập sẽ phải trả khi chênh lệch tạm thời hoàn nhập. </w:t>
      </w:r>
      <w:proofErr w:type="gramStart"/>
      <w:r w:rsidR="002F6F00" w:rsidRPr="00010F83">
        <w:rPr>
          <w:rFonts w:ascii="Arial" w:hAnsi="Arial" w:cs="Arial"/>
          <w:bCs/>
        </w:rPr>
        <w:t xml:space="preserve">Vì vậy, khi công ty mẹ xác định lợi nhuận của công ty con sẽ không được phân phối trong tương lai </w:t>
      </w:r>
      <w:r w:rsidR="00FE675C" w:rsidRPr="00010F83">
        <w:rPr>
          <w:rFonts w:ascii="Arial" w:hAnsi="Arial" w:cs="Arial"/>
          <w:bCs/>
        </w:rPr>
        <w:t>gần</w:t>
      </w:r>
      <w:r w:rsidR="002F6F00" w:rsidRPr="00010F83">
        <w:rPr>
          <w:rFonts w:ascii="Arial" w:hAnsi="Arial" w:cs="Arial"/>
          <w:bCs/>
        </w:rPr>
        <w:t xml:space="preserve">, </w:t>
      </w:r>
      <w:r w:rsidR="00FE675C" w:rsidRPr="00010F83">
        <w:rPr>
          <w:rFonts w:ascii="Arial" w:hAnsi="Arial" w:cs="Arial"/>
          <w:bCs/>
        </w:rPr>
        <w:t xml:space="preserve">thì </w:t>
      </w:r>
      <w:r w:rsidR="002F6F00" w:rsidRPr="00010F83">
        <w:rPr>
          <w:rFonts w:ascii="Arial" w:hAnsi="Arial" w:cs="Arial"/>
          <w:bCs/>
        </w:rPr>
        <w:t xml:space="preserve">công ty mẹ không ghi nhận </w:t>
      </w:r>
      <w:r w:rsidR="00731917" w:rsidRPr="00010F83">
        <w:rPr>
          <w:rFonts w:ascii="Arial" w:hAnsi="Arial" w:cs="Arial"/>
          <w:bCs/>
        </w:rPr>
        <w:t>thuế TNDN</w:t>
      </w:r>
      <w:r w:rsidR="006805F0" w:rsidRPr="00010F83">
        <w:rPr>
          <w:rFonts w:ascii="Arial" w:hAnsi="Arial" w:cs="Arial"/>
          <w:bCs/>
        </w:rPr>
        <w:t xml:space="preserve"> hoãn lại phải trả</w:t>
      </w:r>
      <w:r w:rsidR="002F6F00" w:rsidRPr="00010F83">
        <w:rPr>
          <w:rFonts w:ascii="Arial" w:hAnsi="Arial" w:cs="Arial"/>
          <w:bCs/>
        </w:rPr>
        <w:t>.</w:t>
      </w:r>
      <w:proofErr w:type="gramEnd"/>
      <w:r w:rsidR="002F6F00" w:rsidRPr="00010F83">
        <w:rPr>
          <w:rFonts w:ascii="Arial" w:hAnsi="Arial" w:cs="Arial"/>
          <w:bCs/>
        </w:rPr>
        <w:t xml:space="preserve"> </w:t>
      </w:r>
      <w:proofErr w:type="gramStart"/>
      <w:r w:rsidR="00FE675C" w:rsidRPr="00010F83">
        <w:rPr>
          <w:rFonts w:ascii="Arial" w:hAnsi="Arial" w:cs="Arial"/>
          <w:bCs/>
        </w:rPr>
        <w:t>Đối với khoản đầu tư vào các chi nhánh, quá trình xem xét cũng diễn ra tương tự</w:t>
      </w:r>
      <w:r w:rsidR="002F6F00" w:rsidRPr="00010F83">
        <w:rPr>
          <w:rFonts w:ascii="Arial" w:hAnsi="Arial" w:cs="Arial"/>
          <w:bCs/>
        </w:rPr>
        <w:t>.</w:t>
      </w:r>
      <w:proofErr w:type="gramEnd"/>
    </w:p>
    <w:p w:rsidR="00C530A3" w:rsidRPr="00010F83" w:rsidRDefault="00C530A3" w:rsidP="00754265">
      <w:pPr>
        <w:autoSpaceDE w:val="0"/>
        <w:autoSpaceDN w:val="0"/>
        <w:adjustRightInd w:val="0"/>
        <w:spacing w:after="120" w:line="240" w:lineRule="auto"/>
        <w:ind w:left="720" w:hanging="720"/>
        <w:jc w:val="both"/>
        <w:rPr>
          <w:rFonts w:ascii="Arial" w:hAnsi="Arial" w:cs="Arial"/>
          <w:bCs/>
        </w:rPr>
      </w:pPr>
      <w:r w:rsidRPr="00010F83">
        <w:rPr>
          <w:rFonts w:ascii="Arial" w:hAnsi="Arial" w:cs="Arial"/>
          <w:bCs/>
        </w:rPr>
        <w:t>41.</w:t>
      </w:r>
      <w:r w:rsidRPr="00010F83">
        <w:rPr>
          <w:rFonts w:ascii="Arial" w:hAnsi="Arial" w:cs="Arial"/>
          <w:bCs/>
        </w:rPr>
        <w:tab/>
      </w:r>
      <w:r w:rsidR="00FE675C" w:rsidRPr="00010F83">
        <w:rPr>
          <w:rFonts w:ascii="Arial" w:hAnsi="Arial" w:cs="Arial"/>
          <w:bCs/>
        </w:rPr>
        <w:t xml:space="preserve">Đơn vị ghi nhận các khoản mục tài sản và nợ phải trả phi tiền tệ </w:t>
      </w:r>
      <w:proofErr w:type="gramStart"/>
      <w:r w:rsidR="00FE675C" w:rsidRPr="00010F83">
        <w:rPr>
          <w:rFonts w:ascii="Arial" w:hAnsi="Arial" w:cs="Arial"/>
          <w:bCs/>
        </w:rPr>
        <w:t>theo</w:t>
      </w:r>
      <w:proofErr w:type="gramEnd"/>
      <w:r w:rsidR="00FE675C" w:rsidRPr="00010F83">
        <w:rPr>
          <w:rFonts w:ascii="Arial" w:hAnsi="Arial" w:cs="Arial"/>
          <w:bCs/>
        </w:rPr>
        <w:t xml:space="preserve"> đơn vị tiền tệ chính thức trong ghi chép kế toán </w:t>
      </w:r>
      <w:r w:rsidR="002F6F00" w:rsidRPr="00010F83">
        <w:rPr>
          <w:rFonts w:ascii="Arial" w:hAnsi="Arial" w:cs="Arial"/>
          <w:bCs/>
        </w:rPr>
        <w:t xml:space="preserve">(xem IAS 21 Ảnh hưởng của việc thay đổi tỷ giá). Nếu lợi nhuận tính thuế hay lỗ tính thuế (và vì vậy, cơ sở tính thuế của khoản mục tài sản và nợ phải trả phi tiền tệ) được xác định bằng </w:t>
      </w:r>
      <w:r w:rsidR="007B64CF" w:rsidRPr="00010F83">
        <w:rPr>
          <w:rFonts w:ascii="Arial" w:hAnsi="Arial" w:cs="Arial"/>
          <w:bCs/>
        </w:rPr>
        <w:t xml:space="preserve">một đơn vị tiền tệ khác với đồng tiền </w:t>
      </w:r>
      <w:r w:rsidR="00FE675C" w:rsidRPr="00010F83">
        <w:rPr>
          <w:rFonts w:ascii="Arial" w:hAnsi="Arial" w:cs="Arial"/>
          <w:bCs/>
        </w:rPr>
        <w:t>chính thức trong ghi chép kế toán</w:t>
      </w:r>
      <w:r w:rsidR="002F6F00" w:rsidRPr="00010F83">
        <w:rPr>
          <w:rFonts w:ascii="Arial" w:hAnsi="Arial" w:cs="Arial"/>
          <w:bCs/>
        </w:rPr>
        <w:t xml:space="preserve">, thì các thay đổi tỷ giá cũng làm phát sinh các chênh lệch tạm thời dẫn đến ghi nhận </w:t>
      </w:r>
      <w:r w:rsidR="006805F0" w:rsidRPr="00010F83">
        <w:rPr>
          <w:rFonts w:ascii="Arial" w:hAnsi="Arial" w:cs="Arial"/>
          <w:bCs/>
        </w:rPr>
        <w:t xml:space="preserve">tài sản </w:t>
      </w:r>
      <w:r w:rsidR="00731917" w:rsidRPr="00010F83">
        <w:rPr>
          <w:rFonts w:ascii="Arial" w:hAnsi="Arial" w:cs="Arial"/>
          <w:bCs/>
        </w:rPr>
        <w:t>thuế TNDN</w:t>
      </w:r>
      <w:r w:rsidR="006805F0" w:rsidRPr="00010F83">
        <w:rPr>
          <w:rFonts w:ascii="Arial" w:hAnsi="Arial" w:cs="Arial"/>
          <w:bCs/>
        </w:rPr>
        <w:t xml:space="preserve"> hoãn lại</w:t>
      </w:r>
      <w:r w:rsidR="002F6F00" w:rsidRPr="00010F83">
        <w:rPr>
          <w:rFonts w:ascii="Arial" w:hAnsi="Arial" w:cs="Arial"/>
          <w:bCs/>
        </w:rPr>
        <w:t xml:space="preserve"> </w:t>
      </w:r>
      <w:r w:rsidR="00000D9F" w:rsidRPr="00010F83">
        <w:rPr>
          <w:rFonts w:ascii="Arial" w:hAnsi="Arial" w:cs="Arial"/>
          <w:bCs/>
        </w:rPr>
        <w:t>hay</w:t>
      </w:r>
      <w:r w:rsidR="002F6F00" w:rsidRPr="00010F83">
        <w:rPr>
          <w:rFonts w:ascii="Arial" w:hAnsi="Arial" w:cs="Arial"/>
          <w:bCs/>
        </w:rPr>
        <w:t xml:space="preserve"> </w:t>
      </w:r>
      <w:r w:rsidR="00731917" w:rsidRPr="00010F83">
        <w:rPr>
          <w:rFonts w:ascii="Arial" w:hAnsi="Arial" w:cs="Arial"/>
          <w:bCs/>
        </w:rPr>
        <w:t>thuế TNDN</w:t>
      </w:r>
      <w:r w:rsidR="006805F0" w:rsidRPr="00010F83">
        <w:rPr>
          <w:rFonts w:ascii="Arial" w:hAnsi="Arial" w:cs="Arial"/>
          <w:bCs/>
        </w:rPr>
        <w:t xml:space="preserve"> hoãn lại phải trả</w:t>
      </w:r>
      <w:r w:rsidR="002F6F00" w:rsidRPr="00010F83">
        <w:rPr>
          <w:rFonts w:ascii="Arial" w:hAnsi="Arial" w:cs="Arial"/>
          <w:bCs/>
        </w:rPr>
        <w:t xml:space="preserve"> (nếu thỏa mãn điều kiện ở đoạn 24). </w:t>
      </w:r>
      <w:r w:rsidR="00FE675C" w:rsidRPr="00010F83">
        <w:rPr>
          <w:rFonts w:ascii="Arial" w:hAnsi="Arial" w:cs="Arial"/>
          <w:bCs/>
        </w:rPr>
        <w:t xml:space="preserve">Thuế </w:t>
      </w:r>
      <w:proofErr w:type="gramStart"/>
      <w:r w:rsidR="00FE675C" w:rsidRPr="00010F83">
        <w:rPr>
          <w:rFonts w:ascii="Arial" w:hAnsi="Arial" w:cs="Arial"/>
          <w:bCs/>
        </w:rPr>
        <w:t>thu</w:t>
      </w:r>
      <w:proofErr w:type="gramEnd"/>
      <w:r w:rsidR="00FE675C" w:rsidRPr="00010F83">
        <w:rPr>
          <w:rFonts w:ascii="Arial" w:hAnsi="Arial" w:cs="Arial"/>
          <w:bCs/>
        </w:rPr>
        <w:t xml:space="preserve"> nhập hoãn lại phát sinh được ghi nhận vào Báo cáo kết quả hoạt động kinh doanh </w:t>
      </w:r>
      <w:r w:rsidR="002F6F00" w:rsidRPr="00010F83">
        <w:rPr>
          <w:rFonts w:ascii="Arial" w:hAnsi="Arial" w:cs="Arial"/>
          <w:bCs/>
        </w:rPr>
        <w:t>(xem đoạn 58).</w:t>
      </w:r>
    </w:p>
    <w:p w:rsidR="00754265" w:rsidRPr="00010F83" w:rsidRDefault="00754265">
      <w:pPr>
        <w:rPr>
          <w:rFonts w:ascii="Arial" w:hAnsi="Arial" w:cs="Arial"/>
          <w:bCs/>
        </w:rPr>
      </w:pPr>
      <w:r w:rsidRPr="00010F83">
        <w:rPr>
          <w:rFonts w:ascii="Arial" w:hAnsi="Arial" w:cs="Arial"/>
          <w:bCs/>
        </w:rPr>
        <w:br w:type="page"/>
      </w:r>
    </w:p>
    <w:p w:rsidR="00754265" w:rsidRPr="00010F83" w:rsidRDefault="00754265" w:rsidP="00590853">
      <w:pPr>
        <w:autoSpaceDE w:val="0"/>
        <w:autoSpaceDN w:val="0"/>
        <w:adjustRightInd w:val="0"/>
        <w:spacing w:after="120" w:line="240" w:lineRule="auto"/>
        <w:jc w:val="both"/>
        <w:rPr>
          <w:rFonts w:ascii="Arial" w:hAnsi="Arial" w:cs="Arial"/>
          <w:bCs/>
        </w:rPr>
      </w:pPr>
    </w:p>
    <w:p w:rsidR="00C530A3" w:rsidRPr="00010F83" w:rsidRDefault="00C530A3" w:rsidP="00754265">
      <w:pPr>
        <w:autoSpaceDE w:val="0"/>
        <w:autoSpaceDN w:val="0"/>
        <w:adjustRightInd w:val="0"/>
        <w:spacing w:after="120" w:line="240" w:lineRule="auto"/>
        <w:ind w:left="720" w:hanging="720"/>
        <w:jc w:val="both"/>
        <w:rPr>
          <w:rFonts w:ascii="Arial" w:hAnsi="Arial" w:cs="Arial"/>
          <w:bCs/>
        </w:rPr>
      </w:pPr>
      <w:r w:rsidRPr="00010F83">
        <w:rPr>
          <w:rFonts w:ascii="Arial" w:hAnsi="Arial" w:cs="Arial"/>
          <w:bCs/>
        </w:rPr>
        <w:t>42.</w:t>
      </w:r>
      <w:r w:rsidRPr="00010F83">
        <w:rPr>
          <w:rFonts w:ascii="Arial" w:hAnsi="Arial" w:cs="Arial"/>
          <w:bCs/>
        </w:rPr>
        <w:tab/>
      </w:r>
      <w:r w:rsidR="002F6F00" w:rsidRPr="00010F83">
        <w:rPr>
          <w:rFonts w:ascii="Arial" w:hAnsi="Arial" w:cs="Arial"/>
          <w:bCs/>
        </w:rPr>
        <w:t xml:space="preserve">Nhà đầu tư của công ty liên kết không có quyền kiểm soát và </w:t>
      </w:r>
      <w:r w:rsidR="00000D9F" w:rsidRPr="00010F83">
        <w:rPr>
          <w:rFonts w:ascii="Arial" w:hAnsi="Arial" w:cs="Arial"/>
          <w:bCs/>
        </w:rPr>
        <w:t>do đó</w:t>
      </w:r>
      <w:r w:rsidR="002F6F00" w:rsidRPr="00010F83">
        <w:rPr>
          <w:rFonts w:ascii="Arial" w:hAnsi="Arial" w:cs="Arial"/>
          <w:bCs/>
        </w:rPr>
        <w:t xml:space="preserve"> không có quyền quyết định chính sách chia cổ tức của công ty liên kế</w:t>
      </w:r>
      <w:r w:rsidR="00000D9F" w:rsidRPr="00010F83">
        <w:rPr>
          <w:rFonts w:ascii="Arial" w:hAnsi="Arial" w:cs="Arial"/>
          <w:bCs/>
        </w:rPr>
        <w:t>t</w:t>
      </w:r>
      <w:r w:rsidR="002F6F00" w:rsidRPr="00010F83">
        <w:rPr>
          <w:rFonts w:ascii="Arial" w:hAnsi="Arial" w:cs="Arial"/>
          <w:bCs/>
        </w:rPr>
        <w:t xml:space="preserve">. Bởi vậy, </w:t>
      </w:r>
      <w:r w:rsidR="00000D9F" w:rsidRPr="00010F83">
        <w:rPr>
          <w:rFonts w:ascii="Arial" w:hAnsi="Arial" w:cs="Arial"/>
          <w:bCs/>
        </w:rPr>
        <w:t>trừ phi</w:t>
      </w:r>
      <w:r w:rsidR="002F6F00" w:rsidRPr="00010F83">
        <w:rPr>
          <w:rFonts w:ascii="Arial" w:hAnsi="Arial" w:cs="Arial"/>
          <w:bCs/>
        </w:rPr>
        <w:t xml:space="preserve"> có </w:t>
      </w:r>
      <w:r w:rsidR="00000D9F" w:rsidRPr="00010F83">
        <w:rPr>
          <w:rFonts w:ascii="Arial" w:hAnsi="Arial" w:cs="Arial"/>
          <w:bCs/>
        </w:rPr>
        <w:t xml:space="preserve">một </w:t>
      </w:r>
      <w:r w:rsidR="002F6F00" w:rsidRPr="00010F83">
        <w:rPr>
          <w:rFonts w:ascii="Arial" w:hAnsi="Arial" w:cs="Arial"/>
          <w:bCs/>
        </w:rPr>
        <w:t xml:space="preserve">thỏa thuận rằng lợi nhuận của công ty liên kết sẽ không được phân phối trong tương lai </w:t>
      </w:r>
      <w:r w:rsidR="007D122E" w:rsidRPr="00010F83">
        <w:rPr>
          <w:rFonts w:ascii="Arial" w:hAnsi="Arial" w:cs="Arial"/>
          <w:bCs/>
        </w:rPr>
        <w:t>gần,</w:t>
      </w:r>
      <w:r w:rsidR="002F6F00" w:rsidRPr="00010F83">
        <w:rPr>
          <w:rFonts w:ascii="Arial" w:hAnsi="Arial" w:cs="Arial"/>
          <w:bCs/>
        </w:rPr>
        <w:t xml:space="preserve"> thì nhà đầu tư phải ghi nhận </w:t>
      </w:r>
      <w:r w:rsidR="00731917" w:rsidRPr="00010F83">
        <w:rPr>
          <w:rFonts w:ascii="Arial" w:hAnsi="Arial" w:cs="Arial"/>
          <w:bCs/>
        </w:rPr>
        <w:t>thuế TNDN</w:t>
      </w:r>
      <w:r w:rsidR="006805F0" w:rsidRPr="00010F83">
        <w:rPr>
          <w:rFonts w:ascii="Arial" w:hAnsi="Arial" w:cs="Arial"/>
          <w:bCs/>
        </w:rPr>
        <w:t xml:space="preserve"> hoãn lại phải trả</w:t>
      </w:r>
      <w:r w:rsidR="002F6F00" w:rsidRPr="00010F83">
        <w:rPr>
          <w:rFonts w:ascii="Arial" w:hAnsi="Arial" w:cs="Arial"/>
          <w:bCs/>
        </w:rPr>
        <w:t xml:space="preserve"> phát sinh từ khoản chênh lệch tạm thời chịu thuế gắn liền với khoản đầu tư của nhà đầu tư vào công ty liên kết. Trong một số trường hợp, nhà đầu tư có thể không xác định được</w:t>
      </w:r>
      <w:r w:rsidR="006E4F36" w:rsidRPr="00010F83">
        <w:rPr>
          <w:rFonts w:ascii="Arial" w:hAnsi="Arial" w:cs="Arial"/>
          <w:bCs/>
        </w:rPr>
        <w:t xml:space="preserve"> chính xác</w:t>
      </w:r>
      <w:r w:rsidR="002F6F00" w:rsidRPr="00010F83">
        <w:rPr>
          <w:rFonts w:ascii="Arial" w:hAnsi="Arial" w:cs="Arial"/>
          <w:bCs/>
        </w:rPr>
        <w:t xml:space="preserve"> số thuế sẽ phải trả </w:t>
      </w:r>
      <w:r w:rsidR="007D122E" w:rsidRPr="00010F83">
        <w:rPr>
          <w:rFonts w:ascii="Arial" w:hAnsi="Arial" w:cs="Arial"/>
          <w:bCs/>
        </w:rPr>
        <w:t xml:space="preserve">khi </w:t>
      </w:r>
      <w:proofErr w:type="gramStart"/>
      <w:r w:rsidR="002F6F00" w:rsidRPr="00010F83">
        <w:rPr>
          <w:rFonts w:ascii="Arial" w:hAnsi="Arial" w:cs="Arial"/>
          <w:bCs/>
        </w:rPr>
        <w:t>thu</w:t>
      </w:r>
      <w:proofErr w:type="gramEnd"/>
      <w:r w:rsidR="002F6F00" w:rsidRPr="00010F83">
        <w:rPr>
          <w:rFonts w:ascii="Arial" w:hAnsi="Arial" w:cs="Arial"/>
          <w:bCs/>
        </w:rPr>
        <w:t xml:space="preserve"> hồi giá vốn của khoản đầu tư vào công ty liên kết, nhưng có thể xác định được là số thuế đó sẽ bằng hoặc vượt một mức tối thiểu. Trường hợp này, </w:t>
      </w:r>
      <w:r w:rsidR="00731917" w:rsidRPr="00010F83">
        <w:rPr>
          <w:rFonts w:ascii="Arial" w:hAnsi="Arial" w:cs="Arial"/>
          <w:bCs/>
        </w:rPr>
        <w:t>thuế TNDN</w:t>
      </w:r>
      <w:r w:rsidR="006805F0" w:rsidRPr="00010F83">
        <w:rPr>
          <w:rFonts w:ascii="Arial" w:hAnsi="Arial" w:cs="Arial"/>
          <w:bCs/>
        </w:rPr>
        <w:t xml:space="preserve"> hoãn lại phải trả</w:t>
      </w:r>
      <w:r w:rsidR="002F6F00" w:rsidRPr="00010F83">
        <w:rPr>
          <w:rFonts w:ascii="Arial" w:hAnsi="Arial" w:cs="Arial"/>
          <w:bCs/>
        </w:rPr>
        <w:t xml:space="preserve"> được xác định </w:t>
      </w:r>
      <w:proofErr w:type="gramStart"/>
      <w:r w:rsidR="002F6F00" w:rsidRPr="00010F83">
        <w:rPr>
          <w:rFonts w:ascii="Arial" w:hAnsi="Arial" w:cs="Arial"/>
          <w:bCs/>
        </w:rPr>
        <w:t>theo</w:t>
      </w:r>
      <w:proofErr w:type="gramEnd"/>
      <w:r w:rsidR="002F6F00" w:rsidRPr="00010F83">
        <w:rPr>
          <w:rFonts w:ascii="Arial" w:hAnsi="Arial" w:cs="Arial"/>
          <w:bCs/>
        </w:rPr>
        <w:t xml:space="preserve"> mức tối thiểu đó.</w:t>
      </w:r>
    </w:p>
    <w:p w:rsidR="00C530A3" w:rsidRPr="00010F83" w:rsidRDefault="00C530A3" w:rsidP="00754265">
      <w:pPr>
        <w:autoSpaceDE w:val="0"/>
        <w:autoSpaceDN w:val="0"/>
        <w:adjustRightInd w:val="0"/>
        <w:spacing w:after="120" w:line="240" w:lineRule="auto"/>
        <w:ind w:left="720" w:hanging="720"/>
        <w:jc w:val="both"/>
        <w:rPr>
          <w:rFonts w:ascii="Arial" w:hAnsi="Arial" w:cs="Arial"/>
          <w:bCs/>
        </w:rPr>
      </w:pPr>
      <w:r w:rsidRPr="00010F83">
        <w:rPr>
          <w:rFonts w:ascii="Arial" w:hAnsi="Arial" w:cs="Arial"/>
          <w:bCs/>
        </w:rPr>
        <w:t>43.</w:t>
      </w:r>
      <w:r w:rsidRPr="00010F83">
        <w:rPr>
          <w:rFonts w:ascii="Arial" w:hAnsi="Arial" w:cs="Arial"/>
          <w:bCs/>
        </w:rPr>
        <w:tab/>
      </w:r>
      <w:r w:rsidR="002F6F00" w:rsidRPr="00010F83">
        <w:rPr>
          <w:rFonts w:ascii="Arial" w:hAnsi="Arial" w:cs="Arial"/>
          <w:bCs/>
        </w:rPr>
        <w:t xml:space="preserve">Thỏa thuận giữa các bên tham gia </w:t>
      </w:r>
      <w:r w:rsidR="00000D9F" w:rsidRPr="00010F83">
        <w:rPr>
          <w:rFonts w:ascii="Arial" w:hAnsi="Arial" w:cs="Arial"/>
          <w:bCs/>
        </w:rPr>
        <w:t xml:space="preserve">một </w:t>
      </w:r>
      <w:r w:rsidR="002F6F00" w:rsidRPr="00010F83">
        <w:rPr>
          <w:rFonts w:ascii="Arial" w:hAnsi="Arial" w:cs="Arial"/>
          <w:bCs/>
        </w:rPr>
        <w:t xml:space="preserve">thỏa thuận </w:t>
      </w:r>
      <w:proofErr w:type="gramStart"/>
      <w:r w:rsidR="00000D9F" w:rsidRPr="00010F83">
        <w:rPr>
          <w:rFonts w:ascii="Arial" w:hAnsi="Arial" w:cs="Arial"/>
          <w:bCs/>
        </w:rPr>
        <w:t>chung</w:t>
      </w:r>
      <w:proofErr w:type="gramEnd"/>
      <w:r w:rsidR="002F6F00" w:rsidRPr="00010F83">
        <w:rPr>
          <w:rFonts w:ascii="Arial" w:hAnsi="Arial" w:cs="Arial"/>
          <w:bCs/>
        </w:rPr>
        <w:t xml:space="preserve"> thường đề cập đến việc phân chia lợi nhuận và xác định việc quyết định phân chia này cần có sự đồng ý của tất cả các bên hay chỉ cần sự đồng ý của đa số </w:t>
      </w:r>
      <w:r w:rsidR="00000D9F" w:rsidRPr="00010F83">
        <w:rPr>
          <w:rFonts w:ascii="Arial" w:hAnsi="Arial" w:cs="Arial"/>
          <w:bCs/>
        </w:rPr>
        <w:t>bên tham gia trong thỏa thuận</w:t>
      </w:r>
      <w:r w:rsidR="002F6F00" w:rsidRPr="00010F83">
        <w:rPr>
          <w:rFonts w:ascii="Arial" w:hAnsi="Arial" w:cs="Arial"/>
          <w:bCs/>
        </w:rPr>
        <w:t xml:space="preserve">. Khi một bên </w:t>
      </w:r>
      <w:r w:rsidR="00000D9F" w:rsidRPr="00010F83">
        <w:rPr>
          <w:rFonts w:ascii="Arial" w:hAnsi="Arial" w:cs="Arial"/>
          <w:bCs/>
        </w:rPr>
        <w:t>tham gia trong thỏa thuận</w:t>
      </w:r>
      <w:r w:rsidR="002F6F00" w:rsidRPr="00010F83">
        <w:rPr>
          <w:rFonts w:ascii="Arial" w:hAnsi="Arial" w:cs="Arial"/>
          <w:bCs/>
        </w:rPr>
        <w:t xml:space="preserve"> có thể kiểm soát thời </w:t>
      </w:r>
      <w:r w:rsidR="0072756F" w:rsidRPr="00010F83">
        <w:rPr>
          <w:rFonts w:ascii="Arial" w:hAnsi="Arial" w:cs="Arial"/>
          <w:bCs/>
        </w:rPr>
        <w:t xml:space="preserve">điểm xảy ra </w:t>
      </w:r>
      <w:r w:rsidR="002F6F00" w:rsidRPr="00010F83">
        <w:rPr>
          <w:rFonts w:ascii="Arial" w:hAnsi="Arial" w:cs="Arial"/>
          <w:bCs/>
        </w:rPr>
        <w:t xml:space="preserve">của việc phân chia lợi nhuận từ thỏa thuận </w:t>
      </w:r>
      <w:proofErr w:type="gramStart"/>
      <w:r w:rsidR="006E4F36" w:rsidRPr="00010F83">
        <w:rPr>
          <w:rFonts w:ascii="Arial" w:hAnsi="Arial" w:cs="Arial"/>
          <w:bCs/>
        </w:rPr>
        <w:t>chung</w:t>
      </w:r>
      <w:proofErr w:type="gramEnd"/>
      <w:r w:rsidR="002F6F00" w:rsidRPr="00010F83">
        <w:rPr>
          <w:rFonts w:ascii="Arial" w:hAnsi="Arial" w:cs="Arial"/>
          <w:bCs/>
        </w:rPr>
        <w:t xml:space="preserve"> và có nhiều khả năng là lợi nhuận sẽ không được phân chia trong tương lai </w:t>
      </w:r>
      <w:r w:rsidR="0072756F" w:rsidRPr="00010F83">
        <w:rPr>
          <w:rFonts w:ascii="Arial" w:hAnsi="Arial" w:cs="Arial"/>
          <w:bCs/>
        </w:rPr>
        <w:t>gần</w:t>
      </w:r>
      <w:r w:rsidR="002F6F00" w:rsidRPr="00010F83">
        <w:rPr>
          <w:rFonts w:ascii="Arial" w:hAnsi="Arial" w:cs="Arial"/>
          <w:bCs/>
        </w:rPr>
        <w:t xml:space="preserve"> thì </w:t>
      </w:r>
      <w:r w:rsidR="00000D9F" w:rsidRPr="00010F83">
        <w:rPr>
          <w:rFonts w:ascii="Arial" w:hAnsi="Arial" w:cs="Arial"/>
          <w:bCs/>
        </w:rPr>
        <w:t xml:space="preserve">bên đó không ghi nhận </w:t>
      </w:r>
      <w:r w:rsidR="00731917" w:rsidRPr="00010F83">
        <w:rPr>
          <w:rFonts w:ascii="Arial" w:hAnsi="Arial" w:cs="Arial"/>
          <w:bCs/>
        </w:rPr>
        <w:t>thuế TNDN</w:t>
      </w:r>
      <w:r w:rsidR="006805F0" w:rsidRPr="00010F83">
        <w:rPr>
          <w:rFonts w:ascii="Arial" w:hAnsi="Arial" w:cs="Arial"/>
          <w:bCs/>
        </w:rPr>
        <w:t xml:space="preserve"> hoãn lại phải trả</w:t>
      </w:r>
      <w:r w:rsidR="002F6F00" w:rsidRPr="00010F83">
        <w:rPr>
          <w:rFonts w:ascii="Arial" w:hAnsi="Arial" w:cs="Arial"/>
          <w:bCs/>
        </w:rPr>
        <w:t>.</w:t>
      </w:r>
    </w:p>
    <w:p w:rsidR="002F6F00" w:rsidRPr="00010F83" w:rsidRDefault="00C530A3" w:rsidP="00754265">
      <w:pPr>
        <w:autoSpaceDE w:val="0"/>
        <w:autoSpaceDN w:val="0"/>
        <w:adjustRightInd w:val="0"/>
        <w:spacing w:after="120" w:line="240" w:lineRule="auto"/>
        <w:ind w:left="720" w:hanging="720"/>
        <w:jc w:val="both"/>
        <w:rPr>
          <w:rFonts w:ascii="Arial" w:hAnsi="Arial" w:cs="Arial"/>
          <w:bCs/>
        </w:rPr>
      </w:pPr>
      <w:r w:rsidRPr="00010F83">
        <w:rPr>
          <w:rFonts w:ascii="Arial" w:hAnsi="Arial" w:cs="Arial"/>
          <w:bCs/>
        </w:rPr>
        <w:t>44.</w:t>
      </w:r>
      <w:r w:rsidRPr="00010F83">
        <w:rPr>
          <w:rFonts w:ascii="Arial" w:hAnsi="Arial" w:cs="Arial"/>
          <w:bCs/>
        </w:rPr>
        <w:tab/>
      </w:r>
      <w:r w:rsidR="002F6F00" w:rsidRPr="00010F83">
        <w:rPr>
          <w:rFonts w:ascii="Arial" w:hAnsi="Arial" w:cs="Arial"/>
          <w:bCs/>
        </w:rPr>
        <w:t xml:space="preserve">Đơn vị phải ghi nhận </w:t>
      </w:r>
      <w:r w:rsidR="006805F0" w:rsidRPr="00010F83">
        <w:rPr>
          <w:rFonts w:ascii="Arial" w:hAnsi="Arial" w:cs="Arial"/>
          <w:bCs/>
        </w:rPr>
        <w:t xml:space="preserve">tài sản </w:t>
      </w:r>
      <w:r w:rsidR="00731917" w:rsidRPr="00010F83">
        <w:rPr>
          <w:rFonts w:ascii="Arial" w:hAnsi="Arial" w:cs="Arial"/>
          <w:bCs/>
        </w:rPr>
        <w:t>thuế TNDN</w:t>
      </w:r>
      <w:r w:rsidR="006805F0" w:rsidRPr="00010F83">
        <w:rPr>
          <w:rFonts w:ascii="Arial" w:hAnsi="Arial" w:cs="Arial"/>
          <w:bCs/>
        </w:rPr>
        <w:t xml:space="preserve"> hoãn lại</w:t>
      </w:r>
      <w:r w:rsidR="002F6F00" w:rsidRPr="00010F83">
        <w:rPr>
          <w:rFonts w:ascii="Arial" w:hAnsi="Arial" w:cs="Arial"/>
          <w:bCs/>
        </w:rPr>
        <w:t xml:space="preserve"> cho tất cả các chênh lệch tạm thời được khấu trừ phát sinh từ các khoản đầu tư vào các công ty con, chi nhánh, công ty liên kết và lợi ích trong các thỏa thuận </w:t>
      </w:r>
      <w:r w:rsidR="00000D9F" w:rsidRPr="00010F83">
        <w:rPr>
          <w:rFonts w:ascii="Arial" w:hAnsi="Arial" w:cs="Arial"/>
          <w:bCs/>
        </w:rPr>
        <w:t>chung</w:t>
      </w:r>
      <w:r w:rsidR="002F6F00" w:rsidRPr="00010F83">
        <w:rPr>
          <w:rFonts w:ascii="Arial" w:hAnsi="Arial" w:cs="Arial"/>
          <w:bCs/>
        </w:rPr>
        <w:t xml:space="preserve"> </w:t>
      </w:r>
      <w:r w:rsidR="00000D9F" w:rsidRPr="00010F83">
        <w:rPr>
          <w:rFonts w:ascii="Arial" w:hAnsi="Arial" w:cs="Arial"/>
          <w:bCs/>
        </w:rPr>
        <w:t xml:space="preserve">khi và </w:t>
      </w:r>
      <w:r w:rsidR="002F6F00" w:rsidRPr="00010F83">
        <w:rPr>
          <w:rFonts w:ascii="Arial" w:hAnsi="Arial" w:cs="Arial"/>
          <w:bCs/>
        </w:rPr>
        <w:t>chỉ khi có nhiều khả năng là:</w:t>
      </w:r>
    </w:p>
    <w:p w:rsidR="002F6F00" w:rsidRPr="00010F83" w:rsidRDefault="002F6F00" w:rsidP="00754265">
      <w:pPr>
        <w:pStyle w:val="ListParagraph"/>
        <w:numPr>
          <w:ilvl w:val="0"/>
          <w:numId w:val="25"/>
        </w:numPr>
        <w:autoSpaceDE w:val="0"/>
        <w:autoSpaceDN w:val="0"/>
        <w:adjustRightInd w:val="0"/>
        <w:spacing w:after="120"/>
        <w:jc w:val="both"/>
        <w:rPr>
          <w:rFonts w:ascii="Arial" w:hAnsi="Arial" w:cs="Arial"/>
          <w:bCs/>
          <w:sz w:val="22"/>
          <w:szCs w:val="22"/>
        </w:rPr>
      </w:pPr>
      <w:r w:rsidRPr="00010F83">
        <w:rPr>
          <w:rFonts w:ascii="Arial" w:hAnsi="Arial" w:cs="Arial"/>
          <w:bCs/>
          <w:sz w:val="22"/>
          <w:szCs w:val="22"/>
        </w:rPr>
        <w:t xml:space="preserve">Chênh lệch tạm thời sẽ </w:t>
      </w:r>
      <w:r w:rsidR="0072756F" w:rsidRPr="00010F83">
        <w:rPr>
          <w:rFonts w:ascii="Arial" w:hAnsi="Arial" w:cs="Arial"/>
          <w:bCs/>
          <w:sz w:val="22"/>
          <w:szCs w:val="22"/>
        </w:rPr>
        <w:t xml:space="preserve">được </w:t>
      </w:r>
      <w:r w:rsidRPr="00010F83">
        <w:rPr>
          <w:rFonts w:ascii="Arial" w:hAnsi="Arial" w:cs="Arial"/>
          <w:bCs/>
          <w:sz w:val="22"/>
          <w:szCs w:val="22"/>
        </w:rPr>
        <w:t xml:space="preserve">hoàn nhập trong tương lai </w:t>
      </w:r>
      <w:r w:rsidR="0072756F" w:rsidRPr="00010F83">
        <w:rPr>
          <w:rFonts w:ascii="Arial" w:hAnsi="Arial" w:cs="Arial"/>
          <w:bCs/>
          <w:sz w:val="22"/>
          <w:szCs w:val="22"/>
        </w:rPr>
        <w:t>gần</w:t>
      </w:r>
      <w:r w:rsidRPr="00010F83">
        <w:rPr>
          <w:rFonts w:ascii="Arial" w:hAnsi="Arial" w:cs="Arial"/>
          <w:bCs/>
          <w:sz w:val="22"/>
          <w:szCs w:val="22"/>
        </w:rPr>
        <w:t>; và</w:t>
      </w:r>
    </w:p>
    <w:p w:rsidR="00C530A3" w:rsidRPr="00010F83" w:rsidRDefault="002F6F00" w:rsidP="00754265">
      <w:pPr>
        <w:pStyle w:val="ListParagraph"/>
        <w:numPr>
          <w:ilvl w:val="0"/>
          <w:numId w:val="25"/>
        </w:numPr>
        <w:autoSpaceDE w:val="0"/>
        <w:autoSpaceDN w:val="0"/>
        <w:adjustRightInd w:val="0"/>
        <w:spacing w:after="120"/>
        <w:jc w:val="both"/>
        <w:rPr>
          <w:rFonts w:ascii="Arial" w:hAnsi="Arial" w:cs="Arial"/>
          <w:bCs/>
          <w:sz w:val="22"/>
          <w:szCs w:val="22"/>
        </w:rPr>
      </w:pPr>
      <w:r w:rsidRPr="00010F83">
        <w:rPr>
          <w:rFonts w:ascii="Arial" w:hAnsi="Arial" w:cs="Arial"/>
          <w:bCs/>
          <w:sz w:val="22"/>
          <w:szCs w:val="22"/>
        </w:rPr>
        <w:t xml:space="preserve">Có lợi nhuận chịu thuế </w:t>
      </w:r>
      <w:r w:rsidR="00000D9F" w:rsidRPr="00010F83">
        <w:rPr>
          <w:rFonts w:ascii="Arial" w:hAnsi="Arial" w:cs="Arial"/>
          <w:bCs/>
          <w:sz w:val="22"/>
          <w:szCs w:val="22"/>
        </w:rPr>
        <w:t xml:space="preserve">trong tương lai </w:t>
      </w:r>
      <w:r w:rsidRPr="00010F83">
        <w:rPr>
          <w:rFonts w:ascii="Arial" w:hAnsi="Arial" w:cs="Arial"/>
          <w:bCs/>
          <w:sz w:val="22"/>
          <w:szCs w:val="22"/>
        </w:rPr>
        <w:t>để sử dụng được khoản chênh lệch tạm thời đó.</w:t>
      </w:r>
    </w:p>
    <w:p w:rsidR="00C530A3" w:rsidRPr="00010F83" w:rsidRDefault="00C530A3" w:rsidP="00754265">
      <w:pPr>
        <w:autoSpaceDE w:val="0"/>
        <w:autoSpaceDN w:val="0"/>
        <w:adjustRightInd w:val="0"/>
        <w:spacing w:after="120" w:line="240" w:lineRule="auto"/>
        <w:ind w:left="720" w:hanging="720"/>
        <w:jc w:val="both"/>
        <w:rPr>
          <w:rFonts w:ascii="Arial" w:hAnsi="Arial" w:cs="Arial"/>
          <w:bCs/>
        </w:rPr>
      </w:pPr>
      <w:r w:rsidRPr="00010F83">
        <w:rPr>
          <w:rFonts w:ascii="Arial" w:hAnsi="Arial" w:cs="Arial"/>
          <w:bCs/>
        </w:rPr>
        <w:t>45.</w:t>
      </w:r>
      <w:r w:rsidRPr="00010F83">
        <w:rPr>
          <w:rFonts w:ascii="Arial" w:hAnsi="Arial" w:cs="Arial"/>
          <w:bCs/>
        </w:rPr>
        <w:tab/>
      </w:r>
      <w:r w:rsidR="000B00E3" w:rsidRPr="00010F83">
        <w:rPr>
          <w:rFonts w:ascii="Arial" w:hAnsi="Arial" w:cs="Arial"/>
          <w:bCs/>
        </w:rPr>
        <w:t xml:space="preserve">Để xác định có phải ghi nhận </w:t>
      </w:r>
      <w:r w:rsidR="006805F0" w:rsidRPr="00010F83">
        <w:rPr>
          <w:rFonts w:ascii="Arial" w:hAnsi="Arial" w:cs="Arial"/>
          <w:bCs/>
        </w:rPr>
        <w:t xml:space="preserve">tài sản </w:t>
      </w:r>
      <w:r w:rsidR="00731917" w:rsidRPr="00010F83">
        <w:rPr>
          <w:rFonts w:ascii="Arial" w:hAnsi="Arial" w:cs="Arial"/>
          <w:bCs/>
        </w:rPr>
        <w:t>thuế TNDN</w:t>
      </w:r>
      <w:r w:rsidR="006805F0" w:rsidRPr="00010F83">
        <w:rPr>
          <w:rFonts w:ascii="Arial" w:hAnsi="Arial" w:cs="Arial"/>
          <w:bCs/>
        </w:rPr>
        <w:t xml:space="preserve"> hoãn lại</w:t>
      </w:r>
      <w:r w:rsidR="000B00E3" w:rsidRPr="00010F83">
        <w:rPr>
          <w:rFonts w:ascii="Arial" w:hAnsi="Arial" w:cs="Arial"/>
          <w:bCs/>
        </w:rPr>
        <w:t xml:space="preserve"> cho các chênh lệch tạm thời được khấu trừ gắn liền với các khoản đầu tư vào các công ty con, chi nhánh, công ty liên kết và lợi ích trong các thỏa thuận hợp tác hay không, đơn vị cần xem xét quy định ở các đoạn từ 28 đến 31.</w:t>
      </w:r>
    </w:p>
    <w:p w:rsidR="000B00E3" w:rsidRPr="00010F83" w:rsidRDefault="000B00E3" w:rsidP="00391C7C">
      <w:pPr>
        <w:autoSpaceDE w:val="0"/>
        <w:autoSpaceDN w:val="0"/>
        <w:adjustRightInd w:val="0"/>
        <w:spacing w:before="240" w:after="120" w:line="240" w:lineRule="auto"/>
        <w:ind w:firstLine="720"/>
        <w:jc w:val="both"/>
        <w:rPr>
          <w:rFonts w:ascii="Arial" w:hAnsi="Arial" w:cs="Arial"/>
          <w:b/>
          <w:bCs/>
        </w:rPr>
      </w:pPr>
      <w:r w:rsidRPr="00010F83">
        <w:rPr>
          <w:rFonts w:ascii="Arial" w:hAnsi="Arial" w:cs="Arial"/>
          <w:b/>
          <w:bCs/>
        </w:rPr>
        <w:t>Xác định giá trị</w:t>
      </w:r>
    </w:p>
    <w:p w:rsidR="00C530A3" w:rsidRPr="00010F83" w:rsidRDefault="007B64CF" w:rsidP="006E4F36">
      <w:pPr>
        <w:autoSpaceDE w:val="0"/>
        <w:autoSpaceDN w:val="0"/>
        <w:adjustRightInd w:val="0"/>
        <w:spacing w:before="360" w:after="120" w:line="240" w:lineRule="auto"/>
        <w:ind w:left="720" w:hanging="720"/>
        <w:jc w:val="both"/>
        <w:rPr>
          <w:rFonts w:ascii="Arial" w:hAnsi="Arial" w:cs="Arial"/>
          <w:b/>
          <w:bCs/>
        </w:rPr>
      </w:pPr>
      <w:r w:rsidRPr="00010F83">
        <w:rPr>
          <w:rFonts w:ascii="Arial" w:hAnsi="Arial" w:cs="Arial"/>
          <w:b/>
          <w:bCs/>
          <w:noProof/>
        </w:rPr>
        <w:pict>
          <v:line id="Straight Connector 16" o:spid="_x0000_s1036" style="position:absolute;left:0;text-align:left;z-index:251687936;visibility:visible;mso-wrap-style:square;mso-wrap-distance-left:9pt;mso-wrap-distance-top:0;mso-wrap-distance-right:9pt;mso-wrap-distance-bottom:0;mso-position-horizontal:absolute;mso-position-horizontal-relative:text;mso-position-vertical:absolute;mso-position-vertical-relative:text" from="36pt,.9pt" to="467.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" strokecolor="black [3200]" strokeweight=".5pt">
            <v:stroke joinstyle="miter"/>
          </v:line>
        </w:pict>
      </w:r>
      <w:r w:rsidR="00C530A3" w:rsidRPr="00010F83">
        <w:rPr>
          <w:rFonts w:ascii="Arial" w:hAnsi="Arial" w:cs="Arial"/>
          <w:b/>
          <w:bCs/>
        </w:rPr>
        <w:t>46.</w:t>
      </w:r>
      <w:r w:rsidR="00C530A3" w:rsidRPr="00010F83">
        <w:rPr>
          <w:rFonts w:ascii="Arial" w:hAnsi="Arial" w:cs="Arial"/>
          <w:bCs/>
        </w:rPr>
        <w:tab/>
      </w:r>
      <w:r w:rsidR="00731917" w:rsidRPr="00010F83">
        <w:rPr>
          <w:rFonts w:ascii="Arial" w:hAnsi="Arial" w:cs="Arial"/>
          <w:b/>
          <w:bCs/>
        </w:rPr>
        <w:t>Thuế TNDN</w:t>
      </w:r>
      <w:r w:rsidR="00744F32" w:rsidRPr="00010F83">
        <w:rPr>
          <w:rFonts w:ascii="Arial" w:hAnsi="Arial" w:cs="Arial"/>
          <w:b/>
          <w:bCs/>
        </w:rPr>
        <w:t xml:space="preserve"> </w:t>
      </w:r>
      <w:r w:rsidR="000B00E3" w:rsidRPr="00010F83">
        <w:rPr>
          <w:rFonts w:ascii="Arial" w:hAnsi="Arial" w:cs="Arial"/>
          <w:b/>
          <w:bCs/>
        </w:rPr>
        <w:t xml:space="preserve">hiện hành phải nộp (hoặc tài sản </w:t>
      </w:r>
      <w:r w:rsidR="00731917" w:rsidRPr="00010F83">
        <w:rPr>
          <w:rFonts w:ascii="Arial" w:hAnsi="Arial" w:cs="Arial"/>
          <w:b/>
          <w:bCs/>
        </w:rPr>
        <w:t>thuế TNDN</w:t>
      </w:r>
      <w:r w:rsidR="00744F32" w:rsidRPr="00010F83">
        <w:rPr>
          <w:rFonts w:ascii="Arial" w:hAnsi="Arial" w:cs="Arial"/>
          <w:b/>
          <w:bCs/>
        </w:rPr>
        <w:t xml:space="preserve"> </w:t>
      </w:r>
      <w:r w:rsidR="000B00E3" w:rsidRPr="00010F83">
        <w:rPr>
          <w:rFonts w:ascii="Arial" w:hAnsi="Arial" w:cs="Arial"/>
          <w:b/>
          <w:bCs/>
        </w:rPr>
        <w:t xml:space="preserve">hiện hành) cho kỳ hiện hành và các kỳ trước được xác định bằng giá trị dự kiến phải nộp cho (hoặc </w:t>
      </w:r>
      <w:r w:rsidR="00BE781B" w:rsidRPr="00010F83">
        <w:rPr>
          <w:rFonts w:ascii="Arial" w:hAnsi="Arial" w:cs="Arial"/>
          <w:b/>
          <w:bCs/>
        </w:rPr>
        <w:t xml:space="preserve">có thể </w:t>
      </w:r>
      <w:r w:rsidR="000B00E3" w:rsidRPr="00010F83">
        <w:rPr>
          <w:rFonts w:ascii="Arial" w:hAnsi="Arial" w:cs="Arial"/>
          <w:b/>
          <w:bCs/>
        </w:rPr>
        <w:t xml:space="preserve">thu hồi </w:t>
      </w:r>
      <w:r w:rsidR="00BE781B" w:rsidRPr="00010F83">
        <w:rPr>
          <w:rFonts w:ascii="Arial" w:hAnsi="Arial" w:cs="Arial"/>
          <w:b/>
          <w:bCs/>
        </w:rPr>
        <w:t xml:space="preserve">được </w:t>
      </w:r>
      <w:r w:rsidR="000B00E3" w:rsidRPr="00010F83">
        <w:rPr>
          <w:rFonts w:ascii="Arial" w:hAnsi="Arial" w:cs="Arial"/>
          <w:b/>
          <w:bCs/>
        </w:rPr>
        <w:t xml:space="preserve">từ) cơ quan thuế, sử dụng các mức thuế suất (và các </w:t>
      </w:r>
      <w:r w:rsidR="00BE781B" w:rsidRPr="00010F83">
        <w:rPr>
          <w:rFonts w:ascii="Arial" w:hAnsi="Arial" w:cs="Arial"/>
          <w:b/>
          <w:bCs/>
        </w:rPr>
        <w:t>qui định về</w:t>
      </w:r>
      <w:r w:rsidR="000B00E3" w:rsidRPr="00010F83">
        <w:rPr>
          <w:rFonts w:ascii="Arial" w:hAnsi="Arial" w:cs="Arial"/>
          <w:b/>
          <w:bCs/>
        </w:rPr>
        <w:t xml:space="preserve"> thuế</w:t>
      </w:r>
      <w:r w:rsidR="00BE781B" w:rsidRPr="00010F83">
        <w:rPr>
          <w:rFonts w:ascii="Arial" w:hAnsi="Arial" w:cs="Arial"/>
          <w:b/>
          <w:bCs/>
        </w:rPr>
        <w:t xml:space="preserve">) </w:t>
      </w:r>
      <w:r w:rsidR="000B00E3" w:rsidRPr="00010F83">
        <w:rPr>
          <w:rFonts w:ascii="Arial" w:hAnsi="Arial" w:cs="Arial"/>
          <w:b/>
          <w:bCs/>
        </w:rPr>
        <w:t>có hiệu lực hoặc cơ bản có hiệu lực tại ngày kết thúc kỳ báo cáo.</w:t>
      </w:r>
    </w:p>
    <w:p w:rsidR="00C530A3" w:rsidRPr="00010F83" w:rsidRDefault="00C530A3" w:rsidP="00391C7C">
      <w:pPr>
        <w:autoSpaceDE w:val="0"/>
        <w:autoSpaceDN w:val="0"/>
        <w:adjustRightInd w:val="0"/>
        <w:spacing w:after="120" w:line="240" w:lineRule="auto"/>
        <w:ind w:left="720" w:hanging="720"/>
        <w:jc w:val="both"/>
        <w:rPr>
          <w:rFonts w:ascii="Arial" w:hAnsi="Arial" w:cs="Arial"/>
          <w:b/>
          <w:bCs/>
        </w:rPr>
      </w:pPr>
      <w:r w:rsidRPr="00010F83">
        <w:rPr>
          <w:rFonts w:ascii="Arial" w:hAnsi="Arial" w:cs="Arial"/>
          <w:b/>
          <w:bCs/>
        </w:rPr>
        <w:t>47.</w:t>
      </w:r>
      <w:r w:rsidRPr="00010F83">
        <w:rPr>
          <w:rFonts w:ascii="Arial" w:hAnsi="Arial" w:cs="Arial"/>
          <w:b/>
          <w:bCs/>
        </w:rPr>
        <w:tab/>
      </w:r>
      <w:r w:rsidR="006805F0" w:rsidRPr="00010F83">
        <w:rPr>
          <w:rFonts w:ascii="Arial" w:hAnsi="Arial" w:cs="Arial"/>
          <w:b/>
          <w:bCs/>
        </w:rPr>
        <w:t xml:space="preserve">Tài sản </w:t>
      </w:r>
      <w:r w:rsidR="00731917" w:rsidRPr="00010F83">
        <w:rPr>
          <w:rFonts w:ascii="Arial" w:hAnsi="Arial" w:cs="Arial"/>
          <w:b/>
          <w:bCs/>
        </w:rPr>
        <w:t>thuế TNDN</w:t>
      </w:r>
      <w:r w:rsidR="006805F0" w:rsidRPr="00010F83">
        <w:rPr>
          <w:rFonts w:ascii="Arial" w:hAnsi="Arial" w:cs="Arial"/>
          <w:b/>
          <w:bCs/>
        </w:rPr>
        <w:t xml:space="preserve"> hoãn lại</w:t>
      </w:r>
      <w:r w:rsidR="000B00E3" w:rsidRPr="00010F83">
        <w:rPr>
          <w:rFonts w:ascii="Arial" w:hAnsi="Arial" w:cs="Arial"/>
          <w:b/>
          <w:bCs/>
        </w:rPr>
        <w:t xml:space="preserve"> và </w:t>
      </w:r>
      <w:r w:rsidR="00731917" w:rsidRPr="00010F83">
        <w:rPr>
          <w:rFonts w:ascii="Arial" w:hAnsi="Arial" w:cs="Arial"/>
          <w:b/>
          <w:bCs/>
        </w:rPr>
        <w:t>thuế TNDN</w:t>
      </w:r>
      <w:r w:rsidR="006805F0" w:rsidRPr="00010F83">
        <w:rPr>
          <w:rFonts w:ascii="Arial" w:hAnsi="Arial" w:cs="Arial"/>
          <w:b/>
          <w:bCs/>
        </w:rPr>
        <w:t xml:space="preserve"> hoãn lại phải trả</w:t>
      </w:r>
      <w:r w:rsidR="000B00E3" w:rsidRPr="00010F83">
        <w:rPr>
          <w:rFonts w:ascii="Arial" w:hAnsi="Arial" w:cs="Arial"/>
          <w:b/>
          <w:bCs/>
        </w:rPr>
        <w:t xml:space="preserve"> phải được xác định theo thuế suất dự tính sẽ áp dụng cho kỳ mà tài sản được thu hồi hay nợ phải trả được thanh toán, dựa trên các mức thuế suất (và các </w:t>
      </w:r>
      <w:r w:rsidR="00BE781B" w:rsidRPr="00010F83">
        <w:rPr>
          <w:rFonts w:ascii="Arial" w:hAnsi="Arial" w:cs="Arial"/>
          <w:b/>
          <w:bCs/>
        </w:rPr>
        <w:t>qui định về</w:t>
      </w:r>
      <w:r w:rsidR="000B00E3" w:rsidRPr="00010F83">
        <w:rPr>
          <w:rFonts w:ascii="Arial" w:hAnsi="Arial" w:cs="Arial"/>
          <w:b/>
          <w:bCs/>
        </w:rPr>
        <w:t xml:space="preserve"> thuế</w:t>
      </w:r>
      <w:r w:rsidR="00BE781B" w:rsidRPr="00010F83">
        <w:rPr>
          <w:rFonts w:ascii="Arial" w:hAnsi="Arial" w:cs="Arial"/>
          <w:b/>
          <w:bCs/>
        </w:rPr>
        <w:t>)</w:t>
      </w:r>
      <w:r w:rsidR="000B00E3" w:rsidRPr="00010F83">
        <w:rPr>
          <w:rFonts w:ascii="Arial" w:hAnsi="Arial" w:cs="Arial"/>
          <w:b/>
          <w:bCs/>
        </w:rPr>
        <w:t xml:space="preserve"> có hiệu lực hoặc cơ bản có hiệu lực tại ngày kết thúc kỳ báo cáo.</w:t>
      </w:r>
    </w:p>
    <w:p w:rsidR="00391C7C" w:rsidRPr="00010F83" w:rsidRDefault="00C530A3" w:rsidP="00391C7C">
      <w:pPr>
        <w:autoSpaceDE w:val="0"/>
        <w:autoSpaceDN w:val="0"/>
        <w:adjustRightInd w:val="0"/>
        <w:spacing w:after="120" w:line="240" w:lineRule="auto"/>
        <w:ind w:left="720" w:hanging="720"/>
        <w:jc w:val="both"/>
        <w:rPr>
          <w:rFonts w:ascii="Arial" w:hAnsi="Arial" w:cs="Arial"/>
          <w:bCs/>
        </w:rPr>
      </w:pPr>
      <w:r w:rsidRPr="00010F83">
        <w:rPr>
          <w:rFonts w:ascii="Arial" w:hAnsi="Arial" w:cs="Arial"/>
          <w:bCs/>
        </w:rPr>
        <w:t>48.</w:t>
      </w:r>
      <w:r w:rsidRPr="00010F83">
        <w:rPr>
          <w:rFonts w:ascii="Arial" w:hAnsi="Arial" w:cs="Arial"/>
          <w:bCs/>
        </w:rPr>
        <w:tab/>
      </w:r>
      <w:r w:rsidR="000B00E3" w:rsidRPr="00010F83">
        <w:rPr>
          <w:rFonts w:ascii="Arial" w:hAnsi="Arial" w:cs="Arial"/>
          <w:bCs/>
        </w:rPr>
        <w:t xml:space="preserve">Tài sản </w:t>
      </w:r>
      <w:r w:rsidR="00731917" w:rsidRPr="00010F83">
        <w:rPr>
          <w:rFonts w:ascii="Arial" w:hAnsi="Arial" w:cs="Arial"/>
          <w:bCs/>
        </w:rPr>
        <w:t>thuế TNDN</w:t>
      </w:r>
      <w:r w:rsidR="00744F32" w:rsidRPr="00010F83">
        <w:rPr>
          <w:rFonts w:ascii="Arial" w:hAnsi="Arial" w:cs="Arial"/>
          <w:bCs/>
        </w:rPr>
        <w:t xml:space="preserve"> </w:t>
      </w:r>
      <w:r w:rsidR="000B00E3" w:rsidRPr="00010F83">
        <w:rPr>
          <w:rFonts w:ascii="Arial" w:hAnsi="Arial" w:cs="Arial"/>
          <w:bCs/>
        </w:rPr>
        <w:t xml:space="preserve">hiện hành và </w:t>
      </w:r>
      <w:r w:rsidR="00744F32" w:rsidRPr="00010F83">
        <w:rPr>
          <w:rFonts w:ascii="Arial" w:hAnsi="Arial" w:cs="Arial"/>
          <w:bCs/>
        </w:rPr>
        <w:t xml:space="preserve">tài sản </w:t>
      </w:r>
      <w:r w:rsidR="00731917" w:rsidRPr="00010F83">
        <w:rPr>
          <w:rFonts w:ascii="Arial" w:hAnsi="Arial" w:cs="Arial"/>
          <w:bCs/>
        </w:rPr>
        <w:t>thuế TNDN</w:t>
      </w:r>
      <w:r w:rsidR="00744F32" w:rsidRPr="00010F83">
        <w:rPr>
          <w:rFonts w:ascii="Arial" w:hAnsi="Arial" w:cs="Arial"/>
          <w:bCs/>
        </w:rPr>
        <w:t xml:space="preserve"> </w:t>
      </w:r>
      <w:r w:rsidR="000B00E3" w:rsidRPr="00010F83">
        <w:rPr>
          <w:rFonts w:ascii="Arial" w:hAnsi="Arial" w:cs="Arial"/>
          <w:bCs/>
        </w:rPr>
        <w:t xml:space="preserve">hoãn lại cũng như </w:t>
      </w:r>
      <w:r w:rsidR="00731917" w:rsidRPr="00010F83">
        <w:rPr>
          <w:rFonts w:ascii="Arial" w:hAnsi="Arial" w:cs="Arial"/>
          <w:bCs/>
        </w:rPr>
        <w:t>thuế TNDN</w:t>
      </w:r>
      <w:r w:rsidR="00744F32" w:rsidRPr="00010F83">
        <w:rPr>
          <w:rFonts w:ascii="Arial" w:hAnsi="Arial" w:cs="Arial"/>
          <w:bCs/>
        </w:rPr>
        <w:t xml:space="preserve"> </w:t>
      </w:r>
      <w:r w:rsidR="000B00E3" w:rsidRPr="00010F83">
        <w:rPr>
          <w:rFonts w:ascii="Arial" w:hAnsi="Arial" w:cs="Arial"/>
          <w:bCs/>
        </w:rPr>
        <w:t xml:space="preserve">hiện hành </w:t>
      </w:r>
      <w:r w:rsidR="00744F32" w:rsidRPr="00010F83">
        <w:rPr>
          <w:rFonts w:ascii="Arial" w:hAnsi="Arial" w:cs="Arial"/>
          <w:bCs/>
        </w:rPr>
        <w:t xml:space="preserve">phải </w:t>
      </w:r>
      <w:r w:rsidR="00BF6B2C" w:rsidRPr="00010F83">
        <w:rPr>
          <w:rFonts w:ascii="Arial" w:hAnsi="Arial" w:cs="Arial"/>
          <w:bCs/>
        </w:rPr>
        <w:t xml:space="preserve">trả </w:t>
      </w:r>
      <w:r w:rsidR="000B00E3" w:rsidRPr="00010F83">
        <w:rPr>
          <w:rFonts w:ascii="Arial" w:hAnsi="Arial" w:cs="Arial"/>
          <w:bCs/>
        </w:rPr>
        <w:t xml:space="preserve">và </w:t>
      </w:r>
      <w:r w:rsidR="00731917" w:rsidRPr="00010F83">
        <w:rPr>
          <w:rFonts w:ascii="Arial" w:hAnsi="Arial" w:cs="Arial"/>
          <w:bCs/>
        </w:rPr>
        <w:t>thuế TNDN</w:t>
      </w:r>
      <w:r w:rsidR="006805F0" w:rsidRPr="00010F83">
        <w:rPr>
          <w:rFonts w:ascii="Arial" w:hAnsi="Arial" w:cs="Arial"/>
          <w:bCs/>
        </w:rPr>
        <w:t xml:space="preserve"> hoãn lại phải trả</w:t>
      </w:r>
      <w:r w:rsidR="000B00E3" w:rsidRPr="00010F83">
        <w:rPr>
          <w:rFonts w:ascii="Arial" w:hAnsi="Arial" w:cs="Arial"/>
          <w:bCs/>
        </w:rPr>
        <w:t xml:space="preserve"> thường được tính dựa trên thuế suất (và </w:t>
      </w:r>
      <w:r w:rsidR="00744F32" w:rsidRPr="00010F83">
        <w:rPr>
          <w:rFonts w:ascii="Arial" w:hAnsi="Arial" w:cs="Arial"/>
          <w:bCs/>
        </w:rPr>
        <w:t>các qui định</w:t>
      </w:r>
      <w:r w:rsidR="000B00E3" w:rsidRPr="00010F83">
        <w:rPr>
          <w:rFonts w:ascii="Arial" w:hAnsi="Arial" w:cs="Arial"/>
          <w:bCs/>
        </w:rPr>
        <w:t xml:space="preserve"> thuế) </w:t>
      </w:r>
      <w:r w:rsidR="00BF6B2C" w:rsidRPr="00010F83">
        <w:rPr>
          <w:rFonts w:ascii="Arial" w:hAnsi="Arial" w:cs="Arial"/>
          <w:bCs/>
        </w:rPr>
        <w:t>có hiệu lực</w:t>
      </w:r>
      <w:r w:rsidR="000B00E3" w:rsidRPr="00010F83">
        <w:rPr>
          <w:rFonts w:ascii="Arial" w:hAnsi="Arial" w:cs="Arial"/>
          <w:bCs/>
        </w:rPr>
        <w:t xml:space="preserve">. </w:t>
      </w:r>
      <w:proofErr w:type="gramStart"/>
      <w:r w:rsidR="000B00E3" w:rsidRPr="00010F83">
        <w:rPr>
          <w:rFonts w:ascii="Arial" w:hAnsi="Arial" w:cs="Arial"/>
          <w:bCs/>
        </w:rPr>
        <w:t xml:space="preserve">Tuy nhiên, ở một số </w:t>
      </w:r>
      <w:r w:rsidR="00BF6B2C" w:rsidRPr="00010F83">
        <w:rPr>
          <w:rFonts w:ascii="Arial" w:hAnsi="Arial" w:cs="Arial"/>
          <w:bCs/>
        </w:rPr>
        <w:t>khu vực</w:t>
      </w:r>
      <w:r w:rsidR="000B00E3" w:rsidRPr="00010F83">
        <w:rPr>
          <w:rFonts w:ascii="Arial" w:hAnsi="Arial" w:cs="Arial"/>
          <w:bCs/>
        </w:rPr>
        <w:t xml:space="preserve">, </w:t>
      </w:r>
      <w:r w:rsidR="007B64CF" w:rsidRPr="00010F83">
        <w:rPr>
          <w:rFonts w:ascii="Arial" w:hAnsi="Arial" w:cs="Arial"/>
          <w:bCs/>
        </w:rPr>
        <w:t>sẽ mất một vài tháng để mức thuế suất (và các quy định về thuế) mới có hiệu lực kể từ thời điểm được Chính phủ ban hành</w:t>
      </w:r>
      <w:r w:rsidR="000B00E3" w:rsidRPr="00010F83">
        <w:rPr>
          <w:rFonts w:ascii="Arial" w:hAnsi="Arial" w:cs="Arial"/>
          <w:bCs/>
        </w:rPr>
        <w:t>.</w:t>
      </w:r>
      <w:proofErr w:type="gramEnd"/>
      <w:r w:rsidR="000B00E3" w:rsidRPr="00010F83">
        <w:rPr>
          <w:rFonts w:ascii="Arial" w:hAnsi="Arial" w:cs="Arial"/>
          <w:bCs/>
        </w:rPr>
        <w:t xml:space="preserve"> Trong những trường hợp này, tài sản và nợ phải trả </w:t>
      </w:r>
      <w:r w:rsidR="00731917" w:rsidRPr="00010F83">
        <w:rPr>
          <w:rFonts w:ascii="Arial" w:hAnsi="Arial" w:cs="Arial"/>
          <w:bCs/>
        </w:rPr>
        <w:t>thuế TNDN</w:t>
      </w:r>
      <w:r w:rsidR="00744F32" w:rsidRPr="00010F83">
        <w:rPr>
          <w:rFonts w:ascii="Arial" w:hAnsi="Arial" w:cs="Arial"/>
          <w:bCs/>
        </w:rPr>
        <w:t xml:space="preserve"> </w:t>
      </w:r>
      <w:r w:rsidR="000B00E3" w:rsidRPr="00010F83">
        <w:rPr>
          <w:rFonts w:ascii="Arial" w:hAnsi="Arial" w:cs="Arial"/>
          <w:bCs/>
        </w:rPr>
        <w:t xml:space="preserve">hiện hành và </w:t>
      </w:r>
      <w:r w:rsidR="00731917" w:rsidRPr="00010F83">
        <w:rPr>
          <w:rFonts w:ascii="Arial" w:hAnsi="Arial" w:cs="Arial"/>
          <w:bCs/>
        </w:rPr>
        <w:t>thuế TNDN</w:t>
      </w:r>
      <w:r w:rsidR="00744F32" w:rsidRPr="00010F83">
        <w:rPr>
          <w:rFonts w:ascii="Arial" w:hAnsi="Arial" w:cs="Arial"/>
          <w:bCs/>
        </w:rPr>
        <w:t xml:space="preserve"> </w:t>
      </w:r>
      <w:r w:rsidR="000B00E3" w:rsidRPr="00010F83">
        <w:rPr>
          <w:rFonts w:ascii="Arial" w:hAnsi="Arial" w:cs="Arial"/>
          <w:bCs/>
        </w:rPr>
        <w:t xml:space="preserve">hoãn lại được xác định </w:t>
      </w:r>
      <w:proofErr w:type="gramStart"/>
      <w:r w:rsidR="000B00E3" w:rsidRPr="00010F83">
        <w:rPr>
          <w:rFonts w:ascii="Arial" w:hAnsi="Arial" w:cs="Arial"/>
          <w:bCs/>
        </w:rPr>
        <w:t>theo</w:t>
      </w:r>
      <w:proofErr w:type="gramEnd"/>
      <w:r w:rsidR="000B00E3" w:rsidRPr="00010F83">
        <w:rPr>
          <w:rFonts w:ascii="Arial" w:hAnsi="Arial" w:cs="Arial"/>
          <w:bCs/>
        </w:rPr>
        <w:t xml:space="preserve"> thuế suất (và </w:t>
      </w:r>
      <w:r w:rsidR="00744F32" w:rsidRPr="00010F83">
        <w:rPr>
          <w:rFonts w:ascii="Arial" w:hAnsi="Arial" w:cs="Arial"/>
          <w:bCs/>
        </w:rPr>
        <w:t>các qui định</w:t>
      </w:r>
      <w:r w:rsidR="000B00E3" w:rsidRPr="00010F83">
        <w:rPr>
          <w:rFonts w:ascii="Arial" w:hAnsi="Arial" w:cs="Arial"/>
          <w:bCs/>
        </w:rPr>
        <w:t xml:space="preserve"> thuế) </w:t>
      </w:r>
      <w:r w:rsidR="00744F32" w:rsidRPr="00010F83">
        <w:rPr>
          <w:rFonts w:ascii="Arial" w:hAnsi="Arial" w:cs="Arial"/>
          <w:bCs/>
        </w:rPr>
        <w:t>mới được công bố</w:t>
      </w:r>
      <w:r w:rsidR="000B00E3" w:rsidRPr="00010F83">
        <w:rPr>
          <w:rFonts w:ascii="Arial" w:hAnsi="Arial" w:cs="Arial"/>
          <w:bCs/>
        </w:rPr>
        <w:t>.</w:t>
      </w:r>
    </w:p>
    <w:p w:rsidR="00391C7C" w:rsidRPr="00010F83" w:rsidRDefault="00391C7C">
      <w:pPr>
        <w:rPr>
          <w:rFonts w:ascii="Arial" w:hAnsi="Arial" w:cs="Arial"/>
          <w:bCs/>
        </w:rPr>
      </w:pPr>
      <w:r w:rsidRPr="00010F83">
        <w:rPr>
          <w:rFonts w:ascii="Arial" w:hAnsi="Arial" w:cs="Arial"/>
          <w:bCs/>
        </w:rPr>
        <w:br w:type="page"/>
      </w:r>
    </w:p>
    <w:p w:rsidR="00C530A3" w:rsidRPr="00010F83" w:rsidRDefault="00C530A3" w:rsidP="00391C7C">
      <w:pPr>
        <w:autoSpaceDE w:val="0"/>
        <w:autoSpaceDN w:val="0"/>
        <w:adjustRightInd w:val="0"/>
        <w:spacing w:after="120" w:line="240" w:lineRule="auto"/>
        <w:ind w:left="720" w:hanging="720"/>
        <w:jc w:val="both"/>
        <w:rPr>
          <w:rFonts w:ascii="Arial" w:hAnsi="Arial" w:cs="Arial"/>
          <w:bCs/>
        </w:rPr>
      </w:pPr>
    </w:p>
    <w:p w:rsidR="00C530A3" w:rsidRPr="00010F83" w:rsidRDefault="00C530A3" w:rsidP="00391C7C">
      <w:pPr>
        <w:autoSpaceDE w:val="0"/>
        <w:autoSpaceDN w:val="0"/>
        <w:adjustRightInd w:val="0"/>
        <w:spacing w:after="120" w:line="240" w:lineRule="auto"/>
        <w:ind w:left="720" w:hanging="720"/>
        <w:jc w:val="both"/>
        <w:rPr>
          <w:rFonts w:ascii="Arial" w:hAnsi="Arial" w:cs="Arial"/>
          <w:bCs/>
        </w:rPr>
      </w:pPr>
      <w:r w:rsidRPr="00010F83">
        <w:rPr>
          <w:rFonts w:ascii="Arial" w:hAnsi="Arial" w:cs="Arial"/>
          <w:bCs/>
        </w:rPr>
        <w:t>49.</w:t>
      </w:r>
      <w:r w:rsidRPr="00010F83">
        <w:rPr>
          <w:rFonts w:ascii="Arial" w:hAnsi="Arial" w:cs="Arial"/>
          <w:bCs/>
        </w:rPr>
        <w:tab/>
      </w:r>
      <w:r w:rsidR="004A359C" w:rsidRPr="00010F83">
        <w:rPr>
          <w:rFonts w:ascii="Arial" w:hAnsi="Arial" w:cs="Arial"/>
          <w:bCs/>
        </w:rPr>
        <w:t>Trong trường hợp</w:t>
      </w:r>
      <w:r w:rsidR="000B00E3" w:rsidRPr="00010F83">
        <w:rPr>
          <w:rFonts w:ascii="Arial" w:hAnsi="Arial" w:cs="Arial"/>
          <w:bCs/>
        </w:rPr>
        <w:t xml:space="preserve"> các mức thu nhập chịu thuế khác nhau</w:t>
      </w:r>
      <w:r w:rsidR="004A359C" w:rsidRPr="00010F83">
        <w:rPr>
          <w:rFonts w:ascii="Arial" w:hAnsi="Arial" w:cs="Arial"/>
          <w:bCs/>
        </w:rPr>
        <w:t xml:space="preserve"> chịu thuế suất khác nhau</w:t>
      </w:r>
      <w:r w:rsidR="000B00E3" w:rsidRPr="00010F83">
        <w:rPr>
          <w:rFonts w:ascii="Arial" w:hAnsi="Arial" w:cs="Arial"/>
          <w:bCs/>
        </w:rPr>
        <w:t xml:space="preserve">, </w:t>
      </w:r>
      <w:r w:rsidR="006805F0" w:rsidRPr="00010F83">
        <w:rPr>
          <w:rFonts w:ascii="Arial" w:hAnsi="Arial" w:cs="Arial"/>
          <w:bCs/>
        </w:rPr>
        <w:t xml:space="preserve">tài sản </w:t>
      </w:r>
      <w:r w:rsidR="00731917" w:rsidRPr="00010F83">
        <w:rPr>
          <w:rFonts w:ascii="Arial" w:hAnsi="Arial" w:cs="Arial"/>
          <w:bCs/>
        </w:rPr>
        <w:t>thuế TNDN</w:t>
      </w:r>
      <w:r w:rsidR="006805F0" w:rsidRPr="00010F83">
        <w:rPr>
          <w:rFonts w:ascii="Arial" w:hAnsi="Arial" w:cs="Arial"/>
          <w:bCs/>
        </w:rPr>
        <w:t xml:space="preserve"> hoãn lại</w:t>
      </w:r>
      <w:r w:rsidR="000B00E3" w:rsidRPr="00010F83">
        <w:rPr>
          <w:rFonts w:ascii="Arial" w:hAnsi="Arial" w:cs="Arial"/>
          <w:bCs/>
        </w:rPr>
        <w:t xml:space="preserve"> và </w:t>
      </w:r>
      <w:r w:rsidR="00731917" w:rsidRPr="00010F83">
        <w:rPr>
          <w:rFonts w:ascii="Arial" w:hAnsi="Arial" w:cs="Arial"/>
          <w:bCs/>
        </w:rPr>
        <w:t>thuế TNDN</w:t>
      </w:r>
      <w:r w:rsidR="006805F0" w:rsidRPr="00010F83">
        <w:rPr>
          <w:rFonts w:ascii="Arial" w:hAnsi="Arial" w:cs="Arial"/>
          <w:bCs/>
        </w:rPr>
        <w:t xml:space="preserve"> hoãn lại phải trả</w:t>
      </w:r>
      <w:r w:rsidR="000B00E3" w:rsidRPr="00010F83">
        <w:rPr>
          <w:rFonts w:ascii="Arial" w:hAnsi="Arial" w:cs="Arial"/>
          <w:bCs/>
        </w:rPr>
        <w:t xml:space="preserve"> được xác định dựa trên mức thuế suất trung bình dự kiến sẽ áp dụng cho lợi nhuận chịu thuế (lỗ tính thuế) trong các kỳ mà chênh lệch tạm thời dự kiến hoàn nhập.</w:t>
      </w:r>
    </w:p>
    <w:p w:rsidR="00C530A3" w:rsidRPr="00010F83" w:rsidRDefault="00C530A3" w:rsidP="00590853">
      <w:pPr>
        <w:autoSpaceDE w:val="0"/>
        <w:autoSpaceDN w:val="0"/>
        <w:adjustRightInd w:val="0"/>
        <w:spacing w:after="120" w:line="240" w:lineRule="auto"/>
        <w:jc w:val="both"/>
        <w:rPr>
          <w:rFonts w:ascii="Arial" w:hAnsi="Arial" w:cs="Arial"/>
          <w:bCs/>
        </w:rPr>
      </w:pPr>
      <w:r w:rsidRPr="00010F83">
        <w:rPr>
          <w:rFonts w:ascii="Arial" w:hAnsi="Arial" w:cs="Arial"/>
          <w:bCs/>
        </w:rPr>
        <w:t>50.</w:t>
      </w:r>
      <w:r w:rsidRPr="00010F83">
        <w:rPr>
          <w:rFonts w:ascii="Arial" w:hAnsi="Arial" w:cs="Arial"/>
          <w:bCs/>
        </w:rPr>
        <w:tab/>
      </w:r>
      <w:r w:rsidR="004A359C" w:rsidRPr="00010F83">
        <w:rPr>
          <w:rFonts w:ascii="Arial" w:hAnsi="Arial" w:cs="Arial"/>
          <w:bCs/>
        </w:rPr>
        <w:t>[</w:t>
      </w:r>
      <w:r w:rsidR="000B00E3" w:rsidRPr="00010F83">
        <w:rPr>
          <w:rFonts w:ascii="Arial" w:hAnsi="Arial" w:cs="Arial"/>
          <w:bCs/>
        </w:rPr>
        <w:t>Bỏ đoạn này</w:t>
      </w:r>
      <w:r w:rsidR="004A359C" w:rsidRPr="00010F83">
        <w:rPr>
          <w:rFonts w:ascii="Arial" w:hAnsi="Arial" w:cs="Arial"/>
          <w:bCs/>
        </w:rPr>
        <w:t>]</w:t>
      </w:r>
    </w:p>
    <w:p w:rsidR="00C530A3" w:rsidRPr="00010F83" w:rsidRDefault="00C530A3" w:rsidP="00391C7C">
      <w:pPr>
        <w:autoSpaceDE w:val="0"/>
        <w:autoSpaceDN w:val="0"/>
        <w:adjustRightInd w:val="0"/>
        <w:spacing w:after="120" w:line="240" w:lineRule="auto"/>
        <w:ind w:left="720" w:hanging="720"/>
        <w:jc w:val="both"/>
        <w:rPr>
          <w:rFonts w:ascii="Arial" w:hAnsi="Arial" w:cs="Arial"/>
          <w:bCs/>
        </w:rPr>
      </w:pPr>
      <w:r w:rsidRPr="00010F83">
        <w:rPr>
          <w:rFonts w:ascii="Arial" w:hAnsi="Arial" w:cs="Arial"/>
          <w:bCs/>
        </w:rPr>
        <w:t>51.</w:t>
      </w:r>
      <w:r w:rsidRPr="00010F83">
        <w:rPr>
          <w:rFonts w:ascii="Arial" w:hAnsi="Arial" w:cs="Arial"/>
          <w:bCs/>
        </w:rPr>
        <w:tab/>
      </w:r>
      <w:r w:rsidR="00C628AD" w:rsidRPr="00010F83">
        <w:rPr>
          <w:rFonts w:ascii="Arial" w:hAnsi="Arial" w:cs="Arial"/>
          <w:bCs/>
        </w:rPr>
        <w:t>Việc</w:t>
      </w:r>
      <w:r w:rsidR="000B00E3" w:rsidRPr="00010F83">
        <w:rPr>
          <w:rFonts w:ascii="Arial" w:hAnsi="Arial" w:cs="Arial"/>
          <w:bCs/>
        </w:rPr>
        <w:t xml:space="preserve"> xác định giá trị </w:t>
      </w:r>
      <w:r w:rsidR="00731917" w:rsidRPr="00010F83">
        <w:rPr>
          <w:rFonts w:ascii="Arial" w:hAnsi="Arial" w:cs="Arial"/>
          <w:bCs/>
        </w:rPr>
        <w:t>thuế TNDN</w:t>
      </w:r>
      <w:r w:rsidR="006805F0" w:rsidRPr="00010F83">
        <w:rPr>
          <w:rFonts w:ascii="Arial" w:hAnsi="Arial" w:cs="Arial"/>
          <w:bCs/>
        </w:rPr>
        <w:t xml:space="preserve"> hoãn lại phải trả</w:t>
      </w:r>
      <w:r w:rsidR="000B00E3" w:rsidRPr="00010F83">
        <w:rPr>
          <w:rFonts w:ascii="Arial" w:hAnsi="Arial" w:cs="Arial"/>
          <w:bCs/>
        </w:rPr>
        <w:t xml:space="preserve"> và </w:t>
      </w:r>
      <w:r w:rsidR="006805F0" w:rsidRPr="00010F83">
        <w:rPr>
          <w:rFonts w:ascii="Arial" w:hAnsi="Arial" w:cs="Arial"/>
          <w:bCs/>
        </w:rPr>
        <w:t xml:space="preserve">tài sản </w:t>
      </w:r>
      <w:r w:rsidR="00731917" w:rsidRPr="00010F83">
        <w:rPr>
          <w:rFonts w:ascii="Arial" w:hAnsi="Arial" w:cs="Arial"/>
          <w:bCs/>
        </w:rPr>
        <w:t>thuế TNDN</w:t>
      </w:r>
      <w:r w:rsidR="006805F0" w:rsidRPr="00010F83">
        <w:rPr>
          <w:rFonts w:ascii="Arial" w:hAnsi="Arial" w:cs="Arial"/>
          <w:bCs/>
        </w:rPr>
        <w:t xml:space="preserve"> hoãn lại</w:t>
      </w:r>
      <w:r w:rsidR="000B00E3" w:rsidRPr="00010F83">
        <w:rPr>
          <w:rFonts w:ascii="Arial" w:hAnsi="Arial" w:cs="Arial"/>
          <w:bCs/>
        </w:rPr>
        <w:t xml:space="preserve"> phải phản ánh các ảnh hưởng về thuế theo đúng cách thức thu hồi hoặc thanh toán giá trị ghi sổ của các khoản mục tài sản và nợ phải trả mà đơn vị dự kiến tại ngày kết thúc kỳ báo cáo.</w:t>
      </w:r>
    </w:p>
    <w:p w:rsidR="000B00E3" w:rsidRPr="00010F83" w:rsidRDefault="00C530A3" w:rsidP="00391C7C">
      <w:pPr>
        <w:autoSpaceDE w:val="0"/>
        <w:autoSpaceDN w:val="0"/>
        <w:adjustRightInd w:val="0"/>
        <w:spacing w:after="120" w:line="240" w:lineRule="auto"/>
        <w:ind w:left="720" w:hanging="720"/>
        <w:jc w:val="both"/>
        <w:rPr>
          <w:rFonts w:ascii="Arial" w:hAnsi="Arial" w:cs="Arial"/>
          <w:bCs/>
        </w:rPr>
      </w:pPr>
      <w:r w:rsidRPr="00010F83">
        <w:rPr>
          <w:rFonts w:ascii="Arial" w:hAnsi="Arial" w:cs="Arial"/>
          <w:bCs/>
        </w:rPr>
        <w:t xml:space="preserve">51A. </w:t>
      </w:r>
      <w:r w:rsidR="000B00E3" w:rsidRPr="00010F83">
        <w:rPr>
          <w:rFonts w:ascii="Arial" w:hAnsi="Arial" w:cs="Arial"/>
          <w:bCs/>
        </w:rPr>
        <w:tab/>
        <w:t xml:space="preserve">Ở một số </w:t>
      </w:r>
      <w:r w:rsidR="00753E9D" w:rsidRPr="00010F83">
        <w:rPr>
          <w:rFonts w:ascii="Arial" w:hAnsi="Arial" w:cs="Arial"/>
          <w:bCs/>
        </w:rPr>
        <w:t>khu vực</w:t>
      </w:r>
      <w:r w:rsidR="000B00E3" w:rsidRPr="00010F83">
        <w:rPr>
          <w:rFonts w:ascii="Arial" w:hAnsi="Arial" w:cs="Arial"/>
          <w:bCs/>
        </w:rPr>
        <w:t xml:space="preserve">, cách thức </w:t>
      </w:r>
      <w:proofErr w:type="gramStart"/>
      <w:r w:rsidR="000B00E3" w:rsidRPr="00010F83">
        <w:rPr>
          <w:rFonts w:ascii="Arial" w:hAnsi="Arial" w:cs="Arial"/>
          <w:bCs/>
        </w:rPr>
        <w:t>thu</w:t>
      </w:r>
      <w:proofErr w:type="gramEnd"/>
      <w:r w:rsidR="000B00E3" w:rsidRPr="00010F83">
        <w:rPr>
          <w:rFonts w:ascii="Arial" w:hAnsi="Arial" w:cs="Arial"/>
          <w:bCs/>
        </w:rPr>
        <w:t xml:space="preserve"> hồi</w:t>
      </w:r>
      <w:r w:rsidR="00D0324E" w:rsidRPr="00010F83">
        <w:rPr>
          <w:rFonts w:ascii="Arial" w:hAnsi="Arial" w:cs="Arial"/>
          <w:bCs/>
        </w:rPr>
        <w:t xml:space="preserve"> tài sản </w:t>
      </w:r>
      <w:r w:rsidR="000B00E3" w:rsidRPr="00010F83">
        <w:rPr>
          <w:rFonts w:ascii="Arial" w:hAnsi="Arial" w:cs="Arial"/>
          <w:bCs/>
        </w:rPr>
        <w:t>hoặ</w:t>
      </w:r>
      <w:r w:rsidR="00C628AD" w:rsidRPr="00010F83">
        <w:rPr>
          <w:rFonts w:ascii="Arial" w:hAnsi="Arial" w:cs="Arial"/>
          <w:bCs/>
        </w:rPr>
        <w:t>c thanh toán</w:t>
      </w:r>
      <w:r w:rsidR="000B00E3" w:rsidRPr="00010F83">
        <w:rPr>
          <w:rFonts w:ascii="Arial" w:hAnsi="Arial" w:cs="Arial"/>
          <w:bCs/>
        </w:rPr>
        <w:t xml:space="preserve"> nợ phải trả có thể ảnh hưởng tới một hoặc cả hai yếu tố sau:</w:t>
      </w:r>
    </w:p>
    <w:p w:rsidR="000B00E3" w:rsidRPr="00010F83" w:rsidRDefault="000B00E3" w:rsidP="00391C7C">
      <w:pPr>
        <w:pStyle w:val="ListParagraph"/>
        <w:numPr>
          <w:ilvl w:val="0"/>
          <w:numId w:val="26"/>
        </w:numPr>
        <w:autoSpaceDE w:val="0"/>
        <w:autoSpaceDN w:val="0"/>
        <w:adjustRightInd w:val="0"/>
        <w:spacing w:after="120"/>
        <w:jc w:val="both"/>
        <w:rPr>
          <w:rFonts w:ascii="Arial" w:hAnsi="Arial" w:cs="Arial"/>
          <w:bCs/>
          <w:sz w:val="22"/>
          <w:szCs w:val="22"/>
        </w:rPr>
      </w:pPr>
      <w:r w:rsidRPr="00010F83">
        <w:rPr>
          <w:rFonts w:ascii="Arial" w:hAnsi="Arial" w:cs="Arial"/>
          <w:bCs/>
          <w:sz w:val="22"/>
          <w:szCs w:val="22"/>
        </w:rPr>
        <w:t xml:space="preserve">Mức thuế áp dụng khi đơn vị thu hồi </w:t>
      </w:r>
      <w:r w:rsidR="00D0324E" w:rsidRPr="00010F83">
        <w:rPr>
          <w:rFonts w:ascii="Arial" w:hAnsi="Arial" w:cs="Arial"/>
          <w:bCs/>
          <w:sz w:val="22"/>
          <w:szCs w:val="22"/>
        </w:rPr>
        <w:t>tài sản</w:t>
      </w:r>
      <w:r w:rsidR="00D0324E" w:rsidRPr="00010F83">
        <w:rPr>
          <w:rFonts w:ascii="Arial" w:hAnsi="Arial" w:cs="Arial"/>
          <w:bCs/>
        </w:rPr>
        <w:t xml:space="preserve"> </w:t>
      </w:r>
      <w:r w:rsidRPr="00010F83">
        <w:rPr>
          <w:rFonts w:ascii="Arial" w:hAnsi="Arial" w:cs="Arial"/>
          <w:bCs/>
          <w:sz w:val="22"/>
          <w:szCs w:val="22"/>
        </w:rPr>
        <w:t>hoặc thanh toán</w:t>
      </w:r>
      <w:r w:rsidR="00D0324E" w:rsidRPr="00010F83">
        <w:rPr>
          <w:rFonts w:ascii="Arial" w:hAnsi="Arial" w:cs="Arial"/>
          <w:bCs/>
          <w:sz w:val="22"/>
          <w:szCs w:val="22"/>
        </w:rPr>
        <w:t xml:space="preserve"> </w:t>
      </w:r>
      <w:r w:rsidRPr="00010F83">
        <w:rPr>
          <w:rFonts w:ascii="Arial" w:hAnsi="Arial" w:cs="Arial"/>
          <w:bCs/>
          <w:sz w:val="22"/>
          <w:szCs w:val="22"/>
        </w:rPr>
        <w:t>nợ phải trả; và</w:t>
      </w:r>
    </w:p>
    <w:p w:rsidR="000B00E3" w:rsidRPr="00010F83" w:rsidRDefault="000B00E3" w:rsidP="00391C7C">
      <w:pPr>
        <w:pStyle w:val="ListParagraph"/>
        <w:numPr>
          <w:ilvl w:val="0"/>
          <w:numId w:val="26"/>
        </w:numPr>
        <w:autoSpaceDE w:val="0"/>
        <w:autoSpaceDN w:val="0"/>
        <w:adjustRightInd w:val="0"/>
        <w:spacing w:after="120"/>
        <w:jc w:val="both"/>
        <w:rPr>
          <w:rFonts w:ascii="Arial" w:hAnsi="Arial" w:cs="Arial"/>
          <w:bCs/>
        </w:rPr>
      </w:pPr>
      <w:r w:rsidRPr="00010F83">
        <w:rPr>
          <w:rFonts w:ascii="Arial" w:hAnsi="Arial" w:cs="Arial"/>
          <w:bCs/>
          <w:sz w:val="22"/>
          <w:szCs w:val="22"/>
        </w:rPr>
        <w:t xml:space="preserve">Cơ sở tính thuế của tài sản </w:t>
      </w:r>
      <w:r w:rsidR="00D0324E" w:rsidRPr="00010F83">
        <w:rPr>
          <w:rFonts w:ascii="Arial" w:hAnsi="Arial" w:cs="Arial"/>
          <w:bCs/>
          <w:sz w:val="22"/>
          <w:szCs w:val="22"/>
        </w:rPr>
        <w:t xml:space="preserve">và </w:t>
      </w:r>
      <w:r w:rsidRPr="00010F83">
        <w:rPr>
          <w:rFonts w:ascii="Arial" w:hAnsi="Arial" w:cs="Arial"/>
          <w:bCs/>
          <w:sz w:val="22"/>
          <w:szCs w:val="22"/>
        </w:rPr>
        <w:t>nợ phải trả.</w:t>
      </w:r>
    </w:p>
    <w:p w:rsidR="000B00E3" w:rsidRPr="00010F83" w:rsidRDefault="000B00E3" w:rsidP="00391C7C">
      <w:pPr>
        <w:autoSpaceDE w:val="0"/>
        <w:autoSpaceDN w:val="0"/>
        <w:adjustRightInd w:val="0"/>
        <w:spacing w:after="120" w:line="240" w:lineRule="auto"/>
        <w:ind w:left="720"/>
        <w:jc w:val="both"/>
        <w:rPr>
          <w:rFonts w:ascii="Arial" w:hAnsi="Arial" w:cs="Arial"/>
          <w:bCs/>
        </w:rPr>
      </w:pPr>
      <w:r w:rsidRPr="00010F83">
        <w:rPr>
          <w:rFonts w:ascii="Arial" w:hAnsi="Arial" w:cs="Arial"/>
          <w:bCs/>
        </w:rPr>
        <w:t xml:space="preserve">Trong các trường hợp này, đơn vị xác định giá trị </w:t>
      </w:r>
      <w:r w:rsidR="00731917" w:rsidRPr="00010F83">
        <w:rPr>
          <w:rFonts w:ascii="Arial" w:hAnsi="Arial" w:cs="Arial"/>
          <w:bCs/>
        </w:rPr>
        <w:t>thuế TNDN</w:t>
      </w:r>
      <w:r w:rsidR="006805F0" w:rsidRPr="00010F83">
        <w:rPr>
          <w:rFonts w:ascii="Arial" w:hAnsi="Arial" w:cs="Arial"/>
          <w:bCs/>
        </w:rPr>
        <w:t xml:space="preserve"> hoãn lại phải trả</w:t>
      </w:r>
      <w:r w:rsidRPr="00010F83">
        <w:rPr>
          <w:rFonts w:ascii="Arial" w:hAnsi="Arial" w:cs="Arial"/>
          <w:bCs/>
        </w:rPr>
        <w:t xml:space="preserve"> và </w:t>
      </w:r>
      <w:r w:rsidR="006805F0" w:rsidRPr="00010F83">
        <w:rPr>
          <w:rFonts w:ascii="Arial" w:hAnsi="Arial" w:cs="Arial"/>
          <w:bCs/>
        </w:rPr>
        <w:t xml:space="preserve">tài sản </w:t>
      </w:r>
      <w:r w:rsidR="00731917" w:rsidRPr="00010F83">
        <w:rPr>
          <w:rFonts w:ascii="Arial" w:hAnsi="Arial" w:cs="Arial"/>
          <w:bCs/>
        </w:rPr>
        <w:t>thuế TNDN</w:t>
      </w:r>
      <w:r w:rsidR="006805F0" w:rsidRPr="00010F83">
        <w:rPr>
          <w:rFonts w:ascii="Arial" w:hAnsi="Arial" w:cs="Arial"/>
          <w:bCs/>
        </w:rPr>
        <w:t xml:space="preserve"> hoãn lại</w:t>
      </w:r>
      <w:r w:rsidRPr="00010F83">
        <w:rPr>
          <w:rFonts w:ascii="Arial" w:hAnsi="Arial" w:cs="Arial"/>
          <w:bCs/>
        </w:rPr>
        <w:t xml:space="preserve"> dựa trên mức thuế suất và cơ sở tính thuế nhất quán với cách thức dự kiến thu hồi hoặc thanh toán.</w:t>
      </w:r>
    </w:p>
    <w:tbl>
      <w:tblPr>
        <w:tblStyle w:val="TableGrid"/>
        <w:tblW w:w="8820" w:type="dxa"/>
        <w:tblInd w:w="625" w:type="dxa"/>
        <w:tblLook w:val="04A0"/>
      </w:tblPr>
      <w:tblGrid>
        <w:gridCol w:w="8820"/>
      </w:tblGrid>
      <w:tr w:rsidR="00C530A3" w:rsidRPr="00010F83" w:rsidTr="00391C7C">
        <w:tc>
          <w:tcPr>
            <w:tcW w:w="8820" w:type="dxa"/>
          </w:tcPr>
          <w:p w:rsidR="00C530A3" w:rsidRPr="00010F83" w:rsidRDefault="00C530A3" w:rsidP="00590853">
            <w:pPr>
              <w:spacing w:after="120"/>
              <w:jc w:val="both"/>
              <w:rPr>
                <w:rFonts w:ascii="Arial" w:hAnsi="Arial" w:cs="Arial"/>
              </w:rPr>
            </w:pPr>
            <w:r w:rsidRPr="00010F83">
              <w:rPr>
                <w:rFonts w:ascii="Arial" w:hAnsi="Arial" w:cs="Arial"/>
                <w:b/>
                <w:bCs/>
              </w:rPr>
              <w:t>Ví dụ A</w:t>
            </w:r>
          </w:p>
        </w:tc>
      </w:tr>
      <w:tr w:rsidR="00C530A3" w:rsidRPr="00010F83" w:rsidTr="00391C7C">
        <w:tc>
          <w:tcPr>
            <w:tcW w:w="8820" w:type="dxa"/>
          </w:tcPr>
          <w:p w:rsidR="00C530A3" w:rsidRPr="00010F83" w:rsidRDefault="000B00E3" w:rsidP="00590853">
            <w:pPr>
              <w:spacing w:after="120"/>
              <w:jc w:val="both"/>
              <w:rPr>
                <w:rFonts w:ascii="Arial" w:hAnsi="Arial" w:cs="Arial"/>
              </w:rPr>
            </w:pPr>
            <w:r w:rsidRPr="00010F83">
              <w:rPr>
                <w:rFonts w:ascii="Arial" w:hAnsi="Arial" w:cs="Arial"/>
              </w:rPr>
              <w:t xml:space="preserve">Một tài sản có giá trị còn lại là 100 và cơ sở tính thuế là 60. </w:t>
            </w:r>
            <w:r w:rsidR="00753E9D" w:rsidRPr="00010F83">
              <w:rPr>
                <w:rFonts w:ascii="Arial" w:hAnsi="Arial" w:cs="Arial"/>
              </w:rPr>
              <w:t>Lãi thanh lý tài sản chịu mức thuế suất 20%</w:t>
            </w:r>
            <w:r w:rsidR="00D0324E" w:rsidRPr="00010F83">
              <w:rPr>
                <w:rFonts w:ascii="Arial" w:hAnsi="Arial" w:cs="Arial"/>
              </w:rPr>
              <w:t>;</w:t>
            </w:r>
            <w:r w:rsidRPr="00010F83">
              <w:rPr>
                <w:rFonts w:ascii="Arial" w:hAnsi="Arial" w:cs="Arial"/>
              </w:rPr>
              <w:t xml:space="preserve"> mức thuế suất 30% sẽ áp dụng cho </w:t>
            </w:r>
            <w:r w:rsidR="00C628AD" w:rsidRPr="00010F83">
              <w:rPr>
                <w:rFonts w:ascii="Arial" w:hAnsi="Arial" w:cs="Arial"/>
              </w:rPr>
              <w:t xml:space="preserve">các nhóm </w:t>
            </w:r>
            <w:r w:rsidRPr="00010F83">
              <w:rPr>
                <w:rFonts w:ascii="Arial" w:hAnsi="Arial" w:cs="Arial"/>
              </w:rPr>
              <w:t>thu nhập khác.</w:t>
            </w:r>
          </w:p>
          <w:p w:rsidR="00C530A3" w:rsidRPr="00010F83" w:rsidRDefault="000B00E3" w:rsidP="00590853">
            <w:pPr>
              <w:spacing w:after="120"/>
              <w:jc w:val="both"/>
              <w:rPr>
                <w:rFonts w:ascii="Arial" w:hAnsi="Arial" w:cs="Arial"/>
                <w:i/>
              </w:rPr>
            </w:pPr>
            <w:r w:rsidRPr="00010F83">
              <w:rPr>
                <w:rFonts w:ascii="Arial" w:hAnsi="Arial" w:cs="Arial"/>
                <w:i/>
              </w:rPr>
              <w:t xml:space="preserve">Đơn vị ghi nhận </w:t>
            </w:r>
            <w:r w:rsidR="00731917" w:rsidRPr="00010F83">
              <w:rPr>
                <w:rFonts w:ascii="Arial" w:hAnsi="Arial" w:cs="Arial"/>
                <w:i/>
              </w:rPr>
              <w:t>thuế TNDN</w:t>
            </w:r>
            <w:r w:rsidR="006805F0" w:rsidRPr="00010F83">
              <w:rPr>
                <w:rFonts w:ascii="Arial" w:hAnsi="Arial" w:cs="Arial"/>
                <w:i/>
              </w:rPr>
              <w:t xml:space="preserve"> hoãn lại phải trả</w:t>
            </w:r>
            <w:r w:rsidR="00C628AD" w:rsidRPr="00010F83">
              <w:rPr>
                <w:rFonts w:ascii="Arial" w:hAnsi="Arial" w:cs="Arial"/>
                <w:i/>
              </w:rPr>
              <w:t xml:space="preserve"> là 8 (</w:t>
            </w:r>
            <w:r w:rsidRPr="00010F83">
              <w:rPr>
                <w:rFonts w:ascii="Arial" w:hAnsi="Arial" w:cs="Arial"/>
                <w:i/>
              </w:rPr>
              <w:t xml:space="preserve">40 x 20%) nếu đơn vị dự kiến sẽ bán tài sản này trong tương lai mà không sử dụng tiếp, </w:t>
            </w:r>
            <w:r w:rsidR="00D0324E" w:rsidRPr="00010F83">
              <w:rPr>
                <w:rFonts w:ascii="Arial" w:hAnsi="Arial" w:cs="Arial"/>
                <w:i/>
              </w:rPr>
              <w:t>hoặc</w:t>
            </w:r>
            <w:r w:rsidRPr="00010F83">
              <w:rPr>
                <w:rFonts w:ascii="Arial" w:hAnsi="Arial" w:cs="Arial"/>
                <w:i/>
              </w:rPr>
              <w:t xml:space="preserve"> thuế hoãn lại là </w:t>
            </w:r>
            <w:r w:rsidR="00753E9D" w:rsidRPr="00010F83">
              <w:rPr>
                <w:rFonts w:ascii="Arial" w:hAnsi="Arial" w:cs="Arial"/>
                <w:i/>
              </w:rPr>
              <w:t xml:space="preserve">sẽ </w:t>
            </w:r>
            <w:r w:rsidRPr="00010F83">
              <w:rPr>
                <w:rFonts w:ascii="Arial" w:hAnsi="Arial" w:cs="Arial"/>
                <w:i/>
              </w:rPr>
              <w:t>12 (40 x30%) nếu đơn vị dự kiến giữ lại tài sản và thu hồi giá trị còn lại thông qua việc sử dụng tài sản.</w:t>
            </w:r>
          </w:p>
        </w:tc>
      </w:tr>
    </w:tbl>
    <w:p w:rsidR="00C530A3" w:rsidRPr="00010F83" w:rsidRDefault="00C530A3" w:rsidP="00590853">
      <w:pPr>
        <w:autoSpaceDE w:val="0"/>
        <w:autoSpaceDN w:val="0"/>
        <w:adjustRightInd w:val="0"/>
        <w:spacing w:after="120" w:line="240" w:lineRule="auto"/>
        <w:jc w:val="both"/>
        <w:rPr>
          <w:rFonts w:ascii="Arial" w:hAnsi="Arial" w:cs="Arial"/>
          <w:b/>
          <w:bCs/>
        </w:rPr>
      </w:pPr>
    </w:p>
    <w:tbl>
      <w:tblPr>
        <w:tblStyle w:val="TableGrid"/>
        <w:tblW w:w="8820" w:type="dxa"/>
        <w:tblInd w:w="625" w:type="dxa"/>
        <w:tblLook w:val="04A0"/>
      </w:tblPr>
      <w:tblGrid>
        <w:gridCol w:w="8820"/>
      </w:tblGrid>
      <w:tr w:rsidR="00C530A3" w:rsidRPr="00010F83" w:rsidTr="00391C7C">
        <w:tc>
          <w:tcPr>
            <w:tcW w:w="8820" w:type="dxa"/>
            <w:tcBorders>
              <w:bottom w:val="single" w:sz="4" w:space="0" w:color="auto"/>
            </w:tcBorders>
          </w:tcPr>
          <w:p w:rsidR="00C530A3" w:rsidRPr="00010F83" w:rsidRDefault="00C530A3" w:rsidP="00590853">
            <w:pPr>
              <w:spacing w:after="120"/>
              <w:jc w:val="both"/>
              <w:rPr>
                <w:rFonts w:ascii="Arial" w:hAnsi="Arial" w:cs="Arial"/>
              </w:rPr>
            </w:pPr>
            <w:r w:rsidRPr="00010F83">
              <w:rPr>
                <w:rFonts w:ascii="Arial" w:hAnsi="Arial" w:cs="Arial"/>
                <w:b/>
                <w:bCs/>
              </w:rPr>
              <w:t>Ví dụ B</w:t>
            </w:r>
          </w:p>
        </w:tc>
      </w:tr>
      <w:tr w:rsidR="00C530A3" w:rsidRPr="00010F83" w:rsidTr="00391C7C">
        <w:tc>
          <w:tcPr>
            <w:tcW w:w="8820" w:type="dxa"/>
            <w:tcBorders>
              <w:bottom w:val="nil"/>
            </w:tcBorders>
          </w:tcPr>
          <w:p w:rsidR="00753E9D" w:rsidRPr="00010F83" w:rsidRDefault="00753E9D" w:rsidP="00753E9D">
            <w:pPr>
              <w:pStyle w:val="TableParagraph"/>
              <w:kinsoku w:val="0"/>
              <w:overflowPunct w:val="0"/>
              <w:spacing w:before="41" w:after="120" w:line="285" w:lineRule="auto"/>
              <w:ind w:right="-12"/>
              <w:jc w:val="both"/>
              <w:rPr>
                <w:rFonts w:ascii="Arial" w:hAnsi="Arial" w:cs="Arial"/>
                <w:w w:val="105"/>
                <w:sz w:val="22"/>
                <w:szCs w:val="22"/>
              </w:rPr>
            </w:pPr>
            <w:r w:rsidRPr="00010F83">
              <w:rPr>
                <w:rFonts w:ascii="Arial" w:hAnsi="Arial" w:cs="Arial"/>
                <w:w w:val="105"/>
                <w:sz w:val="22"/>
                <w:szCs w:val="22"/>
              </w:rPr>
              <w:t>Một tài sản cố định hữu hình có nguyên giá 100, giá trị còn lại 80 được đánh giá lại với giá trị là 150. Cơ sở tính thuế không đổi, tính bằng nguyên giá trừ hao mòn lũy kế cho mục đích thuế. Hao mòn lũy kế theo thuế là 30, mức thuế suất là 30%. Nếu tài sản được bán với giá cao hơn nguyên giá, khấu hao lũy kế cho mục đích thuế thu nhập là 30 sẽ được tính khi xác định thu nhập chịu thuế nhưng phần chênh lệch của khoản tiền bán thanh lý thu được cao hơn giá gốc sẽ không bị tính thuế.</w:t>
            </w:r>
          </w:p>
          <w:p w:rsidR="00C530A3" w:rsidRPr="00010F83" w:rsidRDefault="000B00E3" w:rsidP="0010473B">
            <w:pPr>
              <w:pStyle w:val="TableParagraph"/>
              <w:kinsoku w:val="0"/>
              <w:overflowPunct w:val="0"/>
              <w:spacing w:before="41" w:after="120" w:line="285" w:lineRule="auto"/>
              <w:ind w:right="-12"/>
              <w:jc w:val="both"/>
              <w:rPr>
                <w:rFonts w:ascii="Arial" w:hAnsi="Arial" w:cs="Arial"/>
                <w:i/>
                <w:w w:val="105"/>
                <w:sz w:val="22"/>
                <w:szCs w:val="22"/>
              </w:rPr>
            </w:pPr>
            <w:r w:rsidRPr="00010F83">
              <w:rPr>
                <w:rFonts w:ascii="Arial" w:hAnsi="Arial" w:cs="Arial"/>
                <w:i/>
                <w:w w:val="105"/>
                <w:sz w:val="22"/>
                <w:szCs w:val="22"/>
              </w:rPr>
              <w:t xml:space="preserve">Cơ sở tính thuế của tài sản là 70 và mức chênh lệch tạm thời chịu thuế là 80. Nếu đơn vị dự định thu hồi giá trị còn lại của tài sản thông qua sử dụng, thì mức thu nhập chịu thuế </w:t>
            </w:r>
            <w:r w:rsidR="00753E9D" w:rsidRPr="00010F83">
              <w:rPr>
                <w:rFonts w:ascii="Arial" w:hAnsi="Arial" w:cs="Arial"/>
                <w:i/>
                <w:w w:val="105"/>
                <w:sz w:val="22"/>
                <w:szCs w:val="22"/>
              </w:rPr>
              <w:t xml:space="preserve">phát sinh </w:t>
            </w:r>
            <w:r w:rsidRPr="00010F83">
              <w:rPr>
                <w:rFonts w:ascii="Arial" w:hAnsi="Arial" w:cs="Arial"/>
                <w:i/>
                <w:w w:val="105"/>
                <w:sz w:val="22"/>
                <w:szCs w:val="22"/>
              </w:rPr>
              <w:t>là 150, nhưng chỉ có thể khấu trừ</w:t>
            </w:r>
            <w:r w:rsidR="00753E9D" w:rsidRPr="00010F83">
              <w:rPr>
                <w:rFonts w:ascii="Arial" w:hAnsi="Arial" w:cs="Arial"/>
                <w:i/>
                <w:w w:val="105"/>
                <w:sz w:val="22"/>
                <w:szCs w:val="22"/>
              </w:rPr>
              <w:t xml:space="preserve"> chi phí</w:t>
            </w:r>
            <w:r w:rsidRPr="00010F83">
              <w:rPr>
                <w:rFonts w:ascii="Arial" w:hAnsi="Arial" w:cs="Arial"/>
                <w:i/>
                <w:w w:val="105"/>
                <w:sz w:val="22"/>
                <w:szCs w:val="22"/>
              </w:rPr>
              <w:t xml:space="preserve"> khấu hao là 70. Theo cơ sở này, </w:t>
            </w:r>
            <w:r w:rsidR="00731917" w:rsidRPr="00010F83">
              <w:rPr>
                <w:rFonts w:ascii="Arial" w:hAnsi="Arial" w:cs="Arial"/>
                <w:i/>
                <w:w w:val="105"/>
                <w:sz w:val="22"/>
                <w:szCs w:val="22"/>
              </w:rPr>
              <w:t>thuế TNDN</w:t>
            </w:r>
            <w:r w:rsidR="006805F0" w:rsidRPr="00010F83">
              <w:rPr>
                <w:rFonts w:ascii="Arial" w:hAnsi="Arial" w:cs="Arial"/>
                <w:i/>
                <w:w w:val="105"/>
                <w:sz w:val="22"/>
                <w:szCs w:val="22"/>
              </w:rPr>
              <w:t xml:space="preserve"> hoãn lại phải trả</w:t>
            </w:r>
            <w:r w:rsidRPr="00010F83">
              <w:rPr>
                <w:rFonts w:ascii="Arial" w:hAnsi="Arial" w:cs="Arial"/>
                <w:i/>
                <w:w w:val="105"/>
                <w:sz w:val="22"/>
                <w:szCs w:val="22"/>
              </w:rPr>
              <w:t xml:space="preserve"> là 24 (80 x 30%). Nếu đơn vị dự định thu hồi giá trị ghi sổ của tài sản bằng cách bán ngay tài sản này với giá 150, thì thuế hoãn </w:t>
            </w:r>
            <w:r w:rsidR="00753E9D" w:rsidRPr="00010F83">
              <w:rPr>
                <w:rFonts w:ascii="Arial" w:hAnsi="Arial" w:cs="Arial"/>
                <w:i/>
                <w:w w:val="105"/>
                <w:sz w:val="22"/>
                <w:szCs w:val="22"/>
              </w:rPr>
              <w:t>lại</w:t>
            </w:r>
            <w:r w:rsidRPr="00010F83">
              <w:rPr>
                <w:rFonts w:ascii="Arial" w:hAnsi="Arial" w:cs="Arial"/>
                <w:i/>
                <w:w w:val="105"/>
                <w:sz w:val="22"/>
                <w:szCs w:val="22"/>
              </w:rPr>
              <w:t xml:space="preserve"> phải trả sẽ được tính như sau:</w:t>
            </w:r>
          </w:p>
        </w:tc>
      </w:tr>
    </w:tbl>
    <w:p w:rsidR="00391C7C" w:rsidRPr="00010F83" w:rsidRDefault="00391C7C" w:rsidP="00391C7C">
      <w:pPr>
        <w:spacing w:before="240"/>
        <w:ind w:left="7200" w:firstLine="720"/>
      </w:pPr>
      <w:proofErr w:type="gramStart"/>
      <w:r w:rsidRPr="00010F83">
        <w:rPr>
          <w:rFonts w:ascii="Arial" w:hAnsi="Arial" w:cs="Arial"/>
          <w:bCs/>
          <w:i/>
          <w:sz w:val="18"/>
          <w:szCs w:val="18"/>
        </w:rPr>
        <w:t>tiếp</w:t>
      </w:r>
      <w:proofErr w:type="gramEnd"/>
      <w:r w:rsidRPr="00010F83">
        <w:rPr>
          <w:rFonts w:ascii="Arial" w:hAnsi="Arial" w:cs="Arial"/>
          <w:bCs/>
          <w:i/>
          <w:sz w:val="18"/>
          <w:szCs w:val="18"/>
        </w:rPr>
        <w:t xml:space="preserve"> theo</w:t>
      </w:r>
      <w:r w:rsidRPr="00010F83">
        <w:rPr>
          <w:rFonts w:ascii="Arial" w:hAnsi="Arial" w:cs="Arial"/>
          <w:bCs/>
          <w:sz w:val="18"/>
          <w:szCs w:val="18"/>
        </w:rPr>
        <w:t>…</w:t>
      </w:r>
    </w:p>
    <w:p w:rsidR="00391C7C" w:rsidRPr="00010F83" w:rsidRDefault="00391C7C"/>
    <w:p w:rsidR="00391C7C" w:rsidRPr="00010F83" w:rsidRDefault="00391C7C"/>
    <w:p w:rsidR="00391C7C" w:rsidRPr="00010F83" w:rsidRDefault="00391C7C" w:rsidP="00391C7C">
      <w:pPr>
        <w:ind w:firstLine="720"/>
      </w:pPr>
      <w:r w:rsidRPr="00010F83">
        <w:rPr>
          <w:rFonts w:ascii="Arial" w:hAnsi="Arial" w:cs="Arial"/>
          <w:bCs/>
          <w:i/>
          <w:sz w:val="18"/>
          <w:szCs w:val="18"/>
        </w:rPr>
        <w:t xml:space="preserve">…tiếp </w:t>
      </w:r>
      <w:proofErr w:type="gramStart"/>
      <w:r w:rsidRPr="00010F83">
        <w:rPr>
          <w:rFonts w:ascii="Arial" w:hAnsi="Arial" w:cs="Arial"/>
          <w:bCs/>
          <w:i/>
          <w:sz w:val="18"/>
          <w:szCs w:val="18"/>
        </w:rPr>
        <w:t>theo</w:t>
      </w:r>
      <w:proofErr w:type="gramEnd"/>
    </w:p>
    <w:tbl>
      <w:tblPr>
        <w:tblStyle w:val="TableGrid"/>
        <w:tblW w:w="8734" w:type="dxa"/>
        <w:tblInd w:w="625" w:type="dxa"/>
        <w:tblLook w:val="04A0"/>
      </w:tblPr>
      <w:tblGrid>
        <w:gridCol w:w="8734"/>
      </w:tblGrid>
      <w:tr w:rsidR="00391C7C" w:rsidRPr="00010F83" w:rsidTr="00391C7C">
        <w:tc>
          <w:tcPr>
            <w:tcW w:w="8734" w:type="dxa"/>
          </w:tcPr>
          <w:p w:rsidR="00391C7C" w:rsidRPr="00010F83" w:rsidRDefault="00391C7C" w:rsidP="00391C7C">
            <w:pPr>
              <w:pStyle w:val="BodyTextIndent"/>
              <w:spacing w:before="0" w:line="240" w:lineRule="auto"/>
              <w:rPr>
                <w:rFonts w:ascii="Arial" w:hAnsi="Arial" w:cs="Arial"/>
                <w:bCs/>
                <w:sz w:val="22"/>
                <w:szCs w:val="22"/>
                <w:lang w:val="nl-NL"/>
              </w:rPr>
            </w:pPr>
            <w:r w:rsidRPr="00010F83">
              <w:rPr>
                <w:rFonts w:ascii="Arial" w:hAnsi="Arial" w:cs="Arial"/>
                <w:b/>
                <w:bCs/>
                <w:sz w:val="22"/>
                <w:szCs w:val="22"/>
              </w:rPr>
              <w:t>Ví dụ B</w:t>
            </w:r>
          </w:p>
        </w:tc>
      </w:tr>
      <w:tr w:rsidR="00391C7C" w:rsidRPr="00010F83" w:rsidTr="00391C7C">
        <w:tc>
          <w:tcPr>
            <w:tcW w:w="8734" w:type="dxa"/>
          </w:tcPr>
          <w:tbl>
            <w:tblPr>
              <w:tblW w:w="0" w:type="auto"/>
              <w:tblInd w:w="85" w:type="dxa"/>
              <w:tblLook w:val="01E0"/>
            </w:tblPr>
            <w:tblGrid>
              <w:gridCol w:w="3064"/>
              <w:gridCol w:w="2159"/>
              <w:gridCol w:w="1233"/>
              <w:gridCol w:w="1977"/>
            </w:tblGrid>
            <w:tr w:rsidR="00391C7C" w:rsidRPr="00010F83" w:rsidTr="008307CC">
              <w:tc>
                <w:tcPr>
                  <w:tcW w:w="3065" w:type="dxa"/>
                </w:tcPr>
                <w:p w:rsidR="00391C7C" w:rsidRPr="00010F83" w:rsidRDefault="00391C7C" w:rsidP="00391C7C">
                  <w:pPr>
                    <w:pStyle w:val="BodyTextIndent"/>
                    <w:spacing w:before="0" w:line="240" w:lineRule="auto"/>
                    <w:ind w:left="0" w:firstLine="0"/>
                    <w:rPr>
                      <w:rFonts w:ascii="Arial" w:hAnsi="Arial" w:cs="Arial"/>
                      <w:bCs/>
                      <w:sz w:val="22"/>
                      <w:szCs w:val="22"/>
                      <w:lang w:val="nl-NL"/>
                    </w:rPr>
                  </w:pPr>
                </w:p>
              </w:tc>
              <w:tc>
                <w:tcPr>
                  <w:tcW w:w="2160" w:type="dxa"/>
                </w:tcPr>
                <w:p w:rsidR="00391C7C" w:rsidRPr="00010F83" w:rsidRDefault="00391C7C" w:rsidP="00D0324E">
                  <w:pPr>
                    <w:pStyle w:val="BodyTextIndent"/>
                    <w:spacing w:before="0" w:line="240" w:lineRule="auto"/>
                    <w:ind w:left="0" w:firstLine="0"/>
                    <w:jc w:val="right"/>
                    <w:rPr>
                      <w:rFonts w:ascii="Arial" w:hAnsi="Arial" w:cs="Arial"/>
                      <w:bCs/>
                      <w:sz w:val="22"/>
                      <w:szCs w:val="22"/>
                      <w:lang w:val="nl-NL"/>
                    </w:rPr>
                  </w:pPr>
                  <w:r w:rsidRPr="00010F83">
                    <w:rPr>
                      <w:rFonts w:ascii="Arial" w:hAnsi="Arial" w:cs="Arial"/>
                      <w:bCs/>
                      <w:sz w:val="22"/>
                      <w:szCs w:val="22"/>
                      <w:lang w:val="nl-NL"/>
                    </w:rPr>
                    <w:t>Chênh lệch tạm thời chịu thuế</w:t>
                  </w:r>
                </w:p>
              </w:tc>
              <w:tc>
                <w:tcPr>
                  <w:tcW w:w="1233" w:type="dxa"/>
                </w:tcPr>
                <w:p w:rsidR="00391C7C" w:rsidRPr="00010F83" w:rsidRDefault="00391C7C" w:rsidP="00D0324E">
                  <w:pPr>
                    <w:pStyle w:val="BodyTextIndent"/>
                    <w:spacing w:before="0" w:line="240" w:lineRule="auto"/>
                    <w:ind w:left="0" w:firstLine="0"/>
                    <w:jc w:val="right"/>
                    <w:rPr>
                      <w:rFonts w:ascii="Arial" w:hAnsi="Arial" w:cs="Arial"/>
                      <w:bCs/>
                      <w:sz w:val="22"/>
                      <w:szCs w:val="22"/>
                      <w:lang w:val="nl-NL"/>
                    </w:rPr>
                  </w:pPr>
                  <w:r w:rsidRPr="00010F83">
                    <w:rPr>
                      <w:rFonts w:ascii="Arial" w:hAnsi="Arial" w:cs="Arial"/>
                      <w:bCs/>
                      <w:sz w:val="22"/>
                      <w:szCs w:val="22"/>
                      <w:lang w:val="nl-NL"/>
                    </w:rPr>
                    <w:t>Thuế suất</w:t>
                  </w:r>
                </w:p>
              </w:tc>
              <w:tc>
                <w:tcPr>
                  <w:tcW w:w="1978" w:type="dxa"/>
                </w:tcPr>
                <w:p w:rsidR="00391C7C" w:rsidRPr="00010F83" w:rsidRDefault="00391C7C" w:rsidP="00D0324E">
                  <w:pPr>
                    <w:pStyle w:val="BodyTextIndent"/>
                    <w:spacing w:before="0" w:line="240" w:lineRule="auto"/>
                    <w:ind w:left="0" w:firstLine="0"/>
                    <w:jc w:val="right"/>
                    <w:rPr>
                      <w:rFonts w:ascii="Arial" w:hAnsi="Arial" w:cs="Arial"/>
                      <w:bCs/>
                      <w:sz w:val="22"/>
                      <w:szCs w:val="22"/>
                      <w:lang w:val="nl-NL"/>
                    </w:rPr>
                  </w:pPr>
                  <w:r w:rsidRPr="00010F83">
                    <w:rPr>
                      <w:rFonts w:ascii="Arial" w:hAnsi="Arial" w:cs="Arial"/>
                      <w:bCs/>
                      <w:sz w:val="22"/>
                      <w:szCs w:val="22"/>
                      <w:lang w:val="nl-NL"/>
                    </w:rPr>
                    <w:t>Thuế hoãn lãi phải trả</w:t>
                  </w:r>
                </w:p>
              </w:tc>
            </w:tr>
            <w:tr w:rsidR="00391C7C" w:rsidRPr="00010F83" w:rsidTr="008307CC">
              <w:tc>
                <w:tcPr>
                  <w:tcW w:w="3065" w:type="dxa"/>
                </w:tcPr>
                <w:p w:rsidR="00391C7C" w:rsidRPr="00010F83" w:rsidRDefault="00391C7C" w:rsidP="00391C7C">
                  <w:pPr>
                    <w:pStyle w:val="BodyTextIndent"/>
                    <w:spacing w:before="0" w:line="240" w:lineRule="auto"/>
                    <w:ind w:left="0" w:firstLine="0"/>
                    <w:rPr>
                      <w:rFonts w:ascii="Arial" w:hAnsi="Arial" w:cs="Arial"/>
                      <w:bCs/>
                      <w:sz w:val="22"/>
                      <w:szCs w:val="22"/>
                      <w:lang w:val="nl-NL"/>
                    </w:rPr>
                  </w:pPr>
                  <w:r w:rsidRPr="00010F83">
                    <w:rPr>
                      <w:rFonts w:ascii="Arial" w:hAnsi="Arial" w:cs="Arial"/>
                      <w:bCs/>
                      <w:sz w:val="22"/>
                      <w:szCs w:val="22"/>
                      <w:lang w:val="nl-NL"/>
                    </w:rPr>
                    <w:t>Khấu hao lũy kế theo thuế</w:t>
                  </w:r>
                </w:p>
              </w:tc>
              <w:tc>
                <w:tcPr>
                  <w:tcW w:w="2160" w:type="dxa"/>
                </w:tcPr>
                <w:p w:rsidR="00391C7C" w:rsidRPr="00010F83" w:rsidRDefault="00391C7C" w:rsidP="00391C7C">
                  <w:pPr>
                    <w:pStyle w:val="BodyTextIndent"/>
                    <w:spacing w:before="0" w:line="240" w:lineRule="auto"/>
                    <w:ind w:left="0" w:firstLine="0"/>
                    <w:jc w:val="right"/>
                    <w:rPr>
                      <w:rFonts w:ascii="Arial" w:hAnsi="Arial" w:cs="Arial"/>
                      <w:bCs/>
                      <w:sz w:val="22"/>
                      <w:szCs w:val="22"/>
                      <w:lang w:val="nl-NL"/>
                    </w:rPr>
                  </w:pPr>
                  <w:r w:rsidRPr="00010F83">
                    <w:rPr>
                      <w:rFonts w:ascii="Arial" w:hAnsi="Arial" w:cs="Arial"/>
                      <w:bCs/>
                      <w:sz w:val="22"/>
                      <w:szCs w:val="22"/>
                      <w:lang w:val="nl-NL"/>
                    </w:rPr>
                    <w:t>30</w:t>
                  </w:r>
                </w:p>
              </w:tc>
              <w:tc>
                <w:tcPr>
                  <w:tcW w:w="1233" w:type="dxa"/>
                </w:tcPr>
                <w:p w:rsidR="00391C7C" w:rsidRPr="00010F83" w:rsidRDefault="00391C7C" w:rsidP="00391C7C">
                  <w:pPr>
                    <w:pStyle w:val="BodyTextIndent"/>
                    <w:spacing w:before="0" w:line="240" w:lineRule="auto"/>
                    <w:ind w:left="0" w:firstLine="0"/>
                    <w:jc w:val="right"/>
                    <w:rPr>
                      <w:rFonts w:ascii="Arial" w:hAnsi="Arial" w:cs="Arial"/>
                      <w:bCs/>
                      <w:sz w:val="22"/>
                      <w:szCs w:val="22"/>
                      <w:lang w:val="nl-NL"/>
                    </w:rPr>
                  </w:pPr>
                  <w:r w:rsidRPr="00010F83">
                    <w:rPr>
                      <w:rFonts w:ascii="Arial" w:hAnsi="Arial" w:cs="Arial"/>
                      <w:bCs/>
                      <w:sz w:val="22"/>
                      <w:szCs w:val="22"/>
                      <w:lang w:val="nl-NL"/>
                    </w:rPr>
                    <w:t>30%</w:t>
                  </w:r>
                </w:p>
              </w:tc>
              <w:tc>
                <w:tcPr>
                  <w:tcW w:w="1978" w:type="dxa"/>
                </w:tcPr>
                <w:p w:rsidR="00391C7C" w:rsidRPr="00010F83" w:rsidRDefault="00391C7C" w:rsidP="00391C7C">
                  <w:pPr>
                    <w:pStyle w:val="BodyTextIndent"/>
                    <w:spacing w:before="0" w:line="240" w:lineRule="auto"/>
                    <w:ind w:left="0" w:firstLine="0"/>
                    <w:jc w:val="right"/>
                    <w:rPr>
                      <w:rFonts w:ascii="Arial" w:hAnsi="Arial" w:cs="Arial"/>
                      <w:bCs/>
                      <w:sz w:val="22"/>
                      <w:szCs w:val="22"/>
                      <w:lang w:val="nl-NL"/>
                    </w:rPr>
                  </w:pPr>
                  <w:r w:rsidRPr="00010F83">
                    <w:rPr>
                      <w:rFonts w:ascii="Arial" w:hAnsi="Arial" w:cs="Arial"/>
                      <w:bCs/>
                      <w:sz w:val="22"/>
                      <w:szCs w:val="22"/>
                      <w:lang w:val="nl-NL"/>
                    </w:rPr>
                    <w:t>9</w:t>
                  </w:r>
                </w:p>
              </w:tc>
            </w:tr>
            <w:tr w:rsidR="00391C7C" w:rsidRPr="00010F83" w:rsidTr="008307CC">
              <w:tc>
                <w:tcPr>
                  <w:tcW w:w="3065" w:type="dxa"/>
                </w:tcPr>
                <w:p w:rsidR="00391C7C" w:rsidRPr="00010F83" w:rsidRDefault="00753E9D" w:rsidP="00391C7C">
                  <w:pPr>
                    <w:pStyle w:val="BodyTextIndent"/>
                    <w:spacing w:before="0" w:line="240" w:lineRule="auto"/>
                    <w:ind w:left="0" w:firstLine="0"/>
                    <w:rPr>
                      <w:rFonts w:ascii="Arial" w:hAnsi="Arial" w:cs="Arial"/>
                      <w:bCs/>
                      <w:sz w:val="22"/>
                      <w:szCs w:val="22"/>
                      <w:lang w:val="nl-NL"/>
                    </w:rPr>
                  </w:pPr>
                  <w:r w:rsidRPr="00010F83">
                    <w:rPr>
                      <w:rFonts w:ascii="Arial" w:hAnsi="Arial" w:cs="Arial"/>
                      <w:bCs/>
                      <w:sz w:val="22"/>
                      <w:szCs w:val="22"/>
                      <w:lang w:val="nl-NL"/>
                    </w:rPr>
                    <w:t>Tiền bán thanh lý cao hơn nguyên giá</w:t>
                  </w:r>
                </w:p>
              </w:tc>
              <w:tc>
                <w:tcPr>
                  <w:tcW w:w="2160" w:type="dxa"/>
                  <w:tcBorders>
                    <w:bottom w:val="single" w:sz="12" w:space="0" w:color="auto"/>
                  </w:tcBorders>
                </w:tcPr>
                <w:p w:rsidR="00391C7C" w:rsidRPr="00010F83" w:rsidRDefault="00391C7C" w:rsidP="00391C7C">
                  <w:pPr>
                    <w:pStyle w:val="BodyTextIndent"/>
                    <w:spacing w:before="0" w:line="240" w:lineRule="auto"/>
                    <w:ind w:left="0" w:firstLine="0"/>
                    <w:jc w:val="right"/>
                    <w:rPr>
                      <w:rFonts w:ascii="Arial" w:hAnsi="Arial" w:cs="Arial"/>
                      <w:bCs/>
                      <w:sz w:val="22"/>
                      <w:szCs w:val="22"/>
                      <w:lang w:val="nl-NL"/>
                    </w:rPr>
                  </w:pPr>
                  <w:r w:rsidRPr="00010F83">
                    <w:rPr>
                      <w:rFonts w:ascii="Arial" w:hAnsi="Arial" w:cs="Arial"/>
                      <w:bCs/>
                      <w:sz w:val="22"/>
                      <w:szCs w:val="22"/>
                      <w:lang w:val="nl-NL"/>
                    </w:rPr>
                    <w:t>50</w:t>
                  </w:r>
                </w:p>
              </w:tc>
              <w:tc>
                <w:tcPr>
                  <w:tcW w:w="1233" w:type="dxa"/>
                </w:tcPr>
                <w:p w:rsidR="00391C7C" w:rsidRPr="00010F83" w:rsidRDefault="00391C7C" w:rsidP="00391C7C">
                  <w:pPr>
                    <w:pStyle w:val="BodyTextIndent"/>
                    <w:spacing w:before="0" w:line="240" w:lineRule="auto"/>
                    <w:ind w:left="0" w:firstLine="0"/>
                    <w:jc w:val="center"/>
                    <w:rPr>
                      <w:rFonts w:ascii="Arial" w:hAnsi="Arial" w:cs="Arial"/>
                      <w:bCs/>
                      <w:sz w:val="22"/>
                      <w:szCs w:val="22"/>
                      <w:lang w:val="nl-NL"/>
                    </w:rPr>
                  </w:pPr>
                  <w:r w:rsidRPr="00010F83">
                    <w:rPr>
                      <w:rFonts w:ascii="Arial" w:hAnsi="Arial" w:cs="Arial"/>
                      <w:bCs/>
                      <w:sz w:val="22"/>
                      <w:szCs w:val="22"/>
                      <w:lang w:val="nl-NL"/>
                    </w:rPr>
                    <w:t xml:space="preserve">        0      </w:t>
                  </w:r>
                </w:p>
              </w:tc>
              <w:tc>
                <w:tcPr>
                  <w:tcW w:w="1978" w:type="dxa"/>
                  <w:tcBorders>
                    <w:bottom w:val="single" w:sz="12" w:space="0" w:color="auto"/>
                  </w:tcBorders>
                </w:tcPr>
                <w:p w:rsidR="00391C7C" w:rsidRPr="00010F83" w:rsidRDefault="00391C7C" w:rsidP="00391C7C">
                  <w:pPr>
                    <w:pStyle w:val="BodyTextIndent"/>
                    <w:spacing w:before="0" w:line="240" w:lineRule="auto"/>
                    <w:ind w:left="0" w:firstLine="0"/>
                    <w:jc w:val="right"/>
                    <w:rPr>
                      <w:rFonts w:ascii="Arial" w:hAnsi="Arial" w:cs="Arial"/>
                      <w:bCs/>
                      <w:sz w:val="22"/>
                      <w:szCs w:val="22"/>
                      <w:lang w:val="nl-NL"/>
                    </w:rPr>
                  </w:pPr>
                  <w:r w:rsidRPr="00010F83">
                    <w:rPr>
                      <w:rFonts w:ascii="Arial" w:hAnsi="Arial" w:cs="Arial"/>
                      <w:bCs/>
                      <w:sz w:val="22"/>
                      <w:szCs w:val="22"/>
                      <w:lang w:val="nl-NL"/>
                    </w:rPr>
                    <w:t>-</w:t>
                  </w:r>
                </w:p>
              </w:tc>
            </w:tr>
            <w:tr w:rsidR="00391C7C" w:rsidRPr="00010F83" w:rsidTr="008307CC">
              <w:tc>
                <w:tcPr>
                  <w:tcW w:w="3065" w:type="dxa"/>
                </w:tcPr>
                <w:p w:rsidR="00391C7C" w:rsidRPr="00010F83" w:rsidRDefault="00391C7C" w:rsidP="00391C7C">
                  <w:pPr>
                    <w:pStyle w:val="BodyTextIndent"/>
                    <w:spacing w:before="0" w:line="240" w:lineRule="auto"/>
                    <w:ind w:left="0" w:firstLine="0"/>
                    <w:rPr>
                      <w:rFonts w:ascii="Arial" w:hAnsi="Arial" w:cs="Arial"/>
                      <w:bCs/>
                      <w:sz w:val="22"/>
                      <w:szCs w:val="22"/>
                      <w:lang w:val="nl-NL"/>
                    </w:rPr>
                  </w:pPr>
                  <w:r w:rsidRPr="00010F83">
                    <w:rPr>
                      <w:rFonts w:ascii="Arial" w:hAnsi="Arial" w:cs="Arial"/>
                      <w:bCs/>
                      <w:sz w:val="22"/>
                      <w:szCs w:val="22"/>
                      <w:lang w:val="nl-NL"/>
                    </w:rPr>
                    <w:t>Tổng</w:t>
                  </w:r>
                </w:p>
              </w:tc>
              <w:tc>
                <w:tcPr>
                  <w:tcW w:w="2160" w:type="dxa"/>
                  <w:tcBorders>
                    <w:top w:val="single" w:sz="12" w:space="0" w:color="auto"/>
                    <w:bottom w:val="thickThinSmallGap" w:sz="24" w:space="0" w:color="auto"/>
                  </w:tcBorders>
                </w:tcPr>
                <w:p w:rsidR="00391C7C" w:rsidRPr="00010F83" w:rsidRDefault="00391C7C" w:rsidP="00391C7C">
                  <w:pPr>
                    <w:pStyle w:val="BodyTextIndent"/>
                    <w:spacing w:before="0" w:line="240" w:lineRule="auto"/>
                    <w:ind w:left="0" w:firstLine="0"/>
                    <w:jc w:val="right"/>
                    <w:rPr>
                      <w:rFonts w:ascii="Arial" w:hAnsi="Arial" w:cs="Arial"/>
                      <w:bCs/>
                      <w:sz w:val="22"/>
                      <w:szCs w:val="22"/>
                      <w:lang w:val="nl-NL"/>
                    </w:rPr>
                  </w:pPr>
                  <w:r w:rsidRPr="00010F83">
                    <w:rPr>
                      <w:rFonts w:ascii="Arial" w:hAnsi="Arial" w:cs="Arial"/>
                      <w:bCs/>
                      <w:sz w:val="22"/>
                      <w:szCs w:val="22"/>
                      <w:lang w:val="nl-NL"/>
                    </w:rPr>
                    <w:t>80</w:t>
                  </w:r>
                </w:p>
              </w:tc>
              <w:tc>
                <w:tcPr>
                  <w:tcW w:w="1233" w:type="dxa"/>
                </w:tcPr>
                <w:p w:rsidR="00391C7C" w:rsidRPr="00010F83" w:rsidRDefault="00391C7C" w:rsidP="00391C7C">
                  <w:pPr>
                    <w:pStyle w:val="BodyTextIndent"/>
                    <w:spacing w:before="0" w:line="240" w:lineRule="auto"/>
                    <w:ind w:left="0" w:firstLine="0"/>
                    <w:jc w:val="right"/>
                    <w:rPr>
                      <w:rFonts w:ascii="Arial" w:hAnsi="Arial" w:cs="Arial"/>
                      <w:bCs/>
                      <w:sz w:val="22"/>
                      <w:szCs w:val="22"/>
                      <w:lang w:val="nl-NL"/>
                    </w:rPr>
                  </w:pPr>
                </w:p>
              </w:tc>
              <w:tc>
                <w:tcPr>
                  <w:tcW w:w="1978" w:type="dxa"/>
                  <w:tcBorders>
                    <w:top w:val="single" w:sz="12" w:space="0" w:color="auto"/>
                    <w:bottom w:val="thickThinSmallGap" w:sz="24" w:space="0" w:color="auto"/>
                  </w:tcBorders>
                </w:tcPr>
                <w:p w:rsidR="00391C7C" w:rsidRPr="00010F83" w:rsidRDefault="00391C7C" w:rsidP="00391C7C">
                  <w:pPr>
                    <w:pStyle w:val="BodyTextIndent"/>
                    <w:spacing w:before="0" w:line="240" w:lineRule="auto"/>
                    <w:ind w:left="0" w:firstLine="0"/>
                    <w:jc w:val="right"/>
                    <w:rPr>
                      <w:rFonts w:ascii="Arial" w:hAnsi="Arial" w:cs="Arial"/>
                      <w:bCs/>
                      <w:sz w:val="22"/>
                      <w:szCs w:val="22"/>
                      <w:lang w:val="nl-NL"/>
                    </w:rPr>
                  </w:pPr>
                  <w:r w:rsidRPr="00010F83">
                    <w:rPr>
                      <w:rFonts w:ascii="Arial" w:hAnsi="Arial" w:cs="Arial"/>
                      <w:bCs/>
                      <w:sz w:val="22"/>
                      <w:szCs w:val="22"/>
                      <w:lang w:val="nl-NL"/>
                    </w:rPr>
                    <w:t>9</w:t>
                  </w:r>
                </w:p>
              </w:tc>
            </w:tr>
          </w:tbl>
          <w:p w:rsidR="00391C7C" w:rsidRPr="00010F83" w:rsidRDefault="00391C7C" w:rsidP="00391C7C">
            <w:pPr>
              <w:pStyle w:val="TableParagraph"/>
              <w:tabs>
                <w:tab w:val="left" w:pos="3830"/>
                <w:tab w:val="right" w:pos="5848"/>
              </w:tabs>
              <w:kinsoku w:val="0"/>
              <w:overflowPunct w:val="0"/>
              <w:spacing w:before="132" w:after="120"/>
              <w:ind w:left="59"/>
              <w:jc w:val="both"/>
              <w:rPr>
                <w:rFonts w:ascii="Arial" w:hAnsi="Arial" w:cs="Arial"/>
                <w:i/>
                <w:iCs/>
                <w:sz w:val="22"/>
                <w:szCs w:val="22"/>
              </w:rPr>
            </w:pPr>
            <w:r w:rsidRPr="00010F83">
              <w:rPr>
                <w:rFonts w:ascii="Arial" w:hAnsi="Arial" w:cs="Arial"/>
                <w:i/>
                <w:iCs/>
                <w:sz w:val="22"/>
                <w:szCs w:val="22"/>
              </w:rPr>
              <w:t>(chú ý: theo đoạn 61A, khoản thuế hoãn lại tăng thêm phát sinh từ việc đánh giá lại tài sản được ghi nhận vào thu nhập toàn diện khác)</w:t>
            </w:r>
          </w:p>
        </w:tc>
      </w:tr>
    </w:tbl>
    <w:p w:rsidR="00C530A3" w:rsidRPr="00010F83" w:rsidRDefault="00C530A3" w:rsidP="00590853">
      <w:pPr>
        <w:autoSpaceDE w:val="0"/>
        <w:autoSpaceDN w:val="0"/>
        <w:adjustRightInd w:val="0"/>
        <w:spacing w:after="120" w:line="240" w:lineRule="auto"/>
        <w:jc w:val="both"/>
        <w:rPr>
          <w:rFonts w:ascii="Arial" w:hAnsi="Arial" w:cs="Arial"/>
          <w:b/>
          <w:bCs/>
        </w:rPr>
      </w:pPr>
    </w:p>
    <w:tbl>
      <w:tblPr>
        <w:tblStyle w:val="TableGrid"/>
        <w:tblW w:w="0" w:type="auto"/>
        <w:tblInd w:w="625" w:type="dxa"/>
        <w:tblLook w:val="04A0"/>
      </w:tblPr>
      <w:tblGrid>
        <w:gridCol w:w="8725"/>
      </w:tblGrid>
      <w:tr w:rsidR="00C530A3" w:rsidRPr="00010F83" w:rsidTr="00391C7C">
        <w:tc>
          <w:tcPr>
            <w:tcW w:w="8725" w:type="dxa"/>
          </w:tcPr>
          <w:p w:rsidR="00C530A3" w:rsidRPr="00010F83" w:rsidRDefault="00C530A3" w:rsidP="00590853">
            <w:pPr>
              <w:spacing w:after="120"/>
              <w:jc w:val="both"/>
              <w:rPr>
                <w:rFonts w:ascii="Arial" w:hAnsi="Arial" w:cs="Arial"/>
              </w:rPr>
            </w:pPr>
            <w:r w:rsidRPr="00010F83">
              <w:rPr>
                <w:rFonts w:ascii="Arial" w:hAnsi="Arial" w:cs="Arial"/>
                <w:b/>
                <w:bCs/>
              </w:rPr>
              <w:t>Ví dụ C</w:t>
            </w:r>
          </w:p>
        </w:tc>
      </w:tr>
      <w:tr w:rsidR="00C530A3" w:rsidRPr="00010F83" w:rsidTr="00391C7C">
        <w:tc>
          <w:tcPr>
            <w:tcW w:w="8725" w:type="dxa"/>
          </w:tcPr>
          <w:p w:rsidR="00C530A3" w:rsidRPr="00010F83" w:rsidRDefault="000B00E3" w:rsidP="00590853">
            <w:pPr>
              <w:pStyle w:val="TableParagraph"/>
              <w:kinsoku w:val="0"/>
              <w:overflowPunct w:val="0"/>
              <w:spacing w:before="41" w:after="120" w:line="285" w:lineRule="auto"/>
              <w:ind w:right="102"/>
              <w:jc w:val="both"/>
              <w:rPr>
                <w:rFonts w:ascii="Arial" w:hAnsi="Arial" w:cs="Arial"/>
                <w:w w:val="105"/>
                <w:sz w:val="22"/>
                <w:szCs w:val="22"/>
              </w:rPr>
            </w:pPr>
            <w:r w:rsidRPr="00010F83">
              <w:rPr>
                <w:rFonts w:ascii="Arial" w:hAnsi="Arial" w:cs="Arial"/>
                <w:w w:val="105"/>
                <w:sz w:val="22"/>
                <w:szCs w:val="22"/>
              </w:rPr>
              <w:t xml:space="preserve">Tình huống tương tự như ví dụ B, ngoại trừ </w:t>
            </w:r>
            <w:r w:rsidR="00DA7782" w:rsidRPr="00010F83">
              <w:rPr>
                <w:rFonts w:ascii="Arial" w:hAnsi="Arial" w:cs="Arial"/>
                <w:w w:val="105"/>
                <w:sz w:val="22"/>
                <w:szCs w:val="22"/>
              </w:rPr>
              <w:t xml:space="preserve">việc nếu </w:t>
            </w:r>
            <w:r w:rsidRPr="00010F83">
              <w:rPr>
                <w:rFonts w:ascii="Arial" w:hAnsi="Arial" w:cs="Arial"/>
                <w:w w:val="105"/>
                <w:sz w:val="22"/>
                <w:szCs w:val="22"/>
              </w:rPr>
              <w:t xml:space="preserve">tài sản sẽ được bán cao hơn </w:t>
            </w:r>
            <w:r w:rsidR="00753E9D" w:rsidRPr="00010F83">
              <w:rPr>
                <w:rFonts w:ascii="Arial" w:hAnsi="Arial" w:cs="Arial"/>
                <w:w w:val="105"/>
                <w:sz w:val="22"/>
                <w:szCs w:val="22"/>
              </w:rPr>
              <w:t xml:space="preserve">nguyên </w:t>
            </w:r>
            <w:r w:rsidRPr="00010F83">
              <w:rPr>
                <w:rFonts w:ascii="Arial" w:hAnsi="Arial" w:cs="Arial"/>
                <w:w w:val="105"/>
                <w:sz w:val="22"/>
                <w:szCs w:val="22"/>
              </w:rPr>
              <w:t xml:space="preserve">giá, khấu hao lũy kế sẽ </w:t>
            </w:r>
            <w:r w:rsidR="00DA7782" w:rsidRPr="00010F83">
              <w:rPr>
                <w:rFonts w:ascii="Arial" w:hAnsi="Arial" w:cs="Arial"/>
                <w:w w:val="105"/>
                <w:sz w:val="22"/>
                <w:szCs w:val="22"/>
              </w:rPr>
              <w:t>được dùng để tính</w:t>
            </w:r>
            <w:r w:rsidRPr="00010F83">
              <w:rPr>
                <w:rFonts w:ascii="Arial" w:hAnsi="Arial" w:cs="Arial"/>
                <w:w w:val="105"/>
                <w:sz w:val="22"/>
                <w:szCs w:val="22"/>
              </w:rPr>
              <w:t xml:space="preserve"> thu nhập chịu thuế (thuế suất 30%) và </w:t>
            </w:r>
            <w:r w:rsidR="00753E9D" w:rsidRPr="00010F83">
              <w:rPr>
                <w:rFonts w:ascii="Arial" w:hAnsi="Arial" w:cs="Arial"/>
                <w:w w:val="105"/>
                <w:sz w:val="22"/>
                <w:szCs w:val="22"/>
              </w:rPr>
              <w:t>tiền</w:t>
            </w:r>
            <w:r w:rsidRPr="00010F83">
              <w:rPr>
                <w:rFonts w:ascii="Arial" w:hAnsi="Arial" w:cs="Arial"/>
                <w:w w:val="105"/>
                <w:sz w:val="22"/>
                <w:szCs w:val="22"/>
              </w:rPr>
              <w:t xml:space="preserve"> bán tài sản sau khi đã trừ đi</w:t>
            </w:r>
            <w:r w:rsidR="00753E9D" w:rsidRPr="00010F83">
              <w:rPr>
                <w:rFonts w:ascii="Arial" w:hAnsi="Arial" w:cs="Arial"/>
                <w:w w:val="105"/>
                <w:sz w:val="22"/>
                <w:szCs w:val="22"/>
              </w:rPr>
              <w:t xml:space="preserve"> </w:t>
            </w:r>
            <w:r w:rsidR="00DA7782" w:rsidRPr="00010F83">
              <w:rPr>
                <w:rFonts w:ascii="Arial" w:hAnsi="Arial" w:cs="Arial"/>
                <w:w w:val="105"/>
                <w:sz w:val="22"/>
                <w:szCs w:val="22"/>
              </w:rPr>
              <w:t xml:space="preserve">nguyên </w:t>
            </w:r>
            <w:r w:rsidRPr="00010F83">
              <w:rPr>
                <w:rFonts w:ascii="Arial" w:hAnsi="Arial" w:cs="Arial"/>
                <w:w w:val="105"/>
                <w:sz w:val="22"/>
                <w:szCs w:val="22"/>
              </w:rPr>
              <w:t>giá gốc được điều chỉnh cho yếu tố lạm phát là 110 sẽ chịu mức thuế 40%.</w:t>
            </w:r>
          </w:p>
          <w:p w:rsidR="00C530A3" w:rsidRPr="00010F83" w:rsidRDefault="000B00E3" w:rsidP="00590853">
            <w:pPr>
              <w:pStyle w:val="TableParagraph"/>
              <w:kinsoku w:val="0"/>
              <w:overflowPunct w:val="0"/>
              <w:spacing w:before="121" w:after="120" w:line="285" w:lineRule="auto"/>
              <w:ind w:right="127"/>
              <w:jc w:val="both"/>
              <w:rPr>
                <w:rFonts w:ascii="Arial" w:hAnsi="Arial" w:cs="Arial"/>
                <w:i/>
                <w:iCs/>
                <w:sz w:val="22"/>
                <w:szCs w:val="22"/>
              </w:rPr>
            </w:pPr>
            <w:r w:rsidRPr="00010F83">
              <w:rPr>
                <w:rFonts w:ascii="Arial" w:hAnsi="Arial" w:cs="Arial"/>
                <w:i/>
                <w:iCs/>
                <w:sz w:val="22"/>
                <w:szCs w:val="22"/>
              </w:rPr>
              <w:t xml:space="preserve">Nếu đơn vị dự kiến tiếp tục sử dụng tài sản để thu hồi giá trị còn lại thì sẽ tạo ra thu nhập chịu thuế là 150, nhưng mức khấu hao được khấu trừ chỉ là 70. Theo cơ sở này, cơ sở tính thuế là 70, chênh lệch tạm thời chịu thuế là 80 và thuế hoãn </w:t>
            </w:r>
            <w:r w:rsidR="00A90127" w:rsidRPr="00010F83">
              <w:rPr>
                <w:rFonts w:ascii="Arial" w:hAnsi="Arial" w:cs="Arial"/>
                <w:i/>
                <w:iCs/>
                <w:sz w:val="22"/>
                <w:szCs w:val="22"/>
              </w:rPr>
              <w:t>lại</w:t>
            </w:r>
            <w:r w:rsidRPr="00010F83">
              <w:rPr>
                <w:rFonts w:ascii="Arial" w:hAnsi="Arial" w:cs="Arial"/>
                <w:i/>
                <w:iCs/>
                <w:sz w:val="22"/>
                <w:szCs w:val="22"/>
              </w:rPr>
              <w:t xml:space="preserve"> phải trả là 24 (80 x 30%), tương tự ví dụ B.</w:t>
            </w:r>
          </w:p>
          <w:p w:rsidR="00C530A3" w:rsidRPr="00010F83" w:rsidRDefault="000B00E3" w:rsidP="00590853">
            <w:pPr>
              <w:pStyle w:val="TableParagraph"/>
              <w:kinsoku w:val="0"/>
              <w:overflowPunct w:val="0"/>
              <w:spacing w:before="121" w:after="120" w:line="285" w:lineRule="auto"/>
              <w:ind w:right="127"/>
              <w:jc w:val="both"/>
              <w:rPr>
                <w:rFonts w:ascii="Arial" w:hAnsi="Arial" w:cs="Arial"/>
                <w:i/>
                <w:iCs/>
                <w:sz w:val="22"/>
                <w:szCs w:val="22"/>
              </w:rPr>
            </w:pPr>
            <w:r w:rsidRPr="00010F83">
              <w:rPr>
                <w:rFonts w:ascii="Arial" w:hAnsi="Arial" w:cs="Arial"/>
                <w:i/>
                <w:iCs/>
                <w:sz w:val="22"/>
                <w:szCs w:val="22"/>
              </w:rPr>
              <w:t xml:space="preserve">Nếu đơn vị dự định thu hồi giá trị ghi sổ của tài sản bằng cách bán ngay tài sản với giá 150, đơn vị sẽ được khấu trừ </w:t>
            </w:r>
            <w:r w:rsidR="00DA7782" w:rsidRPr="00010F83">
              <w:rPr>
                <w:rFonts w:ascii="Arial" w:hAnsi="Arial" w:cs="Arial"/>
                <w:i/>
                <w:iCs/>
                <w:sz w:val="22"/>
                <w:szCs w:val="22"/>
              </w:rPr>
              <w:t xml:space="preserve">nguyên </w:t>
            </w:r>
            <w:r w:rsidRPr="00010F83">
              <w:rPr>
                <w:rFonts w:ascii="Arial" w:hAnsi="Arial" w:cs="Arial"/>
                <w:i/>
                <w:iCs/>
                <w:sz w:val="22"/>
                <w:szCs w:val="22"/>
              </w:rPr>
              <w:t xml:space="preserve">giá </w:t>
            </w:r>
            <w:r w:rsidR="00DA7782" w:rsidRPr="00010F83">
              <w:rPr>
                <w:rFonts w:ascii="Arial" w:hAnsi="Arial" w:cs="Arial"/>
                <w:i/>
                <w:iCs/>
                <w:sz w:val="22"/>
                <w:szCs w:val="22"/>
              </w:rPr>
              <w:t xml:space="preserve">điều chỉnh </w:t>
            </w:r>
            <w:r w:rsidR="00A90127" w:rsidRPr="00010F83">
              <w:rPr>
                <w:rFonts w:ascii="Arial" w:hAnsi="Arial" w:cs="Arial"/>
                <w:i/>
                <w:iCs/>
                <w:sz w:val="22"/>
                <w:szCs w:val="22"/>
              </w:rPr>
              <w:t xml:space="preserve">lạm phát </w:t>
            </w:r>
            <w:r w:rsidRPr="00010F83">
              <w:rPr>
                <w:rFonts w:ascii="Arial" w:hAnsi="Arial" w:cs="Arial"/>
                <w:i/>
                <w:iCs/>
                <w:sz w:val="22"/>
                <w:szCs w:val="22"/>
              </w:rPr>
              <w:t xml:space="preserve">110. </w:t>
            </w:r>
            <w:r w:rsidR="00DA7782" w:rsidRPr="00010F83">
              <w:rPr>
                <w:rFonts w:ascii="Arial" w:hAnsi="Arial" w:cs="Arial"/>
                <w:i/>
                <w:iCs/>
                <w:sz w:val="22"/>
                <w:szCs w:val="22"/>
              </w:rPr>
              <w:t xml:space="preserve">Khoản lãi thuần </w:t>
            </w:r>
            <w:r w:rsidR="00A90127" w:rsidRPr="00010F83">
              <w:rPr>
                <w:rFonts w:ascii="Arial" w:hAnsi="Arial" w:cs="Arial"/>
                <w:i/>
                <w:iCs/>
                <w:sz w:val="22"/>
                <w:szCs w:val="22"/>
              </w:rPr>
              <w:t xml:space="preserve">từ giá thanh lý cao hơn </w:t>
            </w:r>
            <w:r w:rsidR="00DA7782" w:rsidRPr="00010F83">
              <w:rPr>
                <w:rFonts w:ascii="Arial" w:hAnsi="Arial" w:cs="Arial"/>
                <w:i/>
                <w:iCs/>
                <w:sz w:val="22"/>
                <w:szCs w:val="22"/>
              </w:rPr>
              <w:t xml:space="preserve">nguyên giá điều chỉnh </w:t>
            </w:r>
            <w:r w:rsidR="00A90127" w:rsidRPr="00010F83">
              <w:rPr>
                <w:rFonts w:ascii="Arial" w:hAnsi="Arial" w:cs="Arial"/>
                <w:i/>
                <w:iCs/>
                <w:sz w:val="22"/>
                <w:szCs w:val="22"/>
              </w:rPr>
              <w:t>là</w:t>
            </w:r>
            <w:r w:rsidRPr="00010F83">
              <w:rPr>
                <w:rFonts w:ascii="Arial" w:hAnsi="Arial" w:cs="Arial"/>
                <w:i/>
                <w:iCs/>
                <w:sz w:val="22"/>
                <w:szCs w:val="22"/>
              </w:rPr>
              <w:t xml:space="preserve"> 40 sẽ chịu thuế suất là 40%. Thêm nữa, mức khấu hao lũy kế theo thuế là 30 sẽ được tính vào thu nhập chịu thuế và chịu thuế suất ở mức 30%. Theo </w:t>
            </w:r>
            <w:r w:rsidR="00C41DDF" w:rsidRPr="00010F83">
              <w:rPr>
                <w:rFonts w:ascii="Arial" w:hAnsi="Arial" w:cs="Arial"/>
                <w:i/>
                <w:iCs/>
                <w:sz w:val="22"/>
                <w:szCs w:val="22"/>
              </w:rPr>
              <w:t>cách tính này</w:t>
            </w:r>
            <w:r w:rsidRPr="00010F83">
              <w:rPr>
                <w:rFonts w:ascii="Arial" w:hAnsi="Arial" w:cs="Arial"/>
                <w:i/>
                <w:iCs/>
                <w:sz w:val="22"/>
                <w:szCs w:val="22"/>
              </w:rPr>
              <w:t xml:space="preserve">, cơ sở tính thuế là 80 (110 trừ 30), chênh lệch tạm thời chịu thuế là 70 và </w:t>
            </w:r>
            <w:r w:rsidR="00731917" w:rsidRPr="00010F83">
              <w:rPr>
                <w:rFonts w:ascii="Arial" w:hAnsi="Arial" w:cs="Arial"/>
                <w:i/>
                <w:iCs/>
                <w:sz w:val="22"/>
                <w:szCs w:val="22"/>
              </w:rPr>
              <w:t>thuế TNDN</w:t>
            </w:r>
            <w:r w:rsidR="006805F0" w:rsidRPr="00010F83">
              <w:rPr>
                <w:rFonts w:ascii="Arial" w:hAnsi="Arial" w:cs="Arial"/>
                <w:i/>
                <w:iCs/>
                <w:sz w:val="22"/>
                <w:szCs w:val="22"/>
              </w:rPr>
              <w:t xml:space="preserve"> hoãn lại phải trả</w:t>
            </w:r>
            <w:r w:rsidRPr="00010F83">
              <w:rPr>
                <w:rFonts w:ascii="Arial" w:hAnsi="Arial" w:cs="Arial"/>
                <w:i/>
                <w:iCs/>
                <w:sz w:val="22"/>
                <w:szCs w:val="22"/>
              </w:rPr>
              <w:t xml:space="preserve"> là 25 (40 x 40% + 30 x 30%). Nếu cơ sở tính thuế không </w:t>
            </w:r>
            <w:r w:rsidR="00A90127" w:rsidRPr="00010F83">
              <w:rPr>
                <w:rFonts w:ascii="Arial" w:hAnsi="Arial" w:cs="Arial"/>
                <w:i/>
                <w:iCs/>
                <w:sz w:val="22"/>
                <w:szCs w:val="22"/>
              </w:rPr>
              <w:t xml:space="preserve">thể rõ ràng ngay lập tức như </w:t>
            </w:r>
            <w:r w:rsidRPr="00010F83">
              <w:rPr>
                <w:rFonts w:ascii="Arial" w:hAnsi="Arial" w:cs="Arial"/>
                <w:i/>
                <w:iCs/>
                <w:sz w:val="22"/>
                <w:szCs w:val="22"/>
              </w:rPr>
              <w:t xml:space="preserve">trong ví dụ này, </w:t>
            </w:r>
            <w:r w:rsidR="00A90127" w:rsidRPr="00010F83">
              <w:rPr>
                <w:rFonts w:ascii="Arial" w:hAnsi="Arial" w:cs="Arial"/>
                <w:i/>
                <w:iCs/>
                <w:sz w:val="22"/>
                <w:szCs w:val="22"/>
              </w:rPr>
              <w:t>có thể tham khảo</w:t>
            </w:r>
            <w:r w:rsidRPr="00010F83">
              <w:rPr>
                <w:rFonts w:ascii="Arial" w:hAnsi="Arial" w:cs="Arial"/>
                <w:i/>
                <w:iCs/>
                <w:sz w:val="22"/>
                <w:szCs w:val="22"/>
              </w:rPr>
              <w:t xml:space="preserve"> nguyên tắc cơ bản được quy định theo đoạn 10.</w:t>
            </w:r>
          </w:p>
          <w:p w:rsidR="00C530A3" w:rsidRPr="00010F83" w:rsidRDefault="000B00E3" w:rsidP="00590853">
            <w:pPr>
              <w:pStyle w:val="TableParagraph"/>
              <w:tabs>
                <w:tab w:val="left" w:pos="3830"/>
                <w:tab w:val="right" w:pos="5848"/>
              </w:tabs>
              <w:kinsoku w:val="0"/>
              <w:overflowPunct w:val="0"/>
              <w:spacing w:before="132" w:after="120"/>
              <w:ind w:left="59"/>
              <w:jc w:val="both"/>
              <w:rPr>
                <w:rFonts w:ascii="Arial" w:hAnsi="Arial" w:cs="Arial"/>
              </w:rPr>
            </w:pPr>
            <w:r w:rsidRPr="00010F83">
              <w:rPr>
                <w:rFonts w:ascii="Arial" w:hAnsi="Arial" w:cs="Arial"/>
                <w:i/>
                <w:iCs/>
                <w:sz w:val="22"/>
                <w:szCs w:val="22"/>
              </w:rPr>
              <w:t>(chú ý: theo đoạn 61A, khoản thuế hoãn lại tăng thêm phát sinh từ việc đánh giá lại tài sản được ghi nhận vào thu nhập toàn diện khác)</w:t>
            </w:r>
          </w:p>
        </w:tc>
      </w:tr>
    </w:tbl>
    <w:p w:rsidR="00C530A3" w:rsidRPr="00010F83" w:rsidRDefault="00C530A3" w:rsidP="00590853">
      <w:pPr>
        <w:autoSpaceDE w:val="0"/>
        <w:autoSpaceDN w:val="0"/>
        <w:adjustRightInd w:val="0"/>
        <w:spacing w:after="120" w:line="240" w:lineRule="auto"/>
        <w:jc w:val="both"/>
        <w:rPr>
          <w:rFonts w:ascii="Arial" w:hAnsi="Arial" w:cs="Arial"/>
          <w:b/>
          <w:bCs/>
        </w:rPr>
      </w:pPr>
    </w:p>
    <w:p w:rsidR="00391C7C" w:rsidRPr="00010F83" w:rsidRDefault="00C530A3" w:rsidP="00391C7C">
      <w:pPr>
        <w:autoSpaceDE w:val="0"/>
        <w:autoSpaceDN w:val="0"/>
        <w:adjustRightInd w:val="0"/>
        <w:spacing w:after="120" w:line="240" w:lineRule="auto"/>
        <w:ind w:left="720" w:hanging="720"/>
        <w:jc w:val="both"/>
        <w:rPr>
          <w:rFonts w:ascii="Arial" w:hAnsi="Arial" w:cs="Arial"/>
          <w:bCs/>
        </w:rPr>
      </w:pPr>
      <w:r w:rsidRPr="00010F83">
        <w:rPr>
          <w:rFonts w:ascii="Arial" w:hAnsi="Arial" w:cs="Arial"/>
          <w:bCs/>
        </w:rPr>
        <w:t xml:space="preserve">51B. </w:t>
      </w:r>
      <w:r w:rsidR="000B00E3" w:rsidRPr="00010F83">
        <w:rPr>
          <w:rFonts w:ascii="Arial" w:hAnsi="Arial" w:cs="Arial"/>
          <w:bCs/>
        </w:rPr>
        <w:tab/>
        <w:t>Nế</w:t>
      </w:r>
      <w:r w:rsidR="00256907" w:rsidRPr="00010F83">
        <w:rPr>
          <w:rFonts w:ascii="Arial" w:hAnsi="Arial" w:cs="Arial"/>
          <w:bCs/>
        </w:rPr>
        <w:t>u</w:t>
      </w:r>
      <w:r w:rsidR="000B00E3" w:rsidRPr="00010F83">
        <w:rPr>
          <w:rFonts w:ascii="Arial" w:hAnsi="Arial" w:cs="Arial"/>
          <w:bCs/>
        </w:rPr>
        <w:t xml:space="preserve"> </w:t>
      </w:r>
      <w:r w:rsidR="00A90127" w:rsidRPr="00010F83">
        <w:rPr>
          <w:rFonts w:ascii="Arial" w:hAnsi="Arial" w:cs="Arial"/>
          <w:bCs/>
        </w:rPr>
        <w:t xml:space="preserve">thuế TNDN hoãn lại </w:t>
      </w:r>
      <w:r w:rsidR="000B00E3" w:rsidRPr="00010F83">
        <w:rPr>
          <w:rFonts w:ascii="Arial" w:hAnsi="Arial" w:cs="Arial"/>
          <w:bCs/>
        </w:rPr>
        <w:t xml:space="preserve">phải trả hoặc </w:t>
      </w:r>
      <w:r w:rsidR="006805F0" w:rsidRPr="00010F83">
        <w:rPr>
          <w:rFonts w:ascii="Arial" w:hAnsi="Arial" w:cs="Arial"/>
          <w:bCs/>
        </w:rPr>
        <w:t xml:space="preserve">tài sản </w:t>
      </w:r>
      <w:r w:rsidR="00731917" w:rsidRPr="00010F83">
        <w:rPr>
          <w:rFonts w:ascii="Arial" w:hAnsi="Arial" w:cs="Arial"/>
          <w:bCs/>
        </w:rPr>
        <w:t>thuế TNDN</w:t>
      </w:r>
      <w:r w:rsidR="006805F0" w:rsidRPr="00010F83">
        <w:rPr>
          <w:rFonts w:ascii="Arial" w:hAnsi="Arial" w:cs="Arial"/>
          <w:bCs/>
        </w:rPr>
        <w:t xml:space="preserve"> hoãn lại</w:t>
      </w:r>
      <w:r w:rsidR="000B00E3" w:rsidRPr="00010F83">
        <w:rPr>
          <w:rFonts w:ascii="Arial" w:hAnsi="Arial" w:cs="Arial"/>
          <w:bCs/>
        </w:rPr>
        <w:t xml:space="preserve"> phát sinh từ một tài sản không khấu hao được xác định giá trị dựa trên việc sử dụng mô hình đánh giá lại theo IAS 16, thì việc xác định giá trị khoản </w:t>
      </w:r>
      <w:r w:rsidR="00731917" w:rsidRPr="00010F83">
        <w:rPr>
          <w:rFonts w:ascii="Arial" w:hAnsi="Arial" w:cs="Arial"/>
          <w:bCs/>
        </w:rPr>
        <w:t>thuế TNDN</w:t>
      </w:r>
      <w:r w:rsidR="006805F0" w:rsidRPr="00010F83">
        <w:rPr>
          <w:rFonts w:ascii="Arial" w:hAnsi="Arial" w:cs="Arial"/>
          <w:bCs/>
        </w:rPr>
        <w:t xml:space="preserve"> hoãn lại phải trả</w:t>
      </w:r>
      <w:r w:rsidR="000B00E3" w:rsidRPr="00010F83">
        <w:rPr>
          <w:rFonts w:ascii="Arial" w:hAnsi="Arial" w:cs="Arial"/>
          <w:bCs/>
        </w:rPr>
        <w:t xml:space="preserve"> hoặc </w:t>
      </w:r>
      <w:r w:rsidR="006805F0" w:rsidRPr="00010F83">
        <w:rPr>
          <w:rFonts w:ascii="Arial" w:hAnsi="Arial" w:cs="Arial"/>
          <w:bCs/>
        </w:rPr>
        <w:t xml:space="preserve">tài sản </w:t>
      </w:r>
      <w:r w:rsidR="00731917" w:rsidRPr="00010F83">
        <w:rPr>
          <w:rFonts w:ascii="Arial" w:hAnsi="Arial" w:cs="Arial"/>
          <w:bCs/>
        </w:rPr>
        <w:t>thuế TNDN</w:t>
      </w:r>
      <w:r w:rsidR="006805F0" w:rsidRPr="00010F83">
        <w:rPr>
          <w:rFonts w:ascii="Arial" w:hAnsi="Arial" w:cs="Arial"/>
          <w:bCs/>
        </w:rPr>
        <w:t xml:space="preserve"> hoãn lại</w:t>
      </w:r>
      <w:r w:rsidR="000B00E3" w:rsidRPr="00010F83">
        <w:rPr>
          <w:rFonts w:ascii="Arial" w:hAnsi="Arial" w:cs="Arial"/>
          <w:bCs/>
        </w:rPr>
        <w:t xml:space="preserve"> phải phản ánh các ảnh hưởng về thuế của việc thu hồi giá trị ghi sổ của tài sản không được khấu hao thông qua việc bán tài sản, không xét tới cơ sở xác định giá trị ghi sổ của tài sản.  Do vậy, nếu luật thuế quy định mức thuế suất áp dụng cho khoản chịu thuế phát sinh từ việc bán tài sản </w:t>
      </w:r>
      <w:r w:rsidR="00BC7FD3" w:rsidRPr="00010F83">
        <w:rPr>
          <w:rFonts w:ascii="Arial" w:hAnsi="Arial" w:cs="Arial"/>
          <w:bCs/>
        </w:rPr>
        <w:t xml:space="preserve">mà </w:t>
      </w:r>
      <w:r w:rsidR="000B00E3" w:rsidRPr="00010F83">
        <w:rPr>
          <w:rFonts w:ascii="Arial" w:hAnsi="Arial" w:cs="Arial"/>
          <w:bCs/>
        </w:rPr>
        <w:t xml:space="preserve">khác với mức thuế suất áp dụng cho khoản chịu thuế phát sinh từ việc sử dụng tài sản, thì mức thuế suất áp dụng cho việc bán tài sản sẽ được áp dụng để xác định giá trị khoản </w:t>
      </w:r>
      <w:r w:rsidR="00731917" w:rsidRPr="00010F83">
        <w:rPr>
          <w:rFonts w:ascii="Arial" w:hAnsi="Arial" w:cs="Arial"/>
          <w:bCs/>
        </w:rPr>
        <w:t>thuế TNDN</w:t>
      </w:r>
      <w:r w:rsidR="006805F0" w:rsidRPr="00010F83">
        <w:rPr>
          <w:rFonts w:ascii="Arial" w:hAnsi="Arial" w:cs="Arial"/>
          <w:bCs/>
        </w:rPr>
        <w:t xml:space="preserve"> hoãn lại phải trả</w:t>
      </w:r>
      <w:r w:rsidR="000B00E3" w:rsidRPr="00010F83">
        <w:rPr>
          <w:rFonts w:ascii="Arial" w:hAnsi="Arial" w:cs="Arial"/>
          <w:bCs/>
        </w:rPr>
        <w:t xml:space="preserve"> hoặc </w:t>
      </w:r>
      <w:r w:rsidR="006805F0" w:rsidRPr="00010F83">
        <w:rPr>
          <w:rFonts w:ascii="Arial" w:hAnsi="Arial" w:cs="Arial"/>
          <w:bCs/>
        </w:rPr>
        <w:t xml:space="preserve">tài sản </w:t>
      </w:r>
      <w:r w:rsidR="00731917" w:rsidRPr="00010F83">
        <w:rPr>
          <w:rFonts w:ascii="Arial" w:hAnsi="Arial" w:cs="Arial"/>
          <w:bCs/>
        </w:rPr>
        <w:t>thuế TNDN</w:t>
      </w:r>
      <w:r w:rsidR="006805F0" w:rsidRPr="00010F83">
        <w:rPr>
          <w:rFonts w:ascii="Arial" w:hAnsi="Arial" w:cs="Arial"/>
          <w:bCs/>
        </w:rPr>
        <w:t xml:space="preserve"> hoãn lại</w:t>
      </w:r>
      <w:r w:rsidR="000B00E3" w:rsidRPr="00010F83">
        <w:rPr>
          <w:rFonts w:ascii="Arial" w:hAnsi="Arial" w:cs="Arial"/>
          <w:bCs/>
        </w:rPr>
        <w:t xml:space="preserve"> liên quan tới tài sản không khấu hao.</w:t>
      </w:r>
    </w:p>
    <w:p w:rsidR="00391C7C" w:rsidRPr="00010F83" w:rsidRDefault="00391C7C">
      <w:pPr>
        <w:rPr>
          <w:rFonts w:ascii="Arial" w:hAnsi="Arial" w:cs="Arial"/>
          <w:bCs/>
        </w:rPr>
      </w:pPr>
      <w:r w:rsidRPr="00010F83">
        <w:rPr>
          <w:rFonts w:ascii="Arial" w:hAnsi="Arial" w:cs="Arial"/>
          <w:bCs/>
        </w:rPr>
        <w:lastRenderedPageBreak/>
        <w:br w:type="page"/>
      </w:r>
    </w:p>
    <w:p w:rsidR="00C530A3" w:rsidRPr="00010F83" w:rsidRDefault="00C530A3" w:rsidP="00391C7C">
      <w:pPr>
        <w:autoSpaceDE w:val="0"/>
        <w:autoSpaceDN w:val="0"/>
        <w:adjustRightInd w:val="0"/>
        <w:spacing w:after="120" w:line="240" w:lineRule="auto"/>
        <w:ind w:left="720" w:hanging="720"/>
        <w:jc w:val="both"/>
        <w:rPr>
          <w:rFonts w:ascii="Arial" w:hAnsi="Arial" w:cs="Arial"/>
          <w:bCs/>
        </w:rPr>
      </w:pPr>
    </w:p>
    <w:p w:rsidR="00C530A3" w:rsidRPr="00010F83" w:rsidRDefault="00C530A3" w:rsidP="00391C7C">
      <w:pPr>
        <w:autoSpaceDE w:val="0"/>
        <w:autoSpaceDN w:val="0"/>
        <w:adjustRightInd w:val="0"/>
        <w:spacing w:after="120" w:line="240" w:lineRule="auto"/>
        <w:ind w:left="720" w:hanging="720"/>
        <w:jc w:val="both"/>
        <w:rPr>
          <w:rFonts w:ascii="Arial" w:hAnsi="Arial" w:cs="Arial"/>
          <w:bCs/>
        </w:rPr>
      </w:pPr>
      <w:r w:rsidRPr="00010F83">
        <w:rPr>
          <w:rFonts w:ascii="Arial" w:hAnsi="Arial" w:cs="Arial"/>
          <w:bCs/>
        </w:rPr>
        <w:t xml:space="preserve">51C. </w:t>
      </w:r>
      <w:r w:rsidR="000B00E3" w:rsidRPr="00010F83">
        <w:rPr>
          <w:rFonts w:ascii="Arial" w:hAnsi="Arial" w:cs="Arial"/>
          <w:bCs/>
        </w:rPr>
        <w:tab/>
        <w:t xml:space="preserve">Nếu một khoản </w:t>
      </w:r>
      <w:r w:rsidR="00731917" w:rsidRPr="00010F83">
        <w:rPr>
          <w:rFonts w:ascii="Arial" w:hAnsi="Arial" w:cs="Arial"/>
          <w:bCs/>
        </w:rPr>
        <w:t>thuế TNDN</w:t>
      </w:r>
      <w:r w:rsidR="006805F0" w:rsidRPr="00010F83">
        <w:rPr>
          <w:rFonts w:ascii="Arial" w:hAnsi="Arial" w:cs="Arial"/>
          <w:bCs/>
        </w:rPr>
        <w:t xml:space="preserve"> hoãn lại phải trả</w:t>
      </w:r>
      <w:r w:rsidR="000B00E3" w:rsidRPr="00010F83">
        <w:rPr>
          <w:rFonts w:ascii="Arial" w:hAnsi="Arial" w:cs="Arial"/>
          <w:bCs/>
        </w:rPr>
        <w:t xml:space="preserve"> hoặc </w:t>
      </w:r>
      <w:r w:rsidR="006805F0" w:rsidRPr="00010F83">
        <w:rPr>
          <w:rFonts w:ascii="Arial" w:hAnsi="Arial" w:cs="Arial"/>
          <w:bCs/>
        </w:rPr>
        <w:t xml:space="preserve">tài sản </w:t>
      </w:r>
      <w:r w:rsidR="00731917" w:rsidRPr="00010F83">
        <w:rPr>
          <w:rFonts w:ascii="Arial" w:hAnsi="Arial" w:cs="Arial"/>
          <w:bCs/>
        </w:rPr>
        <w:t>thuế TNDN</w:t>
      </w:r>
      <w:r w:rsidR="006805F0" w:rsidRPr="00010F83">
        <w:rPr>
          <w:rFonts w:ascii="Arial" w:hAnsi="Arial" w:cs="Arial"/>
          <w:bCs/>
        </w:rPr>
        <w:t xml:space="preserve"> hoãn lại</w:t>
      </w:r>
      <w:r w:rsidR="000B00E3" w:rsidRPr="00010F83">
        <w:rPr>
          <w:rFonts w:ascii="Arial" w:hAnsi="Arial" w:cs="Arial"/>
          <w:bCs/>
        </w:rPr>
        <w:t xml:space="preserve"> phát sinh từ bất động sản đầu tư được xác định giá trị thông qua sử dụng mô hình giá trị hợp lý theo IAS 40, </w:t>
      </w:r>
      <w:r w:rsidR="00BC7FD3" w:rsidRPr="00010F83">
        <w:rPr>
          <w:rFonts w:ascii="Arial" w:hAnsi="Arial" w:cs="Arial"/>
          <w:bCs/>
        </w:rPr>
        <w:t>đồng nghĩa</w:t>
      </w:r>
      <w:r w:rsidR="00D0324E" w:rsidRPr="00010F83">
        <w:rPr>
          <w:rFonts w:ascii="Arial" w:hAnsi="Arial" w:cs="Arial"/>
          <w:bCs/>
        </w:rPr>
        <w:t xml:space="preserve"> với</w:t>
      </w:r>
      <w:r w:rsidR="000B00E3" w:rsidRPr="00010F83">
        <w:rPr>
          <w:rFonts w:ascii="Arial" w:hAnsi="Arial" w:cs="Arial"/>
          <w:bCs/>
        </w:rPr>
        <w:t xml:space="preserve"> giả định rằng giá trị còn lại của bất động sản đầu tư </w:t>
      </w:r>
      <w:r w:rsidR="00BC7FD3" w:rsidRPr="00010F83">
        <w:rPr>
          <w:rFonts w:ascii="Arial" w:hAnsi="Arial" w:cs="Arial"/>
          <w:bCs/>
        </w:rPr>
        <w:t xml:space="preserve">sẽ </w:t>
      </w:r>
      <w:r w:rsidR="000B00E3" w:rsidRPr="00010F83">
        <w:rPr>
          <w:rFonts w:ascii="Arial" w:hAnsi="Arial" w:cs="Arial"/>
          <w:bCs/>
        </w:rPr>
        <w:t xml:space="preserve">được thu hồi thông qua việc bán tài sản. Do vậy, trừ khi </w:t>
      </w:r>
      <w:r w:rsidR="004B1BC4" w:rsidRPr="00010F83">
        <w:rPr>
          <w:rFonts w:ascii="Arial" w:hAnsi="Arial" w:cs="Arial"/>
          <w:bCs/>
        </w:rPr>
        <w:t xml:space="preserve">có bằng chứng cho thấy </w:t>
      </w:r>
      <w:r w:rsidR="000B00E3" w:rsidRPr="00010F83">
        <w:rPr>
          <w:rFonts w:ascii="Arial" w:hAnsi="Arial" w:cs="Arial"/>
          <w:bCs/>
        </w:rPr>
        <w:t xml:space="preserve">giả định bị bác bỏ, việc xác định khoản </w:t>
      </w:r>
      <w:r w:rsidR="00731917" w:rsidRPr="00010F83">
        <w:rPr>
          <w:rFonts w:ascii="Arial" w:hAnsi="Arial" w:cs="Arial"/>
          <w:bCs/>
        </w:rPr>
        <w:t>thuế TNDN</w:t>
      </w:r>
      <w:r w:rsidR="006805F0" w:rsidRPr="00010F83">
        <w:rPr>
          <w:rFonts w:ascii="Arial" w:hAnsi="Arial" w:cs="Arial"/>
          <w:bCs/>
        </w:rPr>
        <w:t xml:space="preserve"> hoãn lại phải trả</w:t>
      </w:r>
      <w:r w:rsidR="000B00E3" w:rsidRPr="00010F83">
        <w:rPr>
          <w:rFonts w:ascii="Arial" w:hAnsi="Arial" w:cs="Arial"/>
          <w:bCs/>
        </w:rPr>
        <w:t xml:space="preserve"> hoặc </w:t>
      </w:r>
      <w:r w:rsidR="006805F0" w:rsidRPr="00010F83">
        <w:rPr>
          <w:rFonts w:ascii="Arial" w:hAnsi="Arial" w:cs="Arial"/>
          <w:bCs/>
        </w:rPr>
        <w:t xml:space="preserve">tài sản </w:t>
      </w:r>
      <w:r w:rsidR="00731917" w:rsidRPr="00010F83">
        <w:rPr>
          <w:rFonts w:ascii="Arial" w:hAnsi="Arial" w:cs="Arial"/>
          <w:bCs/>
        </w:rPr>
        <w:t>thuế TNDN</w:t>
      </w:r>
      <w:r w:rsidR="006805F0" w:rsidRPr="00010F83">
        <w:rPr>
          <w:rFonts w:ascii="Arial" w:hAnsi="Arial" w:cs="Arial"/>
          <w:bCs/>
        </w:rPr>
        <w:t xml:space="preserve"> hoãn lại</w:t>
      </w:r>
      <w:r w:rsidR="000B00E3" w:rsidRPr="00010F83">
        <w:rPr>
          <w:rFonts w:ascii="Arial" w:hAnsi="Arial" w:cs="Arial"/>
          <w:bCs/>
        </w:rPr>
        <w:t xml:space="preserve"> phải phản ánh ảnh hưởng về thuế phát sinh từ việc thu hồi giá trị còn lại của bất động sản đầu tư hoàn toàn thông qua việc bán tài sản. Giả định này </w:t>
      </w:r>
      <w:r w:rsidR="004B1BC4" w:rsidRPr="00010F83">
        <w:rPr>
          <w:rFonts w:ascii="Arial" w:hAnsi="Arial" w:cs="Arial"/>
          <w:bCs/>
        </w:rPr>
        <w:t>có thể xem là bị</w:t>
      </w:r>
      <w:r w:rsidR="000B00E3" w:rsidRPr="00010F83">
        <w:rPr>
          <w:rFonts w:ascii="Arial" w:hAnsi="Arial" w:cs="Arial"/>
          <w:bCs/>
        </w:rPr>
        <w:t xml:space="preserve"> bác bỏ nếu bất động sản đầu tư </w:t>
      </w:r>
      <w:r w:rsidR="004B1BC4" w:rsidRPr="00010F83">
        <w:rPr>
          <w:rFonts w:ascii="Arial" w:hAnsi="Arial" w:cs="Arial"/>
          <w:bCs/>
        </w:rPr>
        <w:t xml:space="preserve">là tài sản </w:t>
      </w:r>
      <w:r w:rsidR="000B00E3" w:rsidRPr="00010F83">
        <w:rPr>
          <w:rFonts w:ascii="Arial" w:hAnsi="Arial" w:cs="Arial"/>
          <w:bCs/>
        </w:rPr>
        <w:t>có thể khấu hao</w:t>
      </w:r>
      <w:r w:rsidR="004B1BC4" w:rsidRPr="00010F83">
        <w:rPr>
          <w:rFonts w:ascii="Arial" w:hAnsi="Arial" w:cs="Arial"/>
          <w:bCs/>
        </w:rPr>
        <w:t>,</w:t>
      </w:r>
      <w:r w:rsidR="000B00E3" w:rsidRPr="00010F83">
        <w:rPr>
          <w:rFonts w:ascii="Arial" w:hAnsi="Arial" w:cs="Arial"/>
          <w:bCs/>
        </w:rPr>
        <w:t xml:space="preserve"> và </w:t>
      </w:r>
      <w:r w:rsidR="004B1BC4" w:rsidRPr="00010F83">
        <w:rPr>
          <w:rFonts w:ascii="Arial" w:hAnsi="Arial" w:cs="Arial"/>
          <w:bCs/>
        </w:rPr>
        <w:t>dự kiến sử dụng</w:t>
      </w:r>
      <w:r w:rsidR="000B00E3" w:rsidRPr="00010F83">
        <w:rPr>
          <w:rFonts w:ascii="Arial" w:hAnsi="Arial" w:cs="Arial"/>
          <w:bCs/>
        </w:rPr>
        <w:t xml:space="preserve"> trong mô hình kinh doanh với mụ</w:t>
      </w:r>
      <w:r w:rsidR="004B1BC4" w:rsidRPr="00010F83">
        <w:rPr>
          <w:rFonts w:ascii="Arial" w:hAnsi="Arial" w:cs="Arial"/>
          <w:bCs/>
        </w:rPr>
        <w:t xml:space="preserve">c đích thu </w:t>
      </w:r>
      <w:r w:rsidR="000B00E3" w:rsidRPr="00010F83">
        <w:rPr>
          <w:rFonts w:ascii="Arial" w:hAnsi="Arial" w:cs="Arial"/>
          <w:bCs/>
        </w:rPr>
        <w:t xml:space="preserve">lợi ích kinh </w:t>
      </w:r>
      <w:r w:rsidR="00BC7FD3" w:rsidRPr="00010F83">
        <w:rPr>
          <w:rFonts w:ascii="Arial" w:hAnsi="Arial" w:cs="Arial"/>
          <w:bCs/>
        </w:rPr>
        <w:t>tế</w:t>
      </w:r>
      <w:r w:rsidR="000B00E3" w:rsidRPr="00010F83">
        <w:rPr>
          <w:rFonts w:ascii="Arial" w:hAnsi="Arial" w:cs="Arial"/>
          <w:bCs/>
        </w:rPr>
        <w:t xml:space="preserve"> gắn với bất động sản đầu tư theo thời gian thay vì </w:t>
      </w:r>
      <w:r w:rsidR="00BC7FD3" w:rsidRPr="00010F83">
        <w:rPr>
          <w:rFonts w:ascii="Arial" w:hAnsi="Arial" w:cs="Arial"/>
          <w:bCs/>
        </w:rPr>
        <w:t xml:space="preserve">thu lợi ích kinh tế </w:t>
      </w:r>
      <w:r w:rsidR="000B00E3" w:rsidRPr="00010F83">
        <w:rPr>
          <w:rFonts w:ascii="Arial" w:hAnsi="Arial" w:cs="Arial"/>
          <w:bCs/>
        </w:rPr>
        <w:t xml:space="preserve">thông qua việc bán tài sản. Nếu giả định bị bác bỏ, cần thực hiện </w:t>
      </w:r>
      <w:proofErr w:type="gramStart"/>
      <w:r w:rsidR="000B00E3" w:rsidRPr="00010F83">
        <w:rPr>
          <w:rFonts w:ascii="Arial" w:hAnsi="Arial" w:cs="Arial"/>
          <w:bCs/>
        </w:rPr>
        <w:t>theo</w:t>
      </w:r>
      <w:proofErr w:type="gramEnd"/>
      <w:r w:rsidR="000B00E3" w:rsidRPr="00010F83">
        <w:rPr>
          <w:rFonts w:ascii="Arial" w:hAnsi="Arial" w:cs="Arial"/>
          <w:bCs/>
        </w:rPr>
        <w:t xml:space="preserve"> các </w:t>
      </w:r>
      <w:r w:rsidR="004B1BC4" w:rsidRPr="00010F83">
        <w:rPr>
          <w:rFonts w:ascii="Arial" w:hAnsi="Arial" w:cs="Arial"/>
          <w:bCs/>
        </w:rPr>
        <w:t>hướng dẫn</w:t>
      </w:r>
      <w:r w:rsidR="000B00E3" w:rsidRPr="00010F83">
        <w:rPr>
          <w:rFonts w:ascii="Arial" w:hAnsi="Arial" w:cs="Arial"/>
          <w:bCs/>
        </w:rPr>
        <w:t xml:space="preserve"> đưa ra trong đoạn 51 và 51A.</w:t>
      </w:r>
    </w:p>
    <w:tbl>
      <w:tblPr>
        <w:tblStyle w:val="TableGrid"/>
        <w:tblW w:w="8820" w:type="dxa"/>
        <w:tblInd w:w="625" w:type="dxa"/>
        <w:tblBorders>
          <w:bottom w:val="none" w:sz="0" w:space="0" w:color="auto"/>
        </w:tblBorders>
        <w:tblLook w:val="04A0"/>
      </w:tblPr>
      <w:tblGrid>
        <w:gridCol w:w="8820"/>
      </w:tblGrid>
      <w:tr w:rsidR="00C530A3" w:rsidRPr="00010F83" w:rsidTr="00391C7C">
        <w:tc>
          <w:tcPr>
            <w:tcW w:w="8820" w:type="dxa"/>
          </w:tcPr>
          <w:p w:rsidR="00C530A3" w:rsidRPr="00010F83" w:rsidRDefault="000B00E3" w:rsidP="00590853">
            <w:pPr>
              <w:spacing w:after="120"/>
              <w:jc w:val="both"/>
              <w:rPr>
                <w:rFonts w:ascii="Arial" w:hAnsi="Arial" w:cs="Arial"/>
              </w:rPr>
            </w:pPr>
            <w:r w:rsidRPr="00010F83">
              <w:rPr>
                <w:rFonts w:ascii="Arial" w:hAnsi="Arial" w:cs="Arial"/>
                <w:b/>
                <w:bCs/>
              </w:rPr>
              <w:t>Ví dụ minh họa cho đoạn 51C</w:t>
            </w:r>
          </w:p>
        </w:tc>
      </w:tr>
      <w:tr w:rsidR="00C530A3" w:rsidRPr="00010F83" w:rsidTr="00391C7C">
        <w:tc>
          <w:tcPr>
            <w:tcW w:w="8820" w:type="dxa"/>
          </w:tcPr>
          <w:p w:rsidR="00C530A3" w:rsidRPr="00010F83" w:rsidRDefault="000B00E3" w:rsidP="00590853">
            <w:pPr>
              <w:spacing w:after="120"/>
              <w:jc w:val="both"/>
              <w:rPr>
                <w:rFonts w:ascii="Arial" w:hAnsi="Arial" w:cs="Arial"/>
              </w:rPr>
            </w:pPr>
            <w:r w:rsidRPr="00010F83">
              <w:rPr>
                <w:rFonts w:ascii="Arial" w:hAnsi="Arial" w:cs="Arial"/>
              </w:rPr>
              <w:t>Mộ</w:t>
            </w:r>
            <w:r w:rsidR="00AB590E" w:rsidRPr="00010F83">
              <w:rPr>
                <w:rFonts w:ascii="Arial" w:hAnsi="Arial" w:cs="Arial"/>
              </w:rPr>
              <w:t xml:space="preserve">t </w:t>
            </w:r>
            <w:r w:rsidRPr="00010F83">
              <w:rPr>
                <w:rFonts w:ascii="Arial" w:hAnsi="Arial" w:cs="Arial"/>
              </w:rPr>
              <w:t xml:space="preserve">bất động sản đầu tư có </w:t>
            </w:r>
            <w:r w:rsidR="00AB590E" w:rsidRPr="00010F83">
              <w:rPr>
                <w:rFonts w:ascii="Arial" w:hAnsi="Arial" w:cs="Arial"/>
              </w:rPr>
              <w:t>nguyên giá</w:t>
            </w:r>
            <w:r w:rsidRPr="00010F83">
              <w:rPr>
                <w:rFonts w:ascii="Arial" w:hAnsi="Arial" w:cs="Arial"/>
              </w:rPr>
              <w:t xml:space="preserve"> là 100 và giá trị hợp lý là 150. Tài sản này được xác định giá trị theo mô hình giá trị hợp lý trong IAS 40. </w:t>
            </w:r>
            <w:r w:rsidR="00AB590E" w:rsidRPr="00010F83">
              <w:rPr>
                <w:rFonts w:ascii="Arial" w:hAnsi="Arial" w:cs="Arial"/>
              </w:rPr>
              <w:t>B</w:t>
            </w:r>
            <w:r w:rsidRPr="00010F83">
              <w:rPr>
                <w:rFonts w:ascii="Arial" w:hAnsi="Arial" w:cs="Arial"/>
              </w:rPr>
              <w:t xml:space="preserve">ất động sản đầu tư này gồm </w:t>
            </w:r>
            <w:r w:rsidR="00AB590E" w:rsidRPr="00010F83">
              <w:rPr>
                <w:rFonts w:ascii="Arial" w:hAnsi="Arial" w:cs="Arial"/>
              </w:rPr>
              <w:t xml:space="preserve">quyền sử dụng </w:t>
            </w:r>
            <w:r w:rsidRPr="00010F83">
              <w:rPr>
                <w:rFonts w:ascii="Arial" w:hAnsi="Arial" w:cs="Arial"/>
              </w:rPr>
              <w:t>đấ</w:t>
            </w:r>
            <w:r w:rsidR="00AB590E" w:rsidRPr="00010F83">
              <w:rPr>
                <w:rFonts w:ascii="Arial" w:hAnsi="Arial" w:cs="Arial"/>
              </w:rPr>
              <w:t>t</w:t>
            </w:r>
            <w:r w:rsidRPr="00010F83">
              <w:rPr>
                <w:rFonts w:ascii="Arial" w:hAnsi="Arial" w:cs="Arial"/>
              </w:rPr>
              <w:t xml:space="preserve"> với </w:t>
            </w:r>
            <w:r w:rsidR="00AB590E" w:rsidRPr="00010F83">
              <w:rPr>
                <w:rFonts w:ascii="Arial" w:hAnsi="Arial" w:cs="Arial"/>
              </w:rPr>
              <w:t>nguyên giá</w:t>
            </w:r>
            <w:r w:rsidRPr="00010F83">
              <w:rPr>
                <w:rFonts w:ascii="Arial" w:hAnsi="Arial" w:cs="Arial"/>
              </w:rPr>
              <w:t xml:space="preserve"> là 40, giá trị hợp lý là 60 và nhà cửa</w:t>
            </w:r>
            <w:r w:rsidR="00AB590E" w:rsidRPr="00010F83">
              <w:rPr>
                <w:rFonts w:ascii="Arial" w:hAnsi="Arial" w:cs="Arial"/>
              </w:rPr>
              <w:t>, vật kiến trúc</w:t>
            </w:r>
            <w:r w:rsidRPr="00010F83">
              <w:rPr>
                <w:rFonts w:ascii="Arial" w:hAnsi="Arial" w:cs="Arial"/>
              </w:rPr>
              <w:t xml:space="preserve"> với giá gốc là 60, giá trị hợp lý là 90. </w:t>
            </w:r>
            <w:r w:rsidR="00AB590E" w:rsidRPr="00010F83">
              <w:rPr>
                <w:rFonts w:ascii="Arial" w:hAnsi="Arial" w:cs="Arial"/>
              </w:rPr>
              <w:t>Quyền sử dụng đất có thời hạn</w:t>
            </w:r>
            <w:r w:rsidR="00C903B1" w:rsidRPr="00010F83">
              <w:rPr>
                <w:rFonts w:ascii="Arial" w:hAnsi="Arial" w:cs="Arial"/>
              </w:rPr>
              <w:t xml:space="preserve"> không</w:t>
            </w:r>
            <w:r w:rsidR="00AB590E" w:rsidRPr="00010F83">
              <w:rPr>
                <w:rFonts w:ascii="Arial" w:hAnsi="Arial" w:cs="Arial"/>
              </w:rPr>
              <w:t xml:space="preserve"> xác định</w:t>
            </w:r>
            <w:r w:rsidRPr="00010F83">
              <w:rPr>
                <w:rFonts w:ascii="Arial" w:hAnsi="Arial" w:cs="Arial"/>
              </w:rPr>
              <w:t>.</w:t>
            </w:r>
          </w:p>
          <w:p w:rsidR="00C530A3" w:rsidRPr="00010F83" w:rsidRDefault="000B00E3" w:rsidP="00590853">
            <w:pPr>
              <w:spacing w:after="120"/>
              <w:jc w:val="both"/>
              <w:rPr>
                <w:rFonts w:ascii="Arial" w:hAnsi="Arial" w:cs="Arial"/>
              </w:rPr>
            </w:pPr>
            <w:r w:rsidRPr="00010F83">
              <w:rPr>
                <w:rFonts w:ascii="Arial" w:hAnsi="Arial" w:cs="Arial"/>
              </w:rPr>
              <w:t>Khấu hao lũy kế của nhà</w:t>
            </w:r>
            <w:r w:rsidR="00AB590E" w:rsidRPr="00010F83">
              <w:rPr>
                <w:rFonts w:ascii="Arial" w:hAnsi="Arial" w:cs="Arial"/>
              </w:rPr>
              <w:t xml:space="preserve"> cửa, vật kiến trúc</w:t>
            </w:r>
            <w:r w:rsidRPr="00010F83">
              <w:rPr>
                <w:rFonts w:ascii="Arial" w:hAnsi="Arial" w:cs="Arial"/>
              </w:rPr>
              <w:t xml:space="preserve"> cho mục đích tính thuế là 30. </w:t>
            </w:r>
            <w:r w:rsidR="00AB590E" w:rsidRPr="00010F83">
              <w:rPr>
                <w:rFonts w:ascii="Arial" w:hAnsi="Arial" w:cs="Arial"/>
              </w:rPr>
              <w:t>T</w:t>
            </w:r>
            <w:r w:rsidRPr="00010F83">
              <w:rPr>
                <w:rFonts w:ascii="Arial" w:hAnsi="Arial" w:cs="Arial"/>
              </w:rPr>
              <w:t>hay đổi giá trị hợp lý</w:t>
            </w:r>
            <w:r w:rsidR="00C903B1" w:rsidRPr="00010F83">
              <w:rPr>
                <w:rFonts w:ascii="Arial" w:hAnsi="Arial" w:cs="Arial"/>
              </w:rPr>
              <w:t xml:space="preserve"> (lãi lỗ chưa thực hiện</w:t>
            </w:r>
            <w:proofErr w:type="gramStart"/>
            <w:r w:rsidR="00C903B1" w:rsidRPr="00010F83">
              <w:rPr>
                <w:rFonts w:ascii="Arial" w:hAnsi="Arial" w:cs="Arial"/>
              </w:rPr>
              <w:t xml:space="preserve">) </w:t>
            </w:r>
            <w:r w:rsidRPr="00010F83">
              <w:rPr>
                <w:rFonts w:ascii="Arial" w:hAnsi="Arial" w:cs="Arial"/>
              </w:rPr>
              <w:t xml:space="preserve"> của</w:t>
            </w:r>
            <w:proofErr w:type="gramEnd"/>
            <w:r w:rsidRPr="00010F83">
              <w:rPr>
                <w:rFonts w:ascii="Arial" w:hAnsi="Arial" w:cs="Arial"/>
              </w:rPr>
              <w:t xml:space="preserve"> bất động sản đầu tư không làm ảnh hưởng tới lợi nhuận tính thuế. Nếu bất động sản đầu tư được bán với giá cao hơn </w:t>
            </w:r>
            <w:r w:rsidR="00AB590E" w:rsidRPr="00010F83">
              <w:rPr>
                <w:rFonts w:ascii="Arial" w:hAnsi="Arial" w:cs="Arial"/>
              </w:rPr>
              <w:t xml:space="preserve">nguyên </w:t>
            </w:r>
            <w:r w:rsidRPr="00010F83">
              <w:rPr>
                <w:rFonts w:ascii="Arial" w:hAnsi="Arial" w:cs="Arial"/>
              </w:rPr>
              <w:t xml:space="preserve">giá </w:t>
            </w:r>
            <w:r w:rsidR="00AB590E" w:rsidRPr="00010F83">
              <w:rPr>
                <w:rFonts w:ascii="Arial" w:hAnsi="Arial" w:cs="Arial"/>
              </w:rPr>
              <w:t>ban đầu</w:t>
            </w:r>
            <w:r w:rsidRPr="00010F83">
              <w:rPr>
                <w:rFonts w:ascii="Arial" w:hAnsi="Arial" w:cs="Arial"/>
              </w:rPr>
              <w:t xml:space="preserve">, thì khoản khấu hao lũy kế tính thuế là 30 sẽ được </w:t>
            </w:r>
            <w:r w:rsidR="00C903B1" w:rsidRPr="00010F83">
              <w:rPr>
                <w:rFonts w:ascii="Arial" w:hAnsi="Arial" w:cs="Arial"/>
              </w:rPr>
              <w:t xml:space="preserve">hoàn nhập </w:t>
            </w:r>
            <w:r w:rsidR="00AB590E" w:rsidRPr="00010F83">
              <w:rPr>
                <w:rFonts w:ascii="Arial" w:hAnsi="Arial" w:cs="Arial"/>
              </w:rPr>
              <w:t>khi xác định</w:t>
            </w:r>
            <w:r w:rsidRPr="00010F83">
              <w:rPr>
                <w:rFonts w:ascii="Arial" w:hAnsi="Arial" w:cs="Arial"/>
              </w:rPr>
              <w:t xml:space="preserve"> lợi nhuận tính thuế và chịu mức thuế suất thông thường là 30%. Đối với phần </w:t>
            </w:r>
            <w:r w:rsidR="00AB590E" w:rsidRPr="00010F83">
              <w:rPr>
                <w:rFonts w:ascii="Arial" w:hAnsi="Arial" w:cs="Arial"/>
              </w:rPr>
              <w:t>giá</w:t>
            </w:r>
            <w:r w:rsidRPr="00010F83">
              <w:rPr>
                <w:rFonts w:ascii="Arial" w:hAnsi="Arial" w:cs="Arial"/>
              </w:rPr>
              <w:t xml:space="preserve"> bán cao hơn </w:t>
            </w:r>
            <w:r w:rsidR="00AB590E" w:rsidRPr="00010F83">
              <w:rPr>
                <w:rFonts w:ascii="Arial" w:hAnsi="Arial" w:cs="Arial"/>
              </w:rPr>
              <w:t xml:space="preserve">nguyên </w:t>
            </w:r>
            <w:r w:rsidRPr="00010F83">
              <w:rPr>
                <w:rFonts w:ascii="Arial" w:hAnsi="Arial" w:cs="Arial"/>
              </w:rPr>
              <w:t xml:space="preserve">giá </w:t>
            </w:r>
            <w:r w:rsidR="00AB590E" w:rsidRPr="00010F83">
              <w:rPr>
                <w:rFonts w:ascii="Arial" w:hAnsi="Arial" w:cs="Arial"/>
              </w:rPr>
              <w:t>ban đầu</w:t>
            </w:r>
            <w:r w:rsidRPr="00010F83">
              <w:rPr>
                <w:rFonts w:ascii="Arial" w:hAnsi="Arial" w:cs="Arial"/>
              </w:rPr>
              <w:t>, luật thuế quy định mức thuế suất là 25% cho tài sản nắm giữ dướ</w:t>
            </w:r>
            <w:r w:rsidR="00AB590E" w:rsidRPr="00010F83">
              <w:rPr>
                <w:rFonts w:ascii="Arial" w:hAnsi="Arial" w:cs="Arial"/>
              </w:rPr>
              <w:t>i 2 năm và</w:t>
            </w:r>
            <w:r w:rsidRPr="00010F83">
              <w:rPr>
                <w:rFonts w:ascii="Arial" w:hAnsi="Arial" w:cs="Arial"/>
              </w:rPr>
              <w:t xml:space="preserve"> 20% cho tài sản nắm giữ từ 2 năm trở lên.</w:t>
            </w:r>
          </w:p>
          <w:p w:rsidR="00C530A3" w:rsidRPr="00010F83" w:rsidRDefault="000B00E3" w:rsidP="00590853">
            <w:pPr>
              <w:spacing w:after="120"/>
              <w:jc w:val="both"/>
              <w:rPr>
                <w:rFonts w:ascii="Arial" w:hAnsi="Arial" w:cs="Arial"/>
                <w:i/>
              </w:rPr>
            </w:pPr>
            <w:r w:rsidRPr="00010F83">
              <w:rPr>
                <w:rFonts w:ascii="Arial" w:hAnsi="Arial" w:cs="Arial"/>
                <w:i/>
              </w:rPr>
              <w:t>Vì bất động sản đầu tư được xác định theo mô hình giá trị hợp lý trong IAS 40, giả định là đơn vị sẽ thu hồi giá trị còn lại của bất động sản đầ</w:t>
            </w:r>
            <w:r w:rsidR="0045413F" w:rsidRPr="00010F83">
              <w:rPr>
                <w:rFonts w:ascii="Arial" w:hAnsi="Arial" w:cs="Arial"/>
                <w:i/>
              </w:rPr>
              <w:t>u tư</w:t>
            </w:r>
            <w:r w:rsidRPr="00010F83">
              <w:rPr>
                <w:rFonts w:ascii="Arial" w:hAnsi="Arial" w:cs="Arial"/>
                <w:i/>
              </w:rPr>
              <w:t xml:space="preserve"> thông qua việc bán lại tài sản. Nếu giả định này không bị bác bỏ, thuế hoãn lại </w:t>
            </w:r>
            <w:r w:rsidR="00C903B1" w:rsidRPr="00010F83">
              <w:rPr>
                <w:rFonts w:ascii="Arial" w:hAnsi="Arial" w:cs="Arial"/>
                <w:i/>
              </w:rPr>
              <w:t xml:space="preserve">cần </w:t>
            </w:r>
            <w:r w:rsidRPr="00010F83">
              <w:rPr>
                <w:rFonts w:ascii="Arial" w:hAnsi="Arial" w:cs="Arial"/>
                <w:i/>
              </w:rPr>
              <w:t>phản ánh ảnh hưởng về thuế phát sinh từ việc thu hồi giá trị còn lạ</w:t>
            </w:r>
            <w:r w:rsidR="0045413F" w:rsidRPr="00010F83">
              <w:rPr>
                <w:rFonts w:ascii="Arial" w:hAnsi="Arial" w:cs="Arial"/>
                <w:i/>
              </w:rPr>
              <w:t>i</w:t>
            </w:r>
            <w:r w:rsidRPr="00010F83">
              <w:rPr>
                <w:rFonts w:ascii="Arial" w:hAnsi="Arial" w:cs="Arial"/>
                <w:i/>
              </w:rPr>
              <w:t xml:space="preserve"> thông qua việc bán tài sản, cho dù đơn vị có</w:t>
            </w:r>
            <w:r w:rsidR="0045413F" w:rsidRPr="00010F83">
              <w:rPr>
                <w:rFonts w:ascii="Arial" w:hAnsi="Arial" w:cs="Arial"/>
                <w:i/>
              </w:rPr>
              <w:t xml:space="preserve"> phát sinh</w:t>
            </w:r>
            <w:r w:rsidRPr="00010F83">
              <w:rPr>
                <w:rFonts w:ascii="Arial" w:hAnsi="Arial" w:cs="Arial"/>
                <w:i/>
              </w:rPr>
              <w:t xml:space="preserve"> thu </w:t>
            </w:r>
            <w:r w:rsidR="0045413F" w:rsidRPr="00010F83">
              <w:rPr>
                <w:rFonts w:ascii="Arial" w:hAnsi="Arial" w:cs="Arial"/>
                <w:i/>
              </w:rPr>
              <w:t>nhập</w:t>
            </w:r>
            <w:r w:rsidRPr="00010F83">
              <w:rPr>
                <w:rFonts w:ascii="Arial" w:hAnsi="Arial" w:cs="Arial"/>
                <w:i/>
              </w:rPr>
              <w:t xml:space="preserve"> từ cho thuê tài sản trước khi bán.</w:t>
            </w:r>
          </w:p>
          <w:p w:rsidR="00C530A3" w:rsidRPr="00010F83" w:rsidRDefault="000B00E3" w:rsidP="00590853">
            <w:pPr>
              <w:spacing w:after="120"/>
              <w:jc w:val="both"/>
              <w:rPr>
                <w:rFonts w:ascii="Arial" w:hAnsi="Arial" w:cs="Arial"/>
                <w:i/>
              </w:rPr>
            </w:pPr>
            <w:r w:rsidRPr="00010F83">
              <w:rPr>
                <w:rFonts w:ascii="Arial" w:hAnsi="Arial" w:cs="Arial"/>
                <w:i/>
              </w:rPr>
              <w:t>Cơ sở tính thuế củ</w:t>
            </w:r>
            <w:r w:rsidR="0045413F" w:rsidRPr="00010F83">
              <w:rPr>
                <w:rFonts w:ascii="Arial" w:hAnsi="Arial" w:cs="Arial"/>
                <w:i/>
              </w:rPr>
              <w:t xml:space="preserve">a quyền sử dụng đất, </w:t>
            </w:r>
            <w:r w:rsidRPr="00010F83">
              <w:rPr>
                <w:rFonts w:ascii="Arial" w:hAnsi="Arial" w:cs="Arial"/>
                <w:i/>
              </w:rPr>
              <w:t>nếu được bán</w:t>
            </w:r>
            <w:r w:rsidR="0045413F" w:rsidRPr="00010F83">
              <w:rPr>
                <w:rFonts w:ascii="Arial" w:hAnsi="Arial" w:cs="Arial"/>
                <w:i/>
              </w:rPr>
              <w:t>,</w:t>
            </w:r>
            <w:r w:rsidRPr="00010F83">
              <w:rPr>
                <w:rFonts w:ascii="Arial" w:hAnsi="Arial" w:cs="Arial"/>
                <w:i/>
              </w:rPr>
              <w:t xml:space="preserve"> là 40 và khoản chênh lệch tạm thời chịu thuế </w:t>
            </w:r>
            <w:r w:rsidR="00C903B1" w:rsidRPr="00010F83">
              <w:rPr>
                <w:rFonts w:ascii="Arial" w:hAnsi="Arial" w:cs="Arial"/>
                <w:i/>
              </w:rPr>
              <w:t xml:space="preserve">sẽ </w:t>
            </w:r>
            <w:r w:rsidRPr="00010F83">
              <w:rPr>
                <w:rFonts w:ascii="Arial" w:hAnsi="Arial" w:cs="Arial"/>
                <w:i/>
              </w:rPr>
              <w:t xml:space="preserve">là 20 (60 – 40).  Cơ sở tính thuế của </w:t>
            </w:r>
            <w:r w:rsidR="0045413F" w:rsidRPr="00010F83">
              <w:rPr>
                <w:rFonts w:ascii="Arial" w:hAnsi="Arial" w:cs="Arial"/>
                <w:i/>
              </w:rPr>
              <w:t>nhà cửa, vật kiến trúc,</w:t>
            </w:r>
            <w:r w:rsidRPr="00010F83">
              <w:rPr>
                <w:rFonts w:ascii="Arial" w:hAnsi="Arial" w:cs="Arial"/>
                <w:i/>
              </w:rPr>
              <w:t xml:space="preserve"> nếu được bán là 30 (60 – 30) và khoản chênh lệch tạm thời chịu thuế </w:t>
            </w:r>
            <w:r w:rsidR="00C903B1" w:rsidRPr="00010F83">
              <w:rPr>
                <w:rFonts w:ascii="Arial" w:hAnsi="Arial" w:cs="Arial"/>
                <w:i/>
              </w:rPr>
              <w:t xml:space="preserve">sẽ </w:t>
            </w:r>
            <w:r w:rsidRPr="00010F83">
              <w:rPr>
                <w:rFonts w:ascii="Arial" w:hAnsi="Arial" w:cs="Arial"/>
                <w:i/>
              </w:rPr>
              <w:t>là 60 (90 – 30). Tổng chênh lệch tạm thời chịu thuế</w:t>
            </w:r>
            <w:r w:rsidR="0045413F" w:rsidRPr="00010F83">
              <w:rPr>
                <w:rFonts w:ascii="Arial" w:hAnsi="Arial" w:cs="Arial"/>
                <w:i/>
              </w:rPr>
              <w:t xml:space="preserve"> cho</w:t>
            </w:r>
            <w:r w:rsidRPr="00010F83">
              <w:rPr>
                <w:rFonts w:ascii="Arial" w:hAnsi="Arial" w:cs="Arial"/>
                <w:i/>
              </w:rPr>
              <w:t xml:space="preserve"> bất động sản đầu tư là 80 (20 + 60).</w:t>
            </w:r>
          </w:p>
          <w:p w:rsidR="000B00E3" w:rsidRPr="00010F83" w:rsidRDefault="000B00E3" w:rsidP="00590853">
            <w:pPr>
              <w:spacing w:after="120"/>
              <w:jc w:val="both"/>
              <w:rPr>
                <w:rFonts w:ascii="Arial" w:hAnsi="Arial" w:cs="Arial"/>
                <w:i/>
              </w:rPr>
            </w:pPr>
            <w:r w:rsidRPr="00010F83">
              <w:rPr>
                <w:rFonts w:ascii="Arial" w:hAnsi="Arial" w:cs="Arial"/>
                <w:i/>
              </w:rPr>
              <w:t xml:space="preserve">Theo đoạn 47, mức thuế suất sẽ là mức dự định áp dụng </w:t>
            </w:r>
            <w:r w:rsidR="0045413F" w:rsidRPr="00010F83">
              <w:rPr>
                <w:rFonts w:ascii="Arial" w:hAnsi="Arial" w:cs="Arial"/>
                <w:i/>
              </w:rPr>
              <w:t>trong</w:t>
            </w:r>
            <w:r w:rsidRPr="00010F83">
              <w:rPr>
                <w:rFonts w:ascii="Arial" w:hAnsi="Arial" w:cs="Arial"/>
                <w:i/>
              </w:rPr>
              <w:t xml:space="preserve"> kỳ khi mà </w:t>
            </w:r>
            <w:r w:rsidR="0045413F" w:rsidRPr="00010F83">
              <w:rPr>
                <w:rFonts w:ascii="Arial" w:hAnsi="Arial" w:cs="Arial"/>
                <w:i/>
              </w:rPr>
              <w:t>lợi nhuận từ bán</w:t>
            </w:r>
            <w:r w:rsidRPr="00010F83">
              <w:rPr>
                <w:rFonts w:ascii="Arial" w:hAnsi="Arial" w:cs="Arial"/>
                <w:i/>
              </w:rPr>
              <w:t xml:space="preserve"> bất động sản đầu tư được thực hiện. Vì vậy, nếu đơn vị dự định bán bất động sản sau khi nắm giữ nó lâu hơn 2 năm sẽ thì </w:t>
            </w:r>
            <w:r w:rsidR="00731917" w:rsidRPr="00010F83">
              <w:rPr>
                <w:rFonts w:ascii="Arial" w:hAnsi="Arial" w:cs="Arial"/>
                <w:i/>
              </w:rPr>
              <w:t>thuế TNDN</w:t>
            </w:r>
            <w:r w:rsidR="006805F0" w:rsidRPr="00010F83">
              <w:rPr>
                <w:rFonts w:ascii="Arial" w:hAnsi="Arial" w:cs="Arial"/>
                <w:i/>
              </w:rPr>
              <w:t xml:space="preserve"> hoãn lại phải trả</w:t>
            </w:r>
            <w:r w:rsidRPr="00010F83">
              <w:rPr>
                <w:rFonts w:ascii="Arial" w:hAnsi="Arial" w:cs="Arial"/>
                <w:i/>
              </w:rPr>
              <w:t xml:space="preserve"> phát sinh sẽ được tính như sau:</w:t>
            </w:r>
          </w:p>
          <w:tbl>
            <w:tblPr>
              <w:tblW w:w="0" w:type="auto"/>
              <w:tblInd w:w="85" w:type="dxa"/>
              <w:tblLook w:val="01E0"/>
            </w:tblPr>
            <w:tblGrid>
              <w:gridCol w:w="2975"/>
              <w:gridCol w:w="2160"/>
              <w:gridCol w:w="1323"/>
              <w:gridCol w:w="1978"/>
            </w:tblGrid>
            <w:tr w:rsidR="000B00E3" w:rsidRPr="00010F83" w:rsidTr="00B36011">
              <w:tc>
                <w:tcPr>
                  <w:tcW w:w="2975" w:type="dxa"/>
                </w:tcPr>
                <w:p w:rsidR="000B00E3" w:rsidRPr="00010F83" w:rsidRDefault="000B00E3" w:rsidP="00590853">
                  <w:pPr>
                    <w:pStyle w:val="BodyTextIndent"/>
                    <w:spacing w:before="0" w:line="240" w:lineRule="auto"/>
                    <w:ind w:left="0" w:firstLine="0"/>
                    <w:rPr>
                      <w:rFonts w:ascii="Arial" w:hAnsi="Arial" w:cs="Arial"/>
                      <w:bCs/>
                      <w:sz w:val="22"/>
                      <w:szCs w:val="22"/>
                      <w:lang w:val="nl-NL"/>
                    </w:rPr>
                  </w:pPr>
                </w:p>
              </w:tc>
              <w:tc>
                <w:tcPr>
                  <w:tcW w:w="2160" w:type="dxa"/>
                </w:tcPr>
                <w:p w:rsidR="000B00E3" w:rsidRPr="00010F83" w:rsidRDefault="000B00E3" w:rsidP="00D0324E">
                  <w:pPr>
                    <w:pStyle w:val="BodyTextIndent"/>
                    <w:spacing w:before="0" w:line="240" w:lineRule="auto"/>
                    <w:ind w:left="0" w:firstLine="0"/>
                    <w:jc w:val="right"/>
                    <w:rPr>
                      <w:rFonts w:ascii="Arial" w:hAnsi="Arial" w:cs="Arial"/>
                      <w:bCs/>
                      <w:sz w:val="22"/>
                      <w:szCs w:val="22"/>
                      <w:lang w:val="nl-NL"/>
                    </w:rPr>
                  </w:pPr>
                  <w:r w:rsidRPr="00010F83">
                    <w:rPr>
                      <w:rFonts w:ascii="Arial" w:hAnsi="Arial" w:cs="Arial"/>
                      <w:bCs/>
                      <w:sz w:val="22"/>
                      <w:szCs w:val="22"/>
                      <w:lang w:val="nl-NL"/>
                    </w:rPr>
                    <w:t>Chênh lệch tạm thời chịu thuế</w:t>
                  </w:r>
                </w:p>
              </w:tc>
              <w:tc>
                <w:tcPr>
                  <w:tcW w:w="1323" w:type="dxa"/>
                </w:tcPr>
                <w:p w:rsidR="000B00E3" w:rsidRPr="00010F83" w:rsidRDefault="000B00E3" w:rsidP="00D0324E">
                  <w:pPr>
                    <w:pStyle w:val="BodyTextIndent"/>
                    <w:spacing w:before="0" w:line="240" w:lineRule="auto"/>
                    <w:ind w:left="0" w:firstLine="0"/>
                    <w:jc w:val="right"/>
                    <w:rPr>
                      <w:rFonts w:ascii="Arial" w:hAnsi="Arial" w:cs="Arial"/>
                      <w:bCs/>
                      <w:sz w:val="22"/>
                      <w:szCs w:val="22"/>
                      <w:lang w:val="nl-NL"/>
                    </w:rPr>
                  </w:pPr>
                  <w:r w:rsidRPr="00010F83">
                    <w:rPr>
                      <w:rFonts w:ascii="Arial" w:hAnsi="Arial" w:cs="Arial"/>
                      <w:bCs/>
                      <w:sz w:val="22"/>
                      <w:szCs w:val="22"/>
                      <w:lang w:val="nl-NL"/>
                    </w:rPr>
                    <w:t>Thuế suất</w:t>
                  </w:r>
                </w:p>
              </w:tc>
              <w:tc>
                <w:tcPr>
                  <w:tcW w:w="1978" w:type="dxa"/>
                </w:tcPr>
                <w:p w:rsidR="000B00E3" w:rsidRPr="00010F83" w:rsidRDefault="000B00E3" w:rsidP="00D0324E">
                  <w:pPr>
                    <w:pStyle w:val="BodyTextIndent"/>
                    <w:spacing w:before="0" w:line="240" w:lineRule="auto"/>
                    <w:ind w:left="0" w:firstLine="0"/>
                    <w:jc w:val="right"/>
                    <w:rPr>
                      <w:rFonts w:ascii="Arial" w:hAnsi="Arial" w:cs="Arial"/>
                      <w:bCs/>
                      <w:sz w:val="22"/>
                      <w:szCs w:val="22"/>
                      <w:lang w:val="nl-NL"/>
                    </w:rPr>
                  </w:pPr>
                  <w:r w:rsidRPr="00010F83">
                    <w:rPr>
                      <w:rFonts w:ascii="Arial" w:hAnsi="Arial" w:cs="Arial"/>
                      <w:bCs/>
                      <w:sz w:val="22"/>
                      <w:szCs w:val="22"/>
                      <w:lang w:val="nl-NL"/>
                    </w:rPr>
                    <w:t xml:space="preserve">Thuế hoãn </w:t>
                  </w:r>
                  <w:r w:rsidR="00C903B1" w:rsidRPr="00010F83">
                    <w:rPr>
                      <w:rFonts w:ascii="Arial" w:hAnsi="Arial" w:cs="Arial"/>
                      <w:bCs/>
                      <w:sz w:val="22"/>
                      <w:szCs w:val="22"/>
                      <w:lang w:val="nl-NL"/>
                    </w:rPr>
                    <w:t>lại</w:t>
                  </w:r>
                  <w:r w:rsidRPr="00010F83">
                    <w:rPr>
                      <w:rFonts w:ascii="Arial" w:hAnsi="Arial" w:cs="Arial"/>
                      <w:bCs/>
                      <w:sz w:val="22"/>
                      <w:szCs w:val="22"/>
                      <w:lang w:val="nl-NL"/>
                    </w:rPr>
                    <w:t xml:space="preserve"> phải trả</w:t>
                  </w:r>
                </w:p>
              </w:tc>
            </w:tr>
            <w:tr w:rsidR="000B00E3" w:rsidRPr="00010F83" w:rsidTr="00B36011">
              <w:tc>
                <w:tcPr>
                  <w:tcW w:w="2975" w:type="dxa"/>
                </w:tcPr>
                <w:p w:rsidR="000B00E3" w:rsidRPr="00010F83" w:rsidRDefault="000B00E3" w:rsidP="00590853">
                  <w:pPr>
                    <w:pStyle w:val="BodyTextIndent"/>
                    <w:spacing w:before="0" w:line="240" w:lineRule="auto"/>
                    <w:ind w:left="0" w:firstLine="0"/>
                    <w:rPr>
                      <w:rFonts w:ascii="Arial" w:hAnsi="Arial" w:cs="Arial"/>
                      <w:bCs/>
                      <w:sz w:val="22"/>
                      <w:szCs w:val="22"/>
                      <w:lang w:val="nl-NL"/>
                    </w:rPr>
                  </w:pPr>
                  <w:r w:rsidRPr="00010F83">
                    <w:rPr>
                      <w:rFonts w:ascii="Arial" w:hAnsi="Arial" w:cs="Arial"/>
                      <w:bCs/>
                      <w:sz w:val="22"/>
                      <w:szCs w:val="22"/>
                      <w:lang w:val="nl-NL"/>
                    </w:rPr>
                    <w:t>Khấu hao lũy kế theo thuế</w:t>
                  </w:r>
                </w:p>
              </w:tc>
              <w:tc>
                <w:tcPr>
                  <w:tcW w:w="2160" w:type="dxa"/>
                </w:tcPr>
                <w:p w:rsidR="000B00E3" w:rsidRPr="00010F83" w:rsidRDefault="000B00E3" w:rsidP="00391C7C">
                  <w:pPr>
                    <w:pStyle w:val="BodyTextIndent"/>
                    <w:spacing w:before="0" w:line="240" w:lineRule="auto"/>
                    <w:ind w:left="0" w:firstLine="0"/>
                    <w:jc w:val="right"/>
                    <w:rPr>
                      <w:rFonts w:ascii="Arial" w:hAnsi="Arial" w:cs="Arial"/>
                      <w:bCs/>
                      <w:sz w:val="22"/>
                      <w:szCs w:val="22"/>
                      <w:lang w:val="nl-NL"/>
                    </w:rPr>
                  </w:pPr>
                  <w:r w:rsidRPr="00010F83">
                    <w:rPr>
                      <w:rFonts w:ascii="Arial" w:hAnsi="Arial" w:cs="Arial"/>
                      <w:bCs/>
                      <w:sz w:val="22"/>
                      <w:szCs w:val="22"/>
                      <w:lang w:val="nl-NL"/>
                    </w:rPr>
                    <w:t>30</w:t>
                  </w:r>
                </w:p>
              </w:tc>
              <w:tc>
                <w:tcPr>
                  <w:tcW w:w="1323" w:type="dxa"/>
                </w:tcPr>
                <w:p w:rsidR="000B00E3" w:rsidRPr="00010F83" w:rsidRDefault="000B00E3" w:rsidP="00391C7C">
                  <w:pPr>
                    <w:pStyle w:val="BodyTextIndent"/>
                    <w:spacing w:before="0" w:line="240" w:lineRule="auto"/>
                    <w:ind w:left="0" w:firstLine="0"/>
                    <w:jc w:val="right"/>
                    <w:rPr>
                      <w:rFonts w:ascii="Arial" w:hAnsi="Arial" w:cs="Arial"/>
                      <w:bCs/>
                      <w:sz w:val="22"/>
                      <w:szCs w:val="22"/>
                      <w:lang w:val="nl-NL"/>
                    </w:rPr>
                  </w:pPr>
                  <w:r w:rsidRPr="00010F83">
                    <w:rPr>
                      <w:rFonts w:ascii="Arial" w:hAnsi="Arial" w:cs="Arial"/>
                      <w:bCs/>
                      <w:sz w:val="22"/>
                      <w:szCs w:val="22"/>
                      <w:lang w:val="nl-NL"/>
                    </w:rPr>
                    <w:t>30%</w:t>
                  </w:r>
                </w:p>
              </w:tc>
              <w:tc>
                <w:tcPr>
                  <w:tcW w:w="1978" w:type="dxa"/>
                </w:tcPr>
                <w:p w:rsidR="000B00E3" w:rsidRPr="00010F83" w:rsidRDefault="000B00E3" w:rsidP="00391C7C">
                  <w:pPr>
                    <w:pStyle w:val="BodyTextIndent"/>
                    <w:spacing w:before="0" w:line="240" w:lineRule="auto"/>
                    <w:ind w:left="0" w:firstLine="0"/>
                    <w:jc w:val="right"/>
                    <w:rPr>
                      <w:rFonts w:ascii="Arial" w:hAnsi="Arial" w:cs="Arial"/>
                      <w:bCs/>
                      <w:sz w:val="22"/>
                      <w:szCs w:val="22"/>
                      <w:lang w:val="nl-NL"/>
                    </w:rPr>
                  </w:pPr>
                  <w:r w:rsidRPr="00010F83">
                    <w:rPr>
                      <w:rFonts w:ascii="Arial" w:hAnsi="Arial" w:cs="Arial"/>
                      <w:bCs/>
                      <w:sz w:val="22"/>
                      <w:szCs w:val="22"/>
                      <w:lang w:val="nl-NL"/>
                    </w:rPr>
                    <w:t>9</w:t>
                  </w:r>
                </w:p>
              </w:tc>
            </w:tr>
            <w:tr w:rsidR="000B00E3" w:rsidRPr="00010F83" w:rsidTr="00B36011">
              <w:tc>
                <w:tcPr>
                  <w:tcW w:w="2975" w:type="dxa"/>
                </w:tcPr>
                <w:p w:rsidR="000B00E3" w:rsidRPr="00010F83" w:rsidRDefault="0045413F">
                  <w:pPr>
                    <w:pStyle w:val="BodyTextIndent"/>
                    <w:spacing w:before="0" w:line="240" w:lineRule="auto"/>
                    <w:ind w:left="0" w:firstLine="0"/>
                    <w:rPr>
                      <w:rFonts w:ascii="Arial" w:hAnsi="Arial" w:cs="Arial"/>
                      <w:bCs/>
                      <w:sz w:val="22"/>
                      <w:szCs w:val="22"/>
                      <w:lang w:val="nl-NL"/>
                    </w:rPr>
                  </w:pPr>
                  <w:r w:rsidRPr="00010F83">
                    <w:rPr>
                      <w:rFonts w:ascii="Arial" w:hAnsi="Arial" w:cs="Arial"/>
                      <w:bCs/>
                      <w:sz w:val="22"/>
                      <w:szCs w:val="22"/>
                      <w:lang w:val="nl-NL"/>
                    </w:rPr>
                    <w:t xml:space="preserve">Phần giá bán </w:t>
                  </w:r>
                  <w:r w:rsidR="00FA01D5" w:rsidRPr="00010F83">
                    <w:rPr>
                      <w:rFonts w:ascii="Arial" w:hAnsi="Arial" w:cs="Arial"/>
                      <w:bCs/>
                      <w:sz w:val="22"/>
                      <w:szCs w:val="22"/>
                      <w:lang w:val="nl-NL"/>
                    </w:rPr>
                    <w:t xml:space="preserve">cao hơn </w:t>
                  </w:r>
                  <w:r w:rsidRPr="00010F83">
                    <w:rPr>
                      <w:rFonts w:ascii="Arial" w:hAnsi="Arial" w:cs="Arial"/>
                      <w:bCs/>
                      <w:sz w:val="22"/>
                      <w:szCs w:val="22"/>
                      <w:lang w:val="nl-NL"/>
                    </w:rPr>
                    <w:t>nguyên giá</w:t>
                  </w:r>
                </w:p>
              </w:tc>
              <w:tc>
                <w:tcPr>
                  <w:tcW w:w="2160" w:type="dxa"/>
                  <w:tcBorders>
                    <w:bottom w:val="single" w:sz="12" w:space="0" w:color="auto"/>
                  </w:tcBorders>
                </w:tcPr>
                <w:p w:rsidR="000B00E3" w:rsidRPr="00010F83" w:rsidRDefault="000B00E3" w:rsidP="00391C7C">
                  <w:pPr>
                    <w:pStyle w:val="BodyTextIndent"/>
                    <w:spacing w:before="0" w:line="240" w:lineRule="auto"/>
                    <w:ind w:left="0" w:firstLine="0"/>
                    <w:jc w:val="right"/>
                    <w:rPr>
                      <w:rFonts w:ascii="Arial" w:hAnsi="Arial" w:cs="Arial"/>
                      <w:bCs/>
                      <w:sz w:val="22"/>
                      <w:szCs w:val="22"/>
                      <w:lang w:val="nl-NL"/>
                    </w:rPr>
                  </w:pPr>
                  <w:r w:rsidRPr="00010F83">
                    <w:rPr>
                      <w:rFonts w:ascii="Arial" w:hAnsi="Arial" w:cs="Arial"/>
                      <w:bCs/>
                      <w:sz w:val="22"/>
                      <w:szCs w:val="22"/>
                      <w:lang w:val="nl-NL"/>
                    </w:rPr>
                    <w:t>50</w:t>
                  </w:r>
                </w:p>
              </w:tc>
              <w:tc>
                <w:tcPr>
                  <w:tcW w:w="1323" w:type="dxa"/>
                </w:tcPr>
                <w:p w:rsidR="000B00E3" w:rsidRPr="00010F83" w:rsidRDefault="000B00E3" w:rsidP="00391C7C">
                  <w:pPr>
                    <w:pStyle w:val="BodyTextIndent"/>
                    <w:spacing w:before="0" w:line="240" w:lineRule="auto"/>
                    <w:ind w:left="0" w:firstLine="0"/>
                    <w:jc w:val="right"/>
                    <w:rPr>
                      <w:rFonts w:ascii="Arial" w:hAnsi="Arial" w:cs="Arial"/>
                      <w:bCs/>
                      <w:sz w:val="22"/>
                      <w:szCs w:val="22"/>
                      <w:lang w:val="nl-NL"/>
                    </w:rPr>
                  </w:pPr>
                  <w:r w:rsidRPr="00010F83">
                    <w:rPr>
                      <w:rFonts w:ascii="Arial" w:hAnsi="Arial" w:cs="Arial"/>
                      <w:bCs/>
                      <w:sz w:val="22"/>
                      <w:szCs w:val="22"/>
                      <w:lang w:val="nl-NL"/>
                    </w:rPr>
                    <w:t>20%</w:t>
                  </w:r>
                </w:p>
              </w:tc>
              <w:tc>
                <w:tcPr>
                  <w:tcW w:w="1978" w:type="dxa"/>
                  <w:tcBorders>
                    <w:bottom w:val="single" w:sz="12" w:space="0" w:color="auto"/>
                  </w:tcBorders>
                </w:tcPr>
                <w:p w:rsidR="000B00E3" w:rsidRPr="00010F83" w:rsidRDefault="000B00E3" w:rsidP="00391C7C">
                  <w:pPr>
                    <w:pStyle w:val="BodyTextIndent"/>
                    <w:spacing w:before="0" w:line="240" w:lineRule="auto"/>
                    <w:ind w:left="0" w:firstLine="0"/>
                    <w:jc w:val="right"/>
                    <w:rPr>
                      <w:rFonts w:ascii="Arial" w:hAnsi="Arial" w:cs="Arial"/>
                      <w:bCs/>
                      <w:sz w:val="22"/>
                      <w:szCs w:val="22"/>
                      <w:lang w:val="nl-NL"/>
                    </w:rPr>
                  </w:pPr>
                  <w:r w:rsidRPr="00010F83">
                    <w:rPr>
                      <w:rFonts w:ascii="Arial" w:hAnsi="Arial" w:cs="Arial"/>
                      <w:bCs/>
                      <w:sz w:val="22"/>
                      <w:szCs w:val="22"/>
                      <w:lang w:val="nl-NL"/>
                    </w:rPr>
                    <w:t>10</w:t>
                  </w:r>
                </w:p>
              </w:tc>
            </w:tr>
            <w:tr w:rsidR="000B00E3" w:rsidRPr="00010F83" w:rsidTr="00B36011">
              <w:tc>
                <w:tcPr>
                  <w:tcW w:w="2975" w:type="dxa"/>
                </w:tcPr>
                <w:p w:rsidR="000B00E3" w:rsidRPr="00010F83" w:rsidRDefault="000B00E3" w:rsidP="00590853">
                  <w:pPr>
                    <w:pStyle w:val="BodyTextIndent"/>
                    <w:spacing w:before="0" w:line="240" w:lineRule="auto"/>
                    <w:ind w:left="0" w:firstLine="0"/>
                    <w:rPr>
                      <w:rFonts w:ascii="Arial" w:hAnsi="Arial" w:cs="Arial"/>
                      <w:bCs/>
                      <w:sz w:val="22"/>
                      <w:szCs w:val="22"/>
                      <w:lang w:val="nl-NL"/>
                    </w:rPr>
                  </w:pPr>
                  <w:r w:rsidRPr="00010F83">
                    <w:rPr>
                      <w:rFonts w:ascii="Arial" w:hAnsi="Arial" w:cs="Arial"/>
                      <w:bCs/>
                      <w:sz w:val="22"/>
                      <w:szCs w:val="22"/>
                      <w:lang w:val="nl-NL"/>
                    </w:rPr>
                    <w:t>Tổng</w:t>
                  </w:r>
                </w:p>
              </w:tc>
              <w:tc>
                <w:tcPr>
                  <w:tcW w:w="2160" w:type="dxa"/>
                  <w:tcBorders>
                    <w:top w:val="single" w:sz="12" w:space="0" w:color="auto"/>
                    <w:bottom w:val="thickThinSmallGap" w:sz="24" w:space="0" w:color="auto"/>
                  </w:tcBorders>
                </w:tcPr>
                <w:p w:rsidR="000B00E3" w:rsidRPr="00010F83" w:rsidRDefault="000B00E3" w:rsidP="00391C7C">
                  <w:pPr>
                    <w:pStyle w:val="BodyTextIndent"/>
                    <w:spacing w:before="0" w:line="240" w:lineRule="auto"/>
                    <w:ind w:left="0" w:firstLine="0"/>
                    <w:jc w:val="right"/>
                    <w:rPr>
                      <w:rFonts w:ascii="Arial" w:hAnsi="Arial" w:cs="Arial"/>
                      <w:bCs/>
                      <w:sz w:val="22"/>
                      <w:szCs w:val="22"/>
                      <w:lang w:val="nl-NL"/>
                    </w:rPr>
                  </w:pPr>
                  <w:r w:rsidRPr="00010F83">
                    <w:rPr>
                      <w:rFonts w:ascii="Arial" w:hAnsi="Arial" w:cs="Arial"/>
                      <w:bCs/>
                      <w:sz w:val="22"/>
                      <w:szCs w:val="22"/>
                      <w:lang w:val="nl-NL"/>
                    </w:rPr>
                    <w:t>80</w:t>
                  </w:r>
                </w:p>
              </w:tc>
              <w:tc>
                <w:tcPr>
                  <w:tcW w:w="1323" w:type="dxa"/>
                </w:tcPr>
                <w:p w:rsidR="000B00E3" w:rsidRPr="00010F83" w:rsidRDefault="000B00E3" w:rsidP="00391C7C">
                  <w:pPr>
                    <w:pStyle w:val="BodyTextIndent"/>
                    <w:spacing w:before="0" w:line="240" w:lineRule="auto"/>
                    <w:ind w:left="0" w:firstLine="0"/>
                    <w:jc w:val="right"/>
                    <w:rPr>
                      <w:rFonts w:ascii="Arial" w:hAnsi="Arial" w:cs="Arial"/>
                      <w:bCs/>
                      <w:sz w:val="22"/>
                      <w:szCs w:val="22"/>
                      <w:lang w:val="nl-NL"/>
                    </w:rPr>
                  </w:pPr>
                </w:p>
              </w:tc>
              <w:tc>
                <w:tcPr>
                  <w:tcW w:w="1978" w:type="dxa"/>
                  <w:tcBorders>
                    <w:top w:val="single" w:sz="12" w:space="0" w:color="auto"/>
                    <w:bottom w:val="thickThinSmallGap" w:sz="24" w:space="0" w:color="auto"/>
                  </w:tcBorders>
                </w:tcPr>
                <w:p w:rsidR="000B00E3" w:rsidRPr="00010F83" w:rsidRDefault="000B00E3" w:rsidP="00391C7C">
                  <w:pPr>
                    <w:pStyle w:val="BodyTextIndent"/>
                    <w:spacing w:before="0" w:line="240" w:lineRule="auto"/>
                    <w:ind w:left="0" w:firstLine="0"/>
                    <w:jc w:val="right"/>
                    <w:rPr>
                      <w:rFonts w:ascii="Arial" w:hAnsi="Arial" w:cs="Arial"/>
                      <w:bCs/>
                      <w:sz w:val="22"/>
                      <w:szCs w:val="22"/>
                      <w:lang w:val="nl-NL"/>
                    </w:rPr>
                  </w:pPr>
                  <w:r w:rsidRPr="00010F83">
                    <w:rPr>
                      <w:rFonts w:ascii="Arial" w:hAnsi="Arial" w:cs="Arial"/>
                      <w:bCs/>
                      <w:sz w:val="22"/>
                      <w:szCs w:val="22"/>
                      <w:lang w:val="nl-NL"/>
                    </w:rPr>
                    <w:t>19</w:t>
                  </w:r>
                </w:p>
              </w:tc>
            </w:tr>
          </w:tbl>
          <w:p w:rsidR="00C530A3" w:rsidRPr="00010F83" w:rsidRDefault="00C530A3" w:rsidP="00590853">
            <w:pPr>
              <w:spacing w:after="120"/>
              <w:jc w:val="both"/>
              <w:rPr>
                <w:rFonts w:ascii="Arial" w:hAnsi="Arial" w:cs="Arial"/>
                <w:i/>
              </w:rPr>
            </w:pPr>
          </w:p>
        </w:tc>
      </w:tr>
    </w:tbl>
    <w:p w:rsidR="00391C7C" w:rsidRPr="00010F83" w:rsidRDefault="00391C7C" w:rsidP="00590853">
      <w:pPr>
        <w:autoSpaceDE w:val="0"/>
        <w:autoSpaceDN w:val="0"/>
        <w:adjustRightInd w:val="0"/>
        <w:spacing w:after="120" w:line="240" w:lineRule="auto"/>
        <w:jc w:val="both"/>
        <w:rPr>
          <w:rFonts w:ascii="Arial" w:hAnsi="Arial" w:cs="Arial"/>
          <w:bCs/>
        </w:rPr>
      </w:pPr>
    </w:p>
    <w:p w:rsidR="00391C7C" w:rsidRPr="00010F83" w:rsidRDefault="00391C7C" w:rsidP="00391C7C">
      <w:pPr>
        <w:tabs>
          <w:tab w:val="left" w:pos="5651"/>
        </w:tabs>
        <w:ind w:firstLine="720"/>
      </w:pPr>
      <w:r w:rsidRPr="00010F83">
        <w:rPr>
          <w:rFonts w:ascii="Arial" w:hAnsi="Arial" w:cs="Arial"/>
          <w:bCs/>
        </w:rPr>
        <w:tab/>
      </w:r>
      <w:r w:rsidRPr="00010F83">
        <w:rPr>
          <w:rFonts w:ascii="Arial" w:hAnsi="Arial" w:cs="Arial"/>
          <w:bCs/>
        </w:rPr>
        <w:tab/>
      </w:r>
      <w:r w:rsidRPr="00010F83">
        <w:rPr>
          <w:rFonts w:ascii="Arial" w:hAnsi="Arial" w:cs="Arial"/>
          <w:bCs/>
        </w:rPr>
        <w:tab/>
      </w:r>
      <w:r w:rsidRPr="00010F83">
        <w:rPr>
          <w:rFonts w:ascii="Arial" w:hAnsi="Arial" w:cs="Arial"/>
          <w:bCs/>
        </w:rPr>
        <w:tab/>
      </w:r>
      <w:r w:rsidRPr="00010F83">
        <w:rPr>
          <w:rFonts w:ascii="Arial" w:hAnsi="Arial" w:cs="Arial"/>
          <w:bCs/>
        </w:rPr>
        <w:tab/>
        <w:t xml:space="preserve">         </w:t>
      </w:r>
      <w:proofErr w:type="gramStart"/>
      <w:r w:rsidRPr="00010F83">
        <w:rPr>
          <w:rFonts w:ascii="Arial" w:hAnsi="Arial" w:cs="Arial"/>
          <w:bCs/>
          <w:i/>
          <w:sz w:val="18"/>
          <w:szCs w:val="18"/>
        </w:rPr>
        <w:t>tiếp</w:t>
      </w:r>
      <w:proofErr w:type="gramEnd"/>
      <w:r w:rsidRPr="00010F83">
        <w:rPr>
          <w:rFonts w:ascii="Arial" w:hAnsi="Arial" w:cs="Arial"/>
          <w:bCs/>
          <w:i/>
          <w:sz w:val="18"/>
          <w:szCs w:val="18"/>
        </w:rPr>
        <w:t xml:space="preserve"> theo…</w:t>
      </w:r>
    </w:p>
    <w:p w:rsidR="00391C7C" w:rsidRPr="00010F83" w:rsidRDefault="00391C7C">
      <w:pPr>
        <w:rPr>
          <w:rFonts w:ascii="Arial" w:hAnsi="Arial" w:cs="Arial"/>
          <w:bCs/>
        </w:rPr>
      </w:pPr>
    </w:p>
    <w:p w:rsidR="00391C7C" w:rsidRPr="00010F83" w:rsidRDefault="00391C7C" w:rsidP="00391C7C">
      <w:pPr>
        <w:ind w:firstLine="720"/>
      </w:pPr>
      <w:r w:rsidRPr="00010F83">
        <w:rPr>
          <w:rFonts w:ascii="Arial" w:hAnsi="Arial" w:cs="Arial"/>
          <w:bCs/>
          <w:i/>
          <w:sz w:val="18"/>
          <w:szCs w:val="18"/>
        </w:rPr>
        <w:lastRenderedPageBreak/>
        <w:t xml:space="preserve">…tiếp </w:t>
      </w:r>
      <w:proofErr w:type="gramStart"/>
      <w:r w:rsidRPr="00010F83">
        <w:rPr>
          <w:rFonts w:ascii="Arial" w:hAnsi="Arial" w:cs="Arial"/>
          <w:bCs/>
          <w:i/>
          <w:sz w:val="18"/>
          <w:szCs w:val="18"/>
        </w:rPr>
        <w:t>theo</w:t>
      </w:r>
      <w:proofErr w:type="gramEnd"/>
    </w:p>
    <w:tbl>
      <w:tblPr>
        <w:tblStyle w:val="TableGrid"/>
        <w:tblW w:w="8820" w:type="dxa"/>
        <w:tblInd w:w="625" w:type="dxa"/>
        <w:tblLook w:val="04A0"/>
      </w:tblPr>
      <w:tblGrid>
        <w:gridCol w:w="8820"/>
      </w:tblGrid>
      <w:tr w:rsidR="00391C7C" w:rsidRPr="00010F83" w:rsidTr="00391C7C">
        <w:tc>
          <w:tcPr>
            <w:tcW w:w="8820" w:type="dxa"/>
          </w:tcPr>
          <w:p w:rsidR="00391C7C" w:rsidRPr="00010F83" w:rsidRDefault="00391C7C" w:rsidP="00590853">
            <w:pPr>
              <w:autoSpaceDE w:val="0"/>
              <w:autoSpaceDN w:val="0"/>
              <w:adjustRightInd w:val="0"/>
              <w:spacing w:after="120"/>
              <w:jc w:val="both"/>
              <w:rPr>
                <w:rFonts w:ascii="Arial" w:hAnsi="Arial" w:cs="Arial"/>
                <w:bCs/>
              </w:rPr>
            </w:pPr>
            <w:r w:rsidRPr="00010F83">
              <w:rPr>
                <w:rFonts w:ascii="Arial" w:hAnsi="Arial" w:cs="Arial"/>
                <w:b/>
                <w:bCs/>
              </w:rPr>
              <w:t>Ví dụ minh họa cho đoạn 51C</w:t>
            </w:r>
          </w:p>
        </w:tc>
      </w:tr>
      <w:tr w:rsidR="00391C7C" w:rsidRPr="00010F83" w:rsidTr="00391C7C">
        <w:tc>
          <w:tcPr>
            <w:tcW w:w="8820" w:type="dxa"/>
          </w:tcPr>
          <w:p w:rsidR="00391C7C" w:rsidRPr="00010F83" w:rsidRDefault="00391C7C" w:rsidP="00391C7C">
            <w:pPr>
              <w:spacing w:after="120"/>
              <w:jc w:val="both"/>
              <w:rPr>
                <w:rFonts w:ascii="Arial" w:hAnsi="Arial" w:cs="Arial"/>
                <w:i/>
              </w:rPr>
            </w:pPr>
            <w:r w:rsidRPr="00010F83">
              <w:rPr>
                <w:rFonts w:ascii="Arial" w:hAnsi="Arial" w:cs="Arial"/>
                <w:i/>
              </w:rPr>
              <w:t xml:space="preserve">Nếu đơn vị dự định bán bất động sản này sau khi nắm giữ ít hơn 2 năm, phần tính toán trên sẽ phải sửa đổi </w:t>
            </w:r>
            <w:r w:rsidR="00ED29CA" w:rsidRPr="00010F83">
              <w:rPr>
                <w:rFonts w:ascii="Arial" w:hAnsi="Arial" w:cs="Arial"/>
                <w:i/>
              </w:rPr>
              <w:t xml:space="preserve">để </w:t>
            </w:r>
            <w:r w:rsidRPr="00010F83">
              <w:rPr>
                <w:rFonts w:ascii="Arial" w:hAnsi="Arial" w:cs="Arial"/>
                <w:i/>
              </w:rPr>
              <w:t xml:space="preserve">áp dụng mức thuế suất là 25% thay vì 20% </w:t>
            </w:r>
            <w:r w:rsidR="00ED29CA" w:rsidRPr="00010F83">
              <w:rPr>
                <w:rFonts w:ascii="Arial" w:hAnsi="Arial" w:cs="Arial"/>
                <w:i/>
              </w:rPr>
              <w:t xml:space="preserve">đối với </w:t>
            </w:r>
            <w:r w:rsidRPr="00010F83">
              <w:rPr>
                <w:rFonts w:ascii="Arial" w:hAnsi="Arial" w:cs="Arial"/>
                <w:i/>
              </w:rPr>
              <w:t>phần giá bán vượt nguyên giá.</w:t>
            </w:r>
          </w:p>
          <w:p w:rsidR="00391C7C" w:rsidRPr="00010F83" w:rsidRDefault="00391C7C" w:rsidP="00391C7C">
            <w:pPr>
              <w:spacing w:after="120"/>
              <w:jc w:val="both"/>
              <w:rPr>
                <w:rFonts w:ascii="Arial" w:hAnsi="Arial" w:cs="Arial"/>
                <w:i/>
              </w:rPr>
            </w:pPr>
            <w:r w:rsidRPr="00010F83">
              <w:rPr>
                <w:rFonts w:ascii="Arial" w:hAnsi="Arial" w:cs="Arial"/>
                <w:i/>
              </w:rPr>
              <w:t xml:space="preserve">Thay vào đó, nếu đơn vị kinh doanh bất động sản đầu tư theo mô hình thu lợi ích kinh tế gắn liền với tài sản qua sử dụng thay vì </w:t>
            </w:r>
            <w:r w:rsidR="00E40281" w:rsidRPr="00010F83">
              <w:rPr>
                <w:rFonts w:ascii="Arial" w:hAnsi="Arial" w:cs="Arial"/>
                <w:i/>
              </w:rPr>
              <w:t xml:space="preserve">thu lợi ích kinh tế </w:t>
            </w:r>
            <w:r w:rsidRPr="00010F83">
              <w:rPr>
                <w:rFonts w:ascii="Arial" w:hAnsi="Arial" w:cs="Arial"/>
                <w:i/>
              </w:rPr>
              <w:t>thông qua bán tài sản, thì giả định này sẽ bị bác bỏ đối với phần nhà cửa, vật kiến trúc. Quyền sử dụng đất không</w:t>
            </w:r>
            <w:r w:rsidR="00C4167D" w:rsidRPr="00010F83">
              <w:rPr>
                <w:rFonts w:ascii="Arial" w:hAnsi="Arial" w:cs="Arial"/>
                <w:i/>
              </w:rPr>
              <w:t xml:space="preserve"> được</w:t>
            </w:r>
            <w:r w:rsidRPr="00010F83">
              <w:rPr>
                <w:rFonts w:ascii="Arial" w:hAnsi="Arial" w:cs="Arial"/>
                <w:i/>
              </w:rPr>
              <w:t xml:space="preserve"> khấu hao, vì vậy giả định về việc thu hồi tài sản thông qua việc bán lại </w:t>
            </w:r>
            <w:r w:rsidR="00C4167D" w:rsidRPr="00010F83">
              <w:rPr>
                <w:rFonts w:ascii="Arial" w:hAnsi="Arial" w:cs="Arial"/>
                <w:i/>
              </w:rPr>
              <w:t>là vẫn đúng đối với quyền sử dụng đất</w:t>
            </w:r>
            <w:r w:rsidRPr="00010F83">
              <w:rPr>
                <w:rFonts w:ascii="Arial" w:hAnsi="Arial" w:cs="Arial"/>
                <w:i/>
              </w:rPr>
              <w:t>. Do đó, thuế TNDN hoãn lại phải trả phản ánh ảnh hưởng về thuế phát sinh từ việc thu hồi giá trị ghi sổ của nhà cửa, vật kiến trúc thông qua sử dụng và giá trị ghi sổ của quyền sử dụng đất qua việc bán lại.</w:t>
            </w:r>
          </w:p>
          <w:p w:rsidR="00391C7C" w:rsidRPr="00010F83" w:rsidRDefault="00391C7C" w:rsidP="00391C7C">
            <w:pPr>
              <w:spacing w:after="120"/>
              <w:jc w:val="both"/>
              <w:rPr>
                <w:rFonts w:ascii="Arial" w:hAnsi="Arial" w:cs="Arial"/>
                <w:i/>
              </w:rPr>
            </w:pPr>
            <w:r w:rsidRPr="00010F83">
              <w:rPr>
                <w:rFonts w:ascii="Arial" w:hAnsi="Arial" w:cs="Arial"/>
                <w:i/>
              </w:rPr>
              <w:t xml:space="preserve">Cơ sở tính thuế của nhà cửa, vật kiến trúc trong mô hình sử dụng là 30 (60 – 30) và chênh lệch tạm thời chịu </w:t>
            </w:r>
            <w:proofErr w:type="gramStart"/>
            <w:r w:rsidRPr="00010F83">
              <w:rPr>
                <w:rFonts w:ascii="Arial" w:hAnsi="Arial" w:cs="Arial"/>
                <w:i/>
              </w:rPr>
              <w:t>th</w:t>
            </w:r>
            <w:r w:rsidR="00C4167D" w:rsidRPr="00010F83">
              <w:rPr>
                <w:rFonts w:ascii="Arial" w:hAnsi="Arial" w:cs="Arial"/>
                <w:i/>
              </w:rPr>
              <w:t>u</w:t>
            </w:r>
            <w:r w:rsidRPr="00010F83">
              <w:rPr>
                <w:rFonts w:ascii="Arial" w:hAnsi="Arial" w:cs="Arial"/>
                <w:i/>
              </w:rPr>
              <w:t xml:space="preserve">ế </w:t>
            </w:r>
            <w:r w:rsidR="00C4167D" w:rsidRPr="00010F83">
              <w:rPr>
                <w:rFonts w:ascii="Arial" w:hAnsi="Arial" w:cs="Arial"/>
                <w:i/>
              </w:rPr>
              <w:t xml:space="preserve"> sẽ</w:t>
            </w:r>
            <w:proofErr w:type="gramEnd"/>
            <w:r w:rsidR="00C4167D" w:rsidRPr="00010F83">
              <w:rPr>
                <w:rFonts w:ascii="Arial" w:hAnsi="Arial" w:cs="Arial"/>
                <w:i/>
              </w:rPr>
              <w:t xml:space="preserve"> </w:t>
            </w:r>
            <w:r w:rsidRPr="00010F83">
              <w:rPr>
                <w:rFonts w:ascii="Arial" w:hAnsi="Arial" w:cs="Arial"/>
                <w:i/>
              </w:rPr>
              <w:t>là 60 (90 – 30), làm phát sinh khoản thuế TNDN hoãn lại phải trả là 18 (60 x 30%).</w:t>
            </w:r>
          </w:p>
          <w:p w:rsidR="00391C7C" w:rsidRPr="00010F83" w:rsidRDefault="00391C7C" w:rsidP="00391C7C">
            <w:pPr>
              <w:spacing w:after="120"/>
              <w:jc w:val="both"/>
              <w:rPr>
                <w:rFonts w:ascii="Arial" w:hAnsi="Arial" w:cs="Arial"/>
                <w:i/>
              </w:rPr>
            </w:pPr>
            <w:r w:rsidRPr="00010F83">
              <w:rPr>
                <w:rFonts w:ascii="Arial" w:hAnsi="Arial" w:cs="Arial"/>
                <w:i/>
              </w:rPr>
              <w:t>Cơ sở tính thuế của quyền sử dụng đất theo mô hình bán là 40 và chênh lệch tạm thời chịu thuế là 20 (60 – 40), dẫn đến khoản thuế TNDN hoãn lại phải trả phát sinh là 4 (20 x 20%).</w:t>
            </w:r>
          </w:p>
          <w:p w:rsidR="00391C7C" w:rsidRPr="00010F83" w:rsidRDefault="00391C7C" w:rsidP="00391C7C">
            <w:pPr>
              <w:autoSpaceDE w:val="0"/>
              <w:autoSpaceDN w:val="0"/>
              <w:adjustRightInd w:val="0"/>
              <w:spacing w:after="120"/>
              <w:jc w:val="both"/>
              <w:rPr>
                <w:rFonts w:ascii="Arial" w:hAnsi="Arial" w:cs="Arial"/>
                <w:bCs/>
              </w:rPr>
            </w:pPr>
            <w:r w:rsidRPr="00010F83">
              <w:rPr>
                <w:rFonts w:ascii="Arial" w:hAnsi="Arial" w:cs="Arial"/>
                <w:i/>
              </w:rPr>
              <w:t xml:space="preserve">Vì vậy, nếu giả định việc thu hồi tài sản thông qua bán lại bị bác bỏ đối với </w:t>
            </w:r>
            <w:r w:rsidR="0010473B" w:rsidRPr="00010F83">
              <w:rPr>
                <w:rFonts w:ascii="Arial" w:hAnsi="Arial" w:cs="Arial"/>
                <w:i/>
              </w:rPr>
              <w:t>phần nhà cửa, vật kiến trúc</w:t>
            </w:r>
            <w:r w:rsidRPr="00010F83">
              <w:rPr>
                <w:rFonts w:ascii="Arial" w:hAnsi="Arial" w:cs="Arial"/>
                <w:i/>
              </w:rPr>
              <w:t>, thuế TNDN hoãn lại phải trả cho bất động sản đầu tư là 22 (18 + 4).</w:t>
            </w:r>
          </w:p>
        </w:tc>
      </w:tr>
    </w:tbl>
    <w:p w:rsidR="00391C7C" w:rsidRPr="00010F83" w:rsidRDefault="00391C7C" w:rsidP="00590853">
      <w:pPr>
        <w:autoSpaceDE w:val="0"/>
        <w:autoSpaceDN w:val="0"/>
        <w:adjustRightInd w:val="0"/>
        <w:spacing w:after="120" w:line="240" w:lineRule="auto"/>
        <w:jc w:val="both"/>
        <w:rPr>
          <w:rFonts w:ascii="Arial" w:hAnsi="Arial" w:cs="Arial"/>
          <w:bCs/>
        </w:rPr>
      </w:pPr>
    </w:p>
    <w:p w:rsidR="00C530A3" w:rsidRPr="00010F83" w:rsidRDefault="00C530A3" w:rsidP="00391C7C">
      <w:pPr>
        <w:autoSpaceDE w:val="0"/>
        <w:autoSpaceDN w:val="0"/>
        <w:adjustRightInd w:val="0"/>
        <w:spacing w:after="120" w:line="240" w:lineRule="auto"/>
        <w:ind w:left="720" w:hanging="720"/>
        <w:jc w:val="both"/>
        <w:rPr>
          <w:rFonts w:ascii="Arial" w:hAnsi="Arial" w:cs="Arial"/>
          <w:bCs/>
        </w:rPr>
      </w:pPr>
      <w:r w:rsidRPr="00010F83">
        <w:rPr>
          <w:rFonts w:ascii="Arial" w:hAnsi="Arial" w:cs="Arial"/>
          <w:bCs/>
        </w:rPr>
        <w:t xml:space="preserve">51D. </w:t>
      </w:r>
      <w:r w:rsidR="000B00E3" w:rsidRPr="00010F83">
        <w:rPr>
          <w:rFonts w:ascii="Arial" w:hAnsi="Arial" w:cs="Arial"/>
          <w:bCs/>
        </w:rPr>
        <w:tab/>
        <w:t xml:space="preserve">Giả định ở đoạn 51C cũng được áp dụng khi </w:t>
      </w:r>
      <w:r w:rsidR="00731917" w:rsidRPr="00010F83">
        <w:rPr>
          <w:rFonts w:ascii="Arial" w:hAnsi="Arial" w:cs="Arial"/>
          <w:bCs/>
        </w:rPr>
        <w:t>thuế TNDN</w:t>
      </w:r>
      <w:r w:rsidR="006805F0" w:rsidRPr="00010F83">
        <w:rPr>
          <w:rFonts w:ascii="Arial" w:hAnsi="Arial" w:cs="Arial"/>
          <w:bCs/>
        </w:rPr>
        <w:t xml:space="preserve"> hoãn lại phải trả</w:t>
      </w:r>
      <w:r w:rsidR="000B00E3" w:rsidRPr="00010F83">
        <w:rPr>
          <w:rFonts w:ascii="Arial" w:hAnsi="Arial" w:cs="Arial"/>
          <w:bCs/>
        </w:rPr>
        <w:t xml:space="preserve"> hoặc </w:t>
      </w:r>
      <w:r w:rsidR="006805F0" w:rsidRPr="00010F83">
        <w:rPr>
          <w:rFonts w:ascii="Arial" w:hAnsi="Arial" w:cs="Arial"/>
          <w:bCs/>
        </w:rPr>
        <w:t xml:space="preserve">tài sản </w:t>
      </w:r>
      <w:r w:rsidR="00731917" w:rsidRPr="00010F83">
        <w:rPr>
          <w:rFonts w:ascii="Arial" w:hAnsi="Arial" w:cs="Arial"/>
          <w:bCs/>
        </w:rPr>
        <w:t>thuế TNDN</w:t>
      </w:r>
      <w:r w:rsidR="006805F0" w:rsidRPr="00010F83">
        <w:rPr>
          <w:rFonts w:ascii="Arial" w:hAnsi="Arial" w:cs="Arial"/>
          <w:bCs/>
        </w:rPr>
        <w:t xml:space="preserve"> hoãn lại</w:t>
      </w:r>
      <w:r w:rsidR="000B00E3" w:rsidRPr="00010F83">
        <w:rPr>
          <w:rFonts w:ascii="Arial" w:hAnsi="Arial" w:cs="Arial"/>
          <w:bCs/>
        </w:rPr>
        <w:t xml:space="preserve"> phát sinh từ việc xác định giá trị bất động sản đầu tư trong giao dịch hợp nhất kinh doanh nếu đơn vị </w:t>
      </w:r>
      <w:r w:rsidR="00F47A67" w:rsidRPr="00010F83">
        <w:rPr>
          <w:rFonts w:ascii="Arial" w:hAnsi="Arial" w:cs="Arial"/>
          <w:bCs/>
        </w:rPr>
        <w:t xml:space="preserve">tiếp tục </w:t>
      </w:r>
      <w:r w:rsidR="000B00E3" w:rsidRPr="00010F83">
        <w:rPr>
          <w:rFonts w:ascii="Arial" w:hAnsi="Arial" w:cs="Arial"/>
          <w:bCs/>
        </w:rPr>
        <w:t>sử dụng giá trị hợp lý để đánh giá giá trị của bất động sản đầu tư</w:t>
      </w:r>
      <w:r w:rsidR="00F47A67" w:rsidRPr="00010F83">
        <w:rPr>
          <w:rFonts w:ascii="Arial" w:hAnsi="Arial" w:cs="Arial"/>
          <w:bCs/>
        </w:rPr>
        <w:t xml:space="preserve"> trong các </w:t>
      </w:r>
      <w:r w:rsidR="00C4167D" w:rsidRPr="00010F83">
        <w:rPr>
          <w:rFonts w:ascii="Arial" w:hAnsi="Arial" w:cs="Arial"/>
          <w:bCs/>
        </w:rPr>
        <w:t>lần đánh giá</w:t>
      </w:r>
      <w:r w:rsidR="00F47A67" w:rsidRPr="00010F83">
        <w:rPr>
          <w:rFonts w:ascii="Arial" w:hAnsi="Arial" w:cs="Arial"/>
          <w:bCs/>
        </w:rPr>
        <w:t xml:space="preserve"> tiếp theo</w:t>
      </w:r>
      <w:r w:rsidR="000B00E3" w:rsidRPr="00010F83">
        <w:rPr>
          <w:rFonts w:ascii="Arial" w:hAnsi="Arial" w:cs="Arial"/>
          <w:bCs/>
        </w:rPr>
        <w:t>.</w:t>
      </w:r>
    </w:p>
    <w:p w:rsidR="00C530A3" w:rsidRPr="00010F83" w:rsidRDefault="00C530A3" w:rsidP="00391C7C">
      <w:pPr>
        <w:autoSpaceDE w:val="0"/>
        <w:autoSpaceDN w:val="0"/>
        <w:adjustRightInd w:val="0"/>
        <w:spacing w:after="120" w:line="240" w:lineRule="auto"/>
        <w:ind w:left="720" w:hanging="720"/>
        <w:jc w:val="both"/>
        <w:rPr>
          <w:rFonts w:ascii="Arial" w:hAnsi="Arial" w:cs="Arial"/>
          <w:bCs/>
        </w:rPr>
      </w:pPr>
      <w:r w:rsidRPr="00010F83">
        <w:rPr>
          <w:rFonts w:ascii="Arial" w:hAnsi="Arial" w:cs="Arial"/>
          <w:bCs/>
        </w:rPr>
        <w:t xml:space="preserve">51E. </w:t>
      </w:r>
      <w:r w:rsidR="000B00E3" w:rsidRPr="00010F83">
        <w:rPr>
          <w:rFonts w:ascii="Arial" w:hAnsi="Arial" w:cs="Arial"/>
          <w:bCs/>
        </w:rPr>
        <w:tab/>
      </w:r>
      <w:r w:rsidR="00F47A67" w:rsidRPr="00010F83">
        <w:rPr>
          <w:rFonts w:ascii="Arial" w:hAnsi="Arial" w:cs="Arial"/>
          <w:bCs/>
        </w:rPr>
        <w:t>Các đo</w:t>
      </w:r>
      <w:r w:rsidR="000B00E3" w:rsidRPr="00010F83">
        <w:rPr>
          <w:rFonts w:ascii="Arial" w:hAnsi="Arial" w:cs="Arial"/>
          <w:bCs/>
        </w:rPr>
        <w:t xml:space="preserve">ạn </w:t>
      </w:r>
      <w:r w:rsidR="00F47A67" w:rsidRPr="00010F83">
        <w:rPr>
          <w:rFonts w:ascii="Arial" w:hAnsi="Arial" w:cs="Arial"/>
          <w:bCs/>
        </w:rPr>
        <w:t xml:space="preserve">từ </w:t>
      </w:r>
      <w:r w:rsidR="000B00E3" w:rsidRPr="00010F83">
        <w:rPr>
          <w:rFonts w:ascii="Arial" w:hAnsi="Arial" w:cs="Arial"/>
          <w:bCs/>
        </w:rPr>
        <w:t xml:space="preserve">51B </w:t>
      </w:r>
      <w:r w:rsidR="00F47A67" w:rsidRPr="00010F83">
        <w:rPr>
          <w:rFonts w:ascii="Arial" w:hAnsi="Arial" w:cs="Arial"/>
          <w:bCs/>
        </w:rPr>
        <w:t>đến</w:t>
      </w:r>
      <w:r w:rsidR="000B00E3" w:rsidRPr="00010F83">
        <w:rPr>
          <w:rFonts w:ascii="Arial" w:hAnsi="Arial" w:cs="Arial"/>
          <w:bCs/>
        </w:rPr>
        <w:t xml:space="preserve"> 51D không làm thay đổi việc </w:t>
      </w:r>
      <w:r w:rsidR="00F47A67" w:rsidRPr="00010F83">
        <w:rPr>
          <w:rFonts w:ascii="Arial" w:hAnsi="Arial" w:cs="Arial"/>
          <w:bCs/>
        </w:rPr>
        <w:t xml:space="preserve">bắt buộc </w:t>
      </w:r>
      <w:r w:rsidR="000B00E3" w:rsidRPr="00010F83">
        <w:rPr>
          <w:rFonts w:ascii="Arial" w:hAnsi="Arial" w:cs="Arial"/>
          <w:bCs/>
        </w:rPr>
        <w:t xml:space="preserve">áp dụng các nguyên tắc ở đoạn 24 </w:t>
      </w:r>
      <w:r w:rsidR="00F47A67" w:rsidRPr="00010F83">
        <w:rPr>
          <w:rFonts w:ascii="Arial" w:hAnsi="Arial" w:cs="Arial"/>
          <w:bCs/>
        </w:rPr>
        <w:t>đến</w:t>
      </w:r>
      <w:r w:rsidR="000B00E3" w:rsidRPr="00010F83">
        <w:rPr>
          <w:rFonts w:ascii="Arial" w:hAnsi="Arial" w:cs="Arial"/>
          <w:bCs/>
        </w:rPr>
        <w:t xml:space="preserve"> 33 (chênh lệch tạm thời được </w:t>
      </w:r>
      <w:r w:rsidR="00F47A67" w:rsidRPr="00010F83">
        <w:rPr>
          <w:rFonts w:ascii="Arial" w:hAnsi="Arial" w:cs="Arial"/>
          <w:bCs/>
        </w:rPr>
        <w:t>khấu</w:t>
      </w:r>
      <w:r w:rsidR="000B00E3" w:rsidRPr="00010F83">
        <w:rPr>
          <w:rFonts w:ascii="Arial" w:hAnsi="Arial" w:cs="Arial"/>
          <w:bCs/>
        </w:rPr>
        <w:t xml:space="preserve"> trừ) và đoạn 34 </w:t>
      </w:r>
      <w:r w:rsidR="00F47A67" w:rsidRPr="00010F83">
        <w:rPr>
          <w:rFonts w:ascii="Arial" w:hAnsi="Arial" w:cs="Arial"/>
          <w:bCs/>
        </w:rPr>
        <w:t>đến</w:t>
      </w:r>
      <w:r w:rsidR="000B00E3" w:rsidRPr="00010F83">
        <w:rPr>
          <w:rFonts w:ascii="Arial" w:hAnsi="Arial" w:cs="Arial"/>
          <w:bCs/>
        </w:rPr>
        <w:t xml:space="preserve"> 36 (lỗ tính thuế và ưu đãi thuế chưa sử dụng) của Chuẩn mực này khi ghi nhận và xác định </w:t>
      </w:r>
      <w:r w:rsidR="00F47A67" w:rsidRPr="00010F83">
        <w:rPr>
          <w:rFonts w:ascii="Arial" w:hAnsi="Arial" w:cs="Arial"/>
          <w:bCs/>
        </w:rPr>
        <w:t xml:space="preserve">giá trị </w:t>
      </w:r>
      <w:r w:rsidR="006805F0" w:rsidRPr="00010F83">
        <w:rPr>
          <w:rFonts w:ascii="Arial" w:hAnsi="Arial" w:cs="Arial"/>
          <w:bCs/>
        </w:rPr>
        <w:t xml:space="preserve">tài sản </w:t>
      </w:r>
      <w:r w:rsidR="00731917" w:rsidRPr="00010F83">
        <w:rPr>
          <w:rFonts w:ascii="Arial" w:hAnsi="Arial" w:cs="Arial"/>
          <w:bCs/>
        </w:rPr>
        <w:t>thuế TNDN</w:t>
      </w:r>
      <w:r w:rsidR="006805F0" w:rsidRPr="00010F83">
        <w:rPr>
          <w:rFonts w:ascii="Arial" w:hAnsi="Arial" w:cs="Arial"/>
          <w:bCs/>
        </w:rPr>
        <w:t xml:space="preserve"> hoãn lại</w:t>
      </w:r>
      <w:r w:rsidR="000B00E3" w:rsidRPr="00010F83">
        <w:rPr>
          <w:rFonts w:ascii="Arial" w:hAnsi="Arial" w:cs="Arial"/>
          <w:bCs/>
        </w:rPr>
        <w:t>.</w:t>
      </w:r>
    </w:p>
    <w:p w:rsidR="00C530A3" w:rsidRPr="00010F83" w:rsidRDefault="00C530A3" w:rsidP="00391C7C">
      <w:pPr>
        <w:autoSpaceDE w:val="0"/>
        <w:autoSpaceDN w:val="0"/>
        <w:adjustRightInd w:val="0"/>
        <w:spacing w:before="240" w:after="120" w:line="240" w:lineRule="auto"/>
        <w:jc w:val="both"/>
        <w:rPr>
          <w:rFonts w:ascii="Arial" w:hAnsi="Arial" w:cs="Arial"/>
          <w:bCs/>
        </w:rPr>
      </w:pPr>
      <w:r w:rsidRPr="00010F83">
        <w:rPr>
          <w:rFonts w:ascii="Arial" w:hAnsi="Arial" w:cs="Arial"/>
          <w:bCs/>
        </w:rPr>
        <w:t>52.</w:t>
      </w:r>
      <w:r w:rsidRPr="00010F83">
        <w:rPr>
          <w:rFonts w:ascii="Arial" w:hAnsi="Arial" w:cs="Arial"/>
          <w:bCs/>
        </w:rPr>
        <w:tab/>
        <w:t xml:space="preserve">[Đã được chuyển vị trí và đánh số </w:t>
      </w:r>
      <w:r w:rsidR="00F47A67" w:rsidRPr="00010F83">
        <w:rPr>
          <w:rFonts w:ascii="Arial" w:hAnsi="Arial" w:cs="Arial"/>
          <w:bCs/>
        </w:rPr>
        <w:t>lại thành</w:t>
      </w:r>
      <w:r w:rsidRPr="00010F83">
        <w:rPr>
          <w:rFonts w:ascii="Arial" w:hAnsi="Arial" w:cs="Arial"/>
          <w:bCs/>
        </w:rPr>
        <w:t xml:space="preserve"> 51A]</w:t>
      </w:r>
    </w:p>
    <w:p w:rsidR="00C530A3" w:rsidRPr="00010F83" w:rsidRDefault="00C530A3" w:rsidP="00391C7C">
      <w:pPr>
        <w:autoSpaceDE w:val="0"/>
        <w:autoSpaceDN w:val="0"/>
        <w:adjustRightInd w:val="0"/>
        <w:spacing w:after="120" w:line="240" w:lineRule="auto"/>
        <w:ind w:left="720" w:hanging="720"/>
        <w:jc w:val="both"/>
        <w:rPr>
          <w:rFonts w:ascii="Arial" w:hAnsi="Arial" w:cs="Arial"/>
          <w:bCs/>
        </w:rPr>
      </w:pPr>
      <w:r w:rsidRPr="00010F83">
        <w:rPr>
          <w:rFonts w:ascii="Arial" w:hAnsi="Arial" w:cs="Arial"/>
          <w:bCs/>
        </w:rPr>
        <w:t xml:space="preserve">52A. </w:t>
      </w:r>
      <w:r w:rsidR="000B00E3" w:rsidRPr="00010F83">
        <w:rPr>
          <w:rFonts w:ascii="Arial" w:hAnsi="Arial" w:cs="Arial"/>
          <w:bCs/>
        </w:rPr>
        <w:tab/>
        <w:t xml:space="preserve">Ở một số </w:t>
      </w:r>
      <w:r w:rsidR="00BC7F63" w:rsidRPr="00010F83">
        <w:rPr>
          <w:rFonts w:ascii="Arial" w:hAnsi="Arial" w:cs="Arial"/>
          <w:bCs/>
        </w:rPr>
        <w:t>khu vực</w:t>
      </w:r>
      <w:r w:rsidR="000B00E3" w:rsidRPr="00010F83">
        <w:rPr>
          <w:rFonts w:ascii="Arial" w:hAnsi="Arial" w:cs="Arial"/>
          <w:bCs/>
        </w:rPr>
        <w:t xml:space="preserve">, </w:t>
      </w:r>
      <w:r w:rsidR="00FF1999" w:rsidRPr="00010F83">
        <w:rPr>
          <w:rFonts w:ascii="Arial" w:hAnsi="Arial" w:cs="Arial"/>
          <w:bCs/>
        </w:rPr>
        <w:t xml:space="preserve">thuế suất </w:t>
      </w:r>
      <w:r w:rsidR="000B00E3" w:rsidRPr="00010F83">
        <w:rPr>
          <w:rFonts w:ascii="Arial" w:hAnsi="Arial" w:cs="Arial"/>
          <w:bCs/>
        </w:rPr>
        <w:t xml:space="preserve">thuế </w:t>
      </w:r>
      <w:proofErr w:type="gramStart"/>
      <w:r w:rsidR="000B00E3" w:rsidRPr="00010F83">
        <w:rPr>
          <w:rFonts w:ascii="Arial" w:hAnsi="Arial" w:cs="Arial"/>
          <w:bCs/>
        </w:rPr>
        <w:t>thu</w:t>
      </w:r>
      <w:proofErr w:type="gramEnd"/>
      <w:r w:rsidR="000B00E3" w:rsidRPr="00010F83">
        <w:rPr>
          <w:rFonts w:ascii="Arial" w:hAnsi="Arial" w:cs="Arial"/>
          <w:bCs/>
        </w:rPr>
        <w:t xml:space="preserve"> nhập phải nộp sẽ cao hơn hoặc thấp hơn khi một phần hoặc toàn bộ lợi nhuận </w:t>
      </w:r>
      <w:r w:rsidR="00452582" w:rsidRPr="00010F83">
        <w:rPr>
          <w:rFonts w:ascii="Arial" w:hAnsi="Arial" w:cs="Arial"/>
          <w:bCs/>
        </w:rPr>
        <w:t>thuần</w:t>
      </w:r>
      <w:r w:rsidR="000B00E3" w:rsidRPr="00010F83">
        <w:rPr>
          <w:rFonts w:ascii="Arial" w:hAnsi="Arial" w:cs="Arial"/>
          <w:bCs/>
        </w:rPr>
        <w:t xml:space="preserve"> </w:t>
      </w:r>
      <w:r w:rsidR="00FF1999" w:rsidRPr="00010F83">
        <w:rPr>
          <w:rFonts w:ascii="Arial" w:hAnsi="Arial" w:cs="Arial"/>
          <w:bCs/>
        </w:rPr>
        <w:t xml:space="preserve">hoặc lợi nhuận </w:t>
      </w:r>
      <w:r w:rsidR="00452582" w:rsidRPr="00010F83">
        <w:rPr>
          <w:rFonts w:ascii="Arial" w:hAnsi="Arial" w:cs="Arial"/>
          <w:bCs/>
        </w:rPr>
        <w:t>chưa phân phối</w:t>
      </w:r>
      <w:r w:rsidR="000B00E3" w:rsidRPr="00010F83">
        <w:rPr>
          <w:rFonts w:ascii="Arial" w:hAnsi="Arial" w:cs="Arial"/>
          <w:bCs/>
        </w:rPr>
        <w:t xml:space="preserve"> được</w:t>
      </w:r>
      <w:r w:rsidR="00FF1999" w:rsidRPr="00010F83">
        <w:rPr>
          <w:rFonts w:ascii="Arial" w:hAnsi="Arial" w:cs="Arial"/>
          <w:bCs/>
        </w:rPr>
        <w:t xml:space="preserve"> sử dụng để</w:t>
      </w:r>
      <w:r w:rsidR="000B00E3" w:rsidRPr="00010F83">
        <w:rPr>
          <w:rFonts w:ascii="Arial" w:hAnsi="Arial" w:cs="Arial"/>
          <w:bCs/>
        </w:rPr>
        <w:t xml:space="preserve"> chi trả cổ tức cho các cổ</w:t>
      </w:r>
      <w:r w:rsidR="00452582" w:rsidRPr="00010F83">
        <w:rPr>
          <w:rFonts w:ascii="Arial" w:hAnsi="Arial" w:cs="Arial"/>
          <w:bCs/>
        </w:rPr>
        <w:t xml:space="preserve"> đông</w:t>
      </w:r>
      <w:r w:rsidR="000B00E3" w:rsidRPr="00010F83">
        <w:rPr>
          <w:rFonts w:ascii="Arial" w:hAnsi="Arial" w:cs="Arial"/>
          <w:bCs/>
        </w:rPr>
        <w:t xml:space="preserve">. Ở một số </w:t>
      </w:r>
      <w:r w:rsidR="00FF1999" w:rsidRPr="00010F83">
        <w:rPr>
          <w:rFonts w:ascii="Arial" w:hAnsi="Arial" w:cs="Arial"/>
          <w:bCs/>
        </w:rPr>
        <w:t xml:space="preserve">khu vực </w:t>
      </w:r>
      <w:r w:rsidR="000B00E3" w:rsidRPr="00010F83">
        <w:rPr>
          <w:rFonts w:ascii="Arial" w:hAnsi="Arial" w:cs="Arial"/>
          <w:bCs/>
        </w:rPr>
        <w:t xml:space="preserve">khác, thuế </w:t>
      </w:r>
      <w:proofErr w:type="gramStart"/>
      <w:r w:rsidR="000B00E3" w:rsidRPr="00010F83">
        <w:rPr>
          <w:rFonts w:ascii="Arial" w:hAnsi="Arial" w:cs="Arial"/>
          <w:bCs/>
        </w:rPr>
        <w:t>thu</w:t>
      </w:r>
      <w:proofErr w:type="gramEnd"/>
      <w:r w:rsidR="000B00E3" w:rsidRPr="00010F83">
        <w:rPr>
          <w:rFonts w:ascii="Arial" w:hAnsi="Arial" w:cs="Arial"/>
          <w:bCs/>
        </w:rPr>
        <w:t xml:space="preserve"> nhập có thể được hoàn lại hoặc sẽ phải trả khi một phần hoặc toàn </w:t>
      </w:r>
      <w:r w:rsidR="007B64CF" w:rsidRPr="00010F83">
        <w:rPr>
          <w:rFonts w:ascii="Arial" w:hAnsi="Arial" w:cs="Arial"/>
          <w:bCs/>
        </w:rPr>
        <w:t>bộ lợi nhuận thuần hoặc lợi nhuận chưa phân phối được sử dụng để</w:t>
      </w:r>
      <w:r w:rsidR="008719A4" w:rsidRPr="00010F83">
        <w:rPr>
          <w:rFonts w:ascii="Arial" w:hAnsi="Arial" w:cs="Arial"/>
          <w:bCs/>
        </w:rPr>
        <w:t xml:space="preserve"> </w:t>
      </w:r>
      <w:r w:rsidR="000B00E3" w:rsidRPr="00010F83">
        <w:rPr>
          <w:rFonts w:ascii="Arial" w:hAnsi="Arial" w:cs="Arial"/>
          <w:bCs/>
        </w:rPr>
        <w:t xml:space="preserve">chi trả cổ tức cho các cổ đông. Trong những trường hợp như vậy, tài sản và nợ phải trả thuế hiện hành và thuế hoãn lại </w:t>
      </w:r>
      <w:r w:rsidR="008719A4" w:rsidRPr="00010F83">
        <w:rPr>
          <w:rFonts w:ascii="Arial" w:hAnsi="Arial" w:cs="Arial"/>
          <w:bCs/>
        </w:rPr>
        <w:t xml:space="preserve">sẽ </w:t>
      </w:r>
      <w:r w:rsidR="000B00E3" w:rsidRPr="00010F83">
        <w:rPr>
          <w:rFonts w:ascii="Arial" w:hAnsi="Arial" w:cs="Arial"/>
          <w:bCs/>
        </w:rPr>
        <w:t xml:space="preserve">được xác định </w:t>
      </w:r>
      <w:proofErr w:type="gramStart"/>
      <w:r w:rsidR="000B00E3" w:rsidRPr="00010F83">
        <w:rPr>
          <w:rFonts w:ascii="Arial" w:hAnsi="Arial" w:cs="Arial"/>
          <w:bCs/>
        </w:rPr>
        <w:t>theo</w:t>
      </w:r>
      <w:proofErr w:type="gramEnd"/>
      <w:r w:rsidR="000B00E3" w:rsidRPr="00010F83">
        <w:rPr>
          <w:rFonts w:ascii="Arial" w:hAnsi="Arial" w:cs="Arial"/>
          <w:bCs/>
        </w:rPr>
        <w:t xml:space="preserve"> mức thuế suất áp dụng đối với lợi nhuận chưa phân phối.</w:t>
      </w:r>
    </w:p>
    <w:p w:rsidR="00C530A3" w:rsidRPr="00010F83" w:rsidRDefault="00C530A3" w:rsidP="00590853">
      <w:pPr>
        <w:autoSpaceDE w:val="0"/>
        <w:autoSpaceDN w:val="0"/>
        <w:adjustRightInd w:val="0"/>
        <w:spacing w:after="120" w:line="240" w:lineRule="auto"/>
        <w:jc w:val="both"/>
        <w:rPr>
          <w:rFonts w:ascii="Arial" w:hAnsi="Arial" w:cs="Arial"/>
          <w:bCs/>
        </w:rPr>
      </w:pPr>
      <w:r w:rsidRPr="00010F83">
        <w:rPr>
          <w:rFonts w:ascii="Arial" w:hAnsi="Arial" w:cs="Arial"/>
          <w:bCs/>
        </w:rPr>
        <w:t xml:space="preserve">52B. </w:t>
      </w:r>
      <w:r w:rsidR="00BC7F63" w:rsidRPr="00010F83">
        <w:rPr>
          <w:rFonts w:ascii="Arial" w:hAnsi="Arial" w:cs="Arial"/>
          <w:bCs/>
        </w:rPr>
        <w:tab/>
      </w:r>
      <w:r w:rsidR="00452582" w:rsidRPr="00010F83">
        <w:rPr>
          <w:rFonts w:ascii="Arial" w:hAnsi="Arial" w:cs="Arial"/>
          <w:bCs/>
        </w:rPr>
        <w:t>[</w:t>
      </w:r>
      <w:r w:rsidR="00BC7F63" w:rsidRPr="00010F83">
        <w:rPr>
          <w:rFonts w:ascii="Arial" w:hAnsi="Arial" w:cs="Arial"/>
          <w:bCs/>
        </w:rPr>
        <w:t>Bỏ đoạn này</w:t>
      </w:r>
      <w:r w:rsidR="00452582" w:rsidRPr="00010F83">
        <w:rPr>
          <w:rFonts w:ascii="Arial" w:hAnsi="Arial" w:cs="Arial"/>
          <w:bCs/>
        </w:rPr>
        <w:t>]</w:t>
      </w:r>
    </w:p>
    <w:p w:rsidR="00766B0E" w:rsidRPr="00010F83" w:rsidRDefault="00766B0E">
      <w:pPr>
        <w:rPr>
          <w:rFonts w:ascii="Arial" w:hAnsi="Arial" w:cs="Arial"/>
          <w:bCs/>
        </w:rPr>
      </w:pPr>
      <w:r w:rsidRPr="00010F83">
        <w:rPr>
          <w:rFonts w:ascii="Arial" w:hAnsi="Arial" w:cs="Arial"/>
          <w:bCs/>
        </w:rPr>
        <w:br w:type="page"/>
      </w:r>
    </w:p>
    <w:p w:rsidR="00BC7F63" w:rsidRPr="00010F83" w:rsidRDefault="00BC7F63" w:rsidP="00590853">
      <w:pPr>
        <w:autoSpaceDE w:val="0"/>
        <w:autoSpaceDN w:val="0"/>
        <w:adjustRightInd w:val="0"/>
        <w:spacing w:after="120" w:line="240" w:lineRule="auto"/>
        <w:jc w:val="both"/>
        <w:rPr>
          <w:rFonts w:ascii="Arial" w:hAnsi="Arial" w:cs="Arial"/>
          <w:bCs/>
        </w:rPr>
      </w:pPr>
    </w:p>
    <w:tbl>
      <w:tblPr>
        <w:tblStyle w:val="TableGrid"/>
        <w:tblW w:w="0" w:type="auto"/>
        <w:tblInd w:w="625" w:type="dxa"/>
        <w:tblLook w:val="04A0"/>
      </w:tblPr>
      <w:tblGrid>
        <w:gridCol w:w="8725"/>
      </w:tblGrid>
      <w:tr w:rsidR="00C530A3" w:rsidRPr="00010F83" w:rsidTr="00766B0E">
        <w:tc>
          <w:tcPr>
            <w:tcW w:w="8725" w:type="dxa"/>
          </w:tcPr>
          <w:p w:rsidR="00C530A3" w:rsidRPr="00010F83" w:rsidRDefault="00C530A3" w:rsidP="00590853">
            <w:pPr>
              <w:spacing w:after="120"/>
              <w:jc w:val="both"/>
              <w:rPr>
                <w:rFonts w:ascii="Arial" w:hAnsi="Arial" w:cs="Arial"/>
              </w:rPr>
            </w:pPr>
            <w:r w:rsidRPr="00010F83">
              <w:rPr>
                <w:rFonts w:ascii="Arial" w:hAnsi="Arial" w:cs="Arial"/>
                <w:b/>
                <w:bCs/>
              </w:rPr>
              <w:t>Ví dụ minh họa cho đoạn 52A và 57A</w:t>
            </w:r>
          </w:p>
        </w:tc>
      </w:tr>
      <w:tr w:rsidR="00C530A3" w:rsidRPr="00010F83" w:rsidTr="00766B0E">
        <w:tc>
          <w:tcPr>
            <w:tcW w:w="8725" w:type="dxa"/>
          </w:tcPr>
          <w:p w:rsidR="00BC7F63" w:rsidRPr="00010F83" w:rsidRDefault="00BC7F63" w:rsidP="00590853">
            <w:pPr>
              <w:widowControl w:val="0"/>
              <w:kinsoku w:val="0"/>
              <w:overflowPunct w:val="0"/>
              <w:autoSpaceDE w:val="0"/>
              <w:autoSpaceDN w:val="0"/>
              <w:adjustRightInd w:val="0"/>
              <w:spacing w:before="41" w:after="120" w:line="285" w:lineRule="auto"/>
              <w:ind w:left="60" w:right="136"/>
              <w:jc w:val="both"/>
              <w:rPr>
                <w:rFonts w:ascii="Arial" w:eastAsiaTheme="minorEastAsia" w:hAnsi="Arial" w:cs="Arial"/>
                <w:w w:val="105"/>
              </w:rPr>
            </w:pPr>
            <w:r w:rsidRPr="00010F83">
              <w:rPr>
                <w:rFonts w:ascii="Arial" w:eastAsiaTheme="minorEastAsia" w:hAnsi="Arial" w:cs="Arial"/>
                <w:w w:val="105"/>
              </w:rPr>
              <w:t xml:space="preserve">Ví dụ sau đề cập đến việc xác định giá trị tài sản thuế </w:t>
            </w:r>
            <w:r w:rsidR="00D0324E" w:rsidRPr="00010F83">
              <w:rPr>
                <w:rFonts w:ascii="Arial" w:eastAsiaTheme="minorEastAsia" w:hAnsi="Arial" w:cs="Arial"/>
                <w:w w:val="105"/>
              </w:rPr>
              <w:t xml:space="preserve">TNDN </w:t>
            </w:r>
            <w:r w:rsidRPr="00010F83">
              <w:rPr>
                <w:rFonts w:ascii="Arial" w:eastAsiaTheme="minorEastAsia" w:hAnsi="Arial" w:cs="Arial"/>
                <w:w w:val="105"/>
              </w:rPr>
              <w:t xml:space="preserve">hiện hành và </w:t>
            </w:r>
            <w:r w:rsidR="0010473B" w:rsidRPr="00010F83">
              <w:rPr>
                <w:rFonts w:ascii="Arial" w:eastAsiaTheme="minorEastAsia" w:hAnsi="Arial" w:cs="Arial"/>
                <w:w w:val="105"/>
              </w:rPr>
              <w:t xml:space="preserve">tài sản </w:t>
            </w:r>
            <w:r w:rsidRPr="00010F83">
              <w:rPr>
                <w:rFonts w:ascii="Arial" w:eastAsiaTheme="minorEastAsia" w:hAnsi="Arial" w:cs="Arial"/>
                <w:w w:val="105"/>
              </w:rPr>
              <w:t xml:space="preserve">thuế </w:t>
            </w:r>
            <w:r w:rsidR="00D0324E" w:rsidRPr="00010F83">
              <w:rPr>
                <w:rFonts w:ascii="Arial" w:eastAsiaTheme="minorEastAsia" w:hAnsi="Arial" w:cs="Arial"/>
                <w:w w:val="105"/>
              </w:rPr>
              <w:t xml:space="preserve">TNDN </w:t>
            </w:r>
            <w:r w:rsidRPr="00010F83">
              <w:rPr>
                <w:rFonts w:ascii="Arial" w:eastAsiaTheme="minorEastAsia" w:hAnsi="Arial" w:cs="Arial"/>
                <w:w w:val="105"/>
              </w:rPr>
              <w:t xml:space="preserve">hoãn lại cũng như thuế </w:t>
            </w:r>
            <w:r w:rsidR="00D0324E" w:rsidRPr="00010F83">
              <w:rPr>
                <w:rFonts w:ascii="Arial" w:eastAsiaTheme="minorEastAsia" w:hAnsi="Arial" w:cs="Arial"/>
                <w:w w:val="105"/>
              </w:rPr>
              <w:t xml:space="preserve">TNDN </w:t>
            </w:r>
            <w:r w:rsidRPr="00010F83">
              <w:rPr>
                <w:rFonts w:ascii="Arial" w:eastAsiaTheme="minorEastAsia" w:hAnsi="Arial" w:cs="Arial"/>
                <w:w w:val="105"/>
              </w:rPr>
              <w:t>hiện hành</w:t>
            </w:r>
            <w:r w:rsidR="0010473B" w:rsidRPr="00010F83">
              <w:rPr>
                <w:rFonts w:ascii="Arial" w:eastAsiaTheme="minorEastAsia" w:hAnsi="Arial" w:cs="Arial"/>
                <w:w w:val="105"/>
              </w:rPr>
              <w:t xml:space="preserve"> phải nộp</w:t>
            </w:r>
            <w:r w:rsidRPr="00010F83">
              <w:rPr>
                <w:rFonts w:ascii="Arial" w:eastAsiaTheme="minorEastAsia" w:hAnsi="Arial" w:cs="Arial"/>
                <w:w w:val="105"/>
              </w:rPr>
              <w:t xml:space="preserve"> và </w:t>
            </w:r>
            <w:r w:rsidR="00731917" w:rsidRPr="00010F83">
              <w:rPr>
                <w:rFonts w:ascii="Arial" w:eastAsiaTheme="minorEastAsia" w:hAnsi="Arial" w:cs="Arial"/>
                <w:w w:val="105"/>
              </w:rPr>
              <w:t>thuế TNDN</w:t>
            </w:r>
            <w:r w:rsidR="006805F0" w:rsidRPr="00010F83">
              <w:rPr>
                <w:rFonts w:ascii="Arial" w:eastAsiaTheme="minorEastAsia" w:hAnsi="Arial" w:cs="Arial"/>
                <w:w w:val="105"/>
              </w:rPr>
              <w:t xml:space="preserve"> hoãn lại phải trả</w:t>
            </w:r>
            <w:r w:rsidRPr="00010F83">
              <w:rPr>
                <w:rFonts w:ascii="Arial" w:eastAsiaTheme="minorEastAsia" w:hAnsi="Arial" w:cs="Arial"/>
                <w:w w:val="105"/>
              </w:rPr>
              <w:t xml:space="preserve"> cho một đơn vị tại một quốc gia mà thuế </w:t>
            </w:r>
            <w:r w:rsidR="00BB0514" w:rsidRPr="00010F83">
              <w:rPr>
                <w:rFonts w:ascii="Arial" w:eastAsiaTheme="minorEastAsia" w:hAnsi="Arial" w:cs="Arial"/>
                <w:w w:val="105"/>
              </w:rPr>
              <w:t xml:space="preserve">suất </w:t>
            </w:r>
            <w:r w:rsidRPr="00010F83">
              <w:rPr>
                <w:rFonts w:ascii="Arial" w:eastAsiaTheme="minorEastAsia" w:hAnsi="Arial" w:cs="Arial"/>
                <w:w w:val="105"/>
              </w:rPr>
              <w:t xml:space="preserve">thu nhập </w:t>
            </w:r>
            <w:r w:rsidR="00BB0514" w:rsidRPr="00010F83">
              <w:rPr>
                <w:rFonts w:ascii="Arial" w:eastAsiaTheme="minorEastAsia" w:hAnsi="Arial" w:cs="Arial"/>
                <w:w w:val="105"/>
              </w:rPr>
              <w:t>doanh nghiệp là 50%</w:t>
            </w:r>
            <w:r w:rsidRPr="00010F83">
              <w:rPr>
                <w:rFonts w:ascii="Arial" w:eastAsiaTheme="minorEastAsia" w:hAnsi="Arial" w:cs="Arial"/>
                <w:w w:val="105"/>
              </w:rPr>
              <w:t xml:space="preserve"> </w:t>
            </w:r>
            <w:r w:rsidR="008719A4" w:rsidRPr="00010F83">
              <w:rPr>
                <w:rFonts w:ascii="Arial" w:eastAsiaTheme="minorEastAsia" w:hAnsi="Arial" w:cs="Arial"/>
                <w:w w:val="105"/>
              </w:rPr>
              <w:t>tính trên</w:t>
            </w:r>
            <w:r w:rsidRPr="00010F83">
              <w:rPr>
                <w:rFonts w:ascii="Arial" w:eastAsiaTheme="minorEastAsia" w:hAnsi="Arial" w:cs="Arial"/>
                <w:w w:val="105"/>
              </w:rPr>
              <w:t xml:space="preserve"> lợi nh</w:t>
            </w:r>
            <w:r w:rsidR="008719A4" w:rsidRPr="00010F83">
              <w:rPr>
                <w:rFonts w:ascii="Arial" w:eastAsiaTheme="minorEastAsia" w:hAnsi="Arial" w:cs="Arial"/>
                <w:w w:val="105"/>
              </w:rPr>
              <w:t>u</w:t>
            </w:r>
            <w:r w:rsidRPr="00010F83">
              <w:rPr>
                <w:rFonts w:ascii="Arial" w:eastAsiaTheme="minorEastAsia" w:hAnsi="Arial" w:cs="Arial"/>
                <w:w w:val="105"/>
              </w:rPr>
              <w:t>ận chưa phân phối</w:t>
            </w:r>
            <w:r w:rsidR="00BB0514" w:rsidRPr="00010F83">
              <w:rPr>
                <w:rFonts w:ascii="Arial" w:eastAsiaTheme="minorEastAsia" w:hAnsi="Arial" w:cs="Arial"/>
                <w:w w:val="105"/>
              </w:rPr>
              <w:t>,</w:t>
            </w:r>
            <w:r w:rsidRPr="00010F83">
              <w:rPr>
                <w:rFonts w:ascii="Arial" w:eastAsiaTheme="minorEastAsia" w:hAnsi="Arial" w:cs="Arial"/>
                <w:w w:val="105"/>
              </w:rPr>
              <w:t xml:space="preserve"> </w:t>
            </w:r>
            <w:r w:rsidR="00BB0514" w:rsidRPr="00010F83">
              <w:rPr>
                <w:rFonts w:ascii="Arial" w:eastAsiaTheme="minorEastAsia" w:hAnsi="Arial" w:cs="Arial"/>
                <w:w w:val="105"/>
              </w:rPr>
              <w:t>nhưng một phần thuế</w:t>
            </w:r>
            <w:r w:rsidRPr="00010F83">
              <w:rPr>
                <w:rFonts w:ascii="Arial" w:eastAsiaTheme="minorEastAsia" w:hAnsi="Arial" w:cs="Arial"/>
                <w:w w:val="105"/>
              </w:rPr>
              <w:t xml:space="preserve"> sẽ được hoàn lại khi lợi nh</w:t>
            </w:r>
            <w:r w:rsidR="008719A4" w:rsidRPr="00010F83">
              <w:rPr>
                <w:rFonts w:ascii="Arial" w:eastAsiaTheme="minorEastAsia" w:hAnsi="Arial" w:cs="Arial"/>
                <w:w w:val="105"/>
              </w:rPr>
              <w:t>u</w:t>
            </w:r>
            <w:r w:rsidRPr="00010F83">
              <w:rPr>
                <w:rFonts w:ascii="Arial" w:eastAsiaTheme="minorEastAsia" w:hAnsi="Arial" w:cs="Arial"/>
                <w:w w:val="105"/>
              </w:rPr>
              <w:t>ận được phân phối. Thuế suất đối với lợi nh</w:t>
            </w:r>
            <w:r w:rsidR="008719A4" w:rsidRPr="00010F83">
              <w:rPr>
                <w:rFonts w:ascii="Arial" w:eastAsiaTheme="minorEastAsia" w:hAnsi="Arial" w:cs="Arial"/>
                <w:w w:val="105"/>
              </w:rPr>
              <w:t>u</w:t>
            </w:r>
            <w:r w:rsidRPr="00010F83">
              <w:rPr>
                <w:rFonts w:ascii="Arial" w:eastAsiaTheme="minorEastAsia" w:hAnsi="Arial" w:cs="Arial"/>
                <w:w w:val="105"/>
              </w:rPr>
              <w:t xml:space="preserve">ận đã được phân phối là 35%. Tại ngày kết thúc kỳ báo cáo 31 tháng 12 năm 20x1, đơn vị </w:t>
            </w:r>
            <w:r w:rsidR="00BB0514" w:rsidRPr="00010F83">
              <w:rPr>
                <w:rFonts w:ascii="Arial" w:eastAsiaTheme="minorEastAsia" w:hAnsi="Arial" w:cs="Arial"/>
                <w:w w:val="105"/>
              </w:rPr>
              <w:t>chưa</w:t>
            </w:r>
            <w:r w:rsidRPr="00010F83">
              <w:rPr>
                <w:rFonts w:ascii="Arial" w:eastAsiaTheme="minorEastAsia" w:hAnsi="Arial" w:cs="Arial"/>
                <w:w w:val="105"/>
              </w:rPr>
              <w:t xml:space="preserve"> ghi nhận nợ phải trả cho khoản cổ tức công bố sau ngày kết thúc kỳ báo cáo</w:t>
            </w:r>
            <w:r w:rsidR="0010473B" w:rsidRPr="00010F83">
              <w:rPr>
                <w:rFonts w:ascii="Arial" w:eastAsiaTheme="minorEastAsia" w:hAnsi="Arial" w:cs="Arial"/>
                <w:w w:val="105"/>
              </w:rPr>
              <w:t>,</w:t>
            </w:r>
            <w:r w:rsidRPr="00010F83">
              <w:rPr>
                <w:rFonts w:ascii="Arial" w:eastAsiaTheme="minorEastAsia" w:hAnsi="Arial" w:cs="Arial"/>
                <w:w w:val="105"/>
              </w:rPr>
              <w:t xml:space="preserve"> </w:t>
            </w:r>
            <w:r w:rsidR="0010473B" w:rsidRPr="00010F83">
              <w:rPr>
                <w:rFonts w:ascii="Arial" w:eastAsiaTheme="minorEastAsia" w:hAnsi="Arial" w:cs="Arial"/>
                <w:w w:val="105"/>
              </w:rPr>
              <w:t xml:space="preserve">cổ </w:t>
            </w:r>
            <w:r w:rsidRPr="00010F83">
              <w:rPr>
                <w:rFonts w:ascii="Arial" w:eastAsiaTheme="minorEastAsia" w:hAnsi="Arial" w:cs="Arial"/>
                <w:w w:val="105"/>
              </w:rPr>
              <w:t xml:space="preserve">tức </w:t>
            </w:r>
            <w:r w:rsidR="00BB0514" w:rsidRPr="00010F83">
              <w:rPr>
                <w:rFonts w:ascii="Arial" w:eastAsiaTheme="minorEastAsia" w:hAnsi="Arial" w:cs="Arial"/>
                <w:w w:val="105"/>
              </w:rPr>
              <w:t>chưa</w:t>
            </w:r>
            <w:r w:rsidRPr="00010F83">
              <w:rPr>
                <w:rFonts w:ascii="Arial" w:eastAsiaTheme="minorEastAsia" w:hAnsi="Arial" w:cs="Arial"/>
                <w:w w:val="105"/>
              </w:rPr>
              <w:t xml:space="preserve"> được ghi nhận vào năm 20x1. Thu nhập chịu thuế cho năm 20x1 là 100</w:t>
            </w:r>
            <w:r w:rsidR="00D0324E" w:rsidRPr="00010F83">
              <w:rPr>
                <w:rFonts w:ascii="Arial" w:eastAsiaTheme="minorEastAsia" w:hAnsi="Arial" w:cs="Arial"/>
                <w:w w:val="105"/>
              </w:rPr>
              <w:t>.</w:t>
            </w:r>
            <w:r w:rsidRPr="00010F83">
              <w:rPr>
                <w:rFonts w:ascii="Arial" w:eastAsiaTheme="minorEastAsia" w:hAnsi="Arial" w:cs="Arial"/>
                <w:w w:val="105"/>
              </w:rPr>
              <w:t>000. Chênh lệch tạm thời chịu thuế thuần cho năm 20x1 là 40</w:t>
            </w:r>
            <w:r w:rsidR="00D0324E" w:rsidRPr="00010F83">
              <w:rPr>
                <w:rFonts w:ascii="Arial" w:eastAsiaTheme="minorEastAsia" w:hAnsi="Arial" w:cs="Arial"/>
                <w:w w:val="105"/>
              </w:rPr>
              <w:t>.</w:t>
            </w:r>
            <w:r w:rsidRPr="00010F83">
              <w:rPr>
                <w:rFonts w:ascii="Arial" w:eastAsiaTheme="minorEastAsia" w:hAnsi="Arial" w:cs="Arial"/>
                <w:w w:val="105"/>
              </w:rPr>
              <w:t>000.</w:t>
            </w:r>
          </w:p>
          <w:p w:rsidR="00BC7F63" w:rsidRPr="00010F83" w:rsidRDefault="00BC7F63" w:rsidP="00590853">
            <w:pPr>
              <w:widowControl w:val="0"/>
              <w:kinsoku w:val="0"/>
              <w:overflowPunct w:val="0"/>
              <w:autoSpaceDE w:val="0"/>
              <w:autoSpaceDN w:val="0"/>
              <w:adjustRightInd w:val="0"/>
              <w:spacing w:before="41" w:after="120" w:line="285" w:lineRule="auto"/>
              <w:ind w:left="60" w:right="136"/>
              <w:jc w:val="both"/>
              <w:rPr>
                <w:rFonts w:ascii="Arial" w:eastAsiaTheme="minorEastAsia" w:hAnsi="Arial" w:cs="Arial"/>
                <w:w w:val="105"/>
              </w:rPr>
            </w:pPr>
            <w:r w:rsidRPr="00010F83">
              <w:rPr>
                <w:rFonts w:ascii="Arial" w:eastAsiaTheme="minorEastAsia" w:hAnsi="Arial" w:cs="Arial"/>
                <w:w w:val="105"/>
              </w:rPr>
              <w:t xml:space="preserve">Đơn vị ghi nhận </w:t>
            </w:r>
            <w:r w:rsidR="00731917" w:rsidRPr="00010F83">
              <w:rPr>
                <w:rFonts w:ascii="Arial" w:eastAsiaTheme="minorEastAsia" w:hAnsi="Arial" w:cs="Arial"/>
                <w:w w:val="105"/>
              </w:rPr>
              <w:t>thuế TNDN</w:t>
            </w:r>
            <w:r w:rsidR="00BB0514" w:rsidRPr="00010F83">
              <w:rPr>
                <w:rFonts w:ascii="Arial" w:eastAsiaTheme="minorEastAsia" w:hAnsi="Arial" w:cs="Arial"/>
                <w:w w:val="105"/>
              </w:rPr>
              <w:t xml:space="preserve"> </w:t>
            </w:r>
            <w:r w:rsidRPr="00010F83">
              <w:rPr>
                <w:rFonts w:ascii="Arial" w:eastAsiaTheme="minorEastAsia" w:hAnsi="Arial" w:cs="Arial"/>
                <w:w w:val="105"/>
              </w:rPr>
              <w:t xml:space="preserve">hiện hành phải nộp và chi phí </w:t>
            </w:r>
            <w:r w:rsidR="00731917" w:rsidRPr="00010F83">
              <w:rPr>
                <w:rFonts w:ascii="Arial" w:eastAsiaTheme="minorEastAsia" w:hAnsi="Arial" w:cs="Arial"/>
                <w:w w:val="105"/>
              </w:rPr>
              <w:t>thuế TNDN</w:t>
            </w:r>
            <w:r w:rsidR="00BB0514" w:rsidRPr="00010F83">
              <w:rPr>
                <w:rFonts w:ascii="Arial" w:eastAsiaTheme="minorEastAsia" w:hAnsi="Arial" w:cs="Arial"/>
                <w:w w:val="105"/>
              </w:rPr>
              <w:t xml:space="preserve"> </w:t>
            </w:r>
            <w:r w:rsidRPr="00010F83">
              <w:rPr>
                <w:rFonts w:ascii="Arial" w:eastAsiaTheme="minorEastAsia" w:hAnsi="Arial" w:cs="Arial"/>
                <w:w w:val="105"/>
              </w:rPr>
              <w:t>hiện hành là 50</w:t>
            </w:r>
            <w:r w:rsidR="00D0324E" w:rsidRPr="00010F83">
              <w:rPr>
                <w:rFonts w:ascii="Arial" w:eastAsiaTheme="minorEastAsia" w:hAnsi="Arial" w:cs="Arial"/>
                <w:w w:val="105"/>
              </w:rPr>
              <w:t>.</w:t>
            </w:r>
            <w:r w:rsidRPr="00010F83">
              <w:rPr>
                <w:rFonts w:ascii="Arial" w:eastAsiaTheme="minorEastAsia" w:hAnsi="Arial" w:cs="Arial"/>
                <w:w w:val="105"/>
              </w:rPr>
              <w:t xml:space="preserve">000. </w:t>
            </w:r>
            <w:r w:rsidR="00BB0514" w:rsidRPr="00010F83">
              <w:rPr>
                <w:rFonts w:ascii="Arial" w:eastAsiaTheme="minorEastAsia" w:hAnsi="Arial" w:cs="Arial"/>
                <w:w w:val="105"/>
              </w:rPr>
              <w:t xml:space="preserve">Đơn vị </w:t>
            </w:r>
            <w:r w:rsidR="008719A4" w:rsidRPr="00010F83">
              <w:rPr>
                <w:rFonts w:ascii="Arial" w:eastAsiaTheme="minorEastAsia" w:hAnsi="Arial" w:cs="Arial"/>
                <w:w w:val="105"/>
              </w:rPr>
              <w:t>không</w:t>
            </w:r>
            <w:r w:rsidR="00BB0514" w:rsidRPr="00010F83">
              <w:rPr>
                <w:rFonts w:ascii="Arial" w:eastAsiaTheme="minorEastAsia" w:hAnsi="Arial" w:cs="Arial"/>
                <w:w w:val="105"/>
              </w:rPr>
              <w:t xml:space="preserve"> ghi nhận</w:t>
            </w:r>
            <w:r w:rsidRPr="00010F83">
              <w:rPr>
                <w:rFonts w:ascii="Arial" w:eastAsiaTheme="minorEastAsia" w:hAnsi="Arial" w:cs="Arial"/>
                <w:w w:val="105"/>
              </w:rPr>
              <w:t xml:space="preserve"> tài sản</w:t>
            </w:r>
            <w:r w:rsidR="00BB0514" w:rsidRPr="00010F83">
              <w:rPr>
                <w:rFonts w:ascii="Arial" w:eastAsiaTheme="minorEastAsia" w:hAnsi="Arial" w:cs="Arial"/>
                <w:w w:val="105"/>
              </w:rPr>
              <w:t xml:space="preserve"> thuế hiện hành </w:t>
            </w:r>
            <w:r w:rsidR="008719A4" w:rsidRPr="00010F83">
              <w:rPr>
                <w:rFonts w:ascii="Arial" w:eastAsiaTheme="minorEastAsia" w:hAnsi="Arial" w:cs="Arial"/>
                <w:w w:val="105"/>
              </w:rPr>
              <w:t xml:space="preserve">cho giá trị có thể thu hồi từ </w:t>
            </w:r>
            <w:r w:rsidRPr="00010F83">
              <w:rPr>
                <w:rFonts w:ascii="Arial" w:eastAsiaTheme="minorEastAsia" w:hAnsi="Arial" w:cs="Arial"/>
                <w:w w:val="105"/>
              </w:rPr>
              <w:t xml:space="preserve">kết quả của việc chia cổ tức trong tương lai. Đơn vị cũng ghi nhận </w:t>
            </w:r>
            <w:r w:rsidR="00731917" w:rsidRPr="00010F83">
              <w:rPr>
                <w:rFonts w:ascii="Arial" w:eastAsiaTheme="minorEastAsia" w:hAnsi="Arial" w:cs="Arial"/>
                <w:w w:val="105"/>
              </w:rPr>
              <w:t>thuế TNDN</w:t>
            </w:r>
            <w:r w:rsidR="006805F0" w:rsidRPr="00010F83">
              <w:rPr>
                <w:rFonts w:ascii="Arial" w:eastAsiaTheme="minorEastAsia" w:hAnsi="Arial" w:cs="Arial"/>
                <w:w w:val="105"/>
              </w:rPr>
              <w:t xml:space="preserve"> hoãn lại phải trả</w:t>
            </w:r>
            <w:r w:rsidRPr="00010F83">
              <w:rPr>
                <w:rFonts w:ascii="Arial" w:eastAsiaTheme="minorEastAsia" w:hAnsi="Arial" w:cs="Arial"/>
                <w:w w:val="105"/>
              </w:rPr>
              <w:t xml:space="preserve"> và chi phí thuế hoãn lại là 20,000 (40,000 x 50%) thể hiện khoản thuế phải trả khi đơn vị thu hồi hoặc thanh toán các khoản mục tài sản và nợ phải trả dựa trên mức thuế suất áp dụng cho lợi nhuận chưa phân phối.</w:t>
            </w:r>
          </w:p>
          <w:p w:rsidR="00BC7F63" w:rsidRPr="00010F83" w:rsidRDefault="00BC7F63" w:rsidP="00590853">
            <w:pPr>
              <w:widowControl w:val="0"/>
              <w:kinsoku w:val="0"/>
              <w:overflowPunct w:val="0"/>
              <w:autoSpaceDE w:val="0"/>
              <w:autoSpaceDN w:val="0"/>
              <w:adjustRightInd w:val="0"/>
              <w:spacing w:before="41" w:after="120" w:line="285" w:lineRule="auto"/>
              <w:ind w:left="60" w:right="136"/>
              <w:jc w:val="both"/>
              <w:rPr>
                <w:rFonts w:ascii="Arial" w:eastAsiaTheme="minorEastAsia" w:hAnsi="Arial" w:cs="Arial"/>
                <w:i/>
                <w:w w:val="105"/>
              </w:rPr>
            </w:pPr>
            <w:r w:rsidRPr="00010F83">
              <w:rPr>
                <w:rFonts w:ascii="Arial" w:eastAsiaTheme="minorEastAsia" w:hAnsi="Arial" w:cs="Arial"/>
                <w:i/>
                <w:w w:val="105"/>
              </w:rPr>
              <w:t>Sau đó, vào ngày 15 tháng 3 năm 20x2, đơn vị ghi nhận một khoản cổ tức</w:t>
            </w:r>
            <w:r w:rsidR="00BB0514" w:rsidRPr="00010F83">
              <w:rPr>
                <w:rFonts w:ascii="Arial" w:eastAsiaTheme="minorEastAsia" w:hAnsi="Arial" w:cs="Arial"/>
                <w:i/>
                <w:w w:val="105"/>
              </w:rPr>
              <w:t xml:space="preserve"> phải trả</w:t>
            </w:r>
            <w:r w:rsidRPr="00010F83">
              <w:rPr>
                <w:rFonts w:ascii="Arial" w:eastAsiaTheme="minorEastAsia" w:hAnsi="Arial" w:cs="Arial"/>
                <w:i/>
                <w:w w:val="105"/>
              </w:rPr>
              <w:t xml:space="preserve"> là 10.000 từ lợi nhuận </w:t>
            </w:r>
            <w:r w:rsidR="008719A4" w:rsidRPr="00010F83">
              <w:rPr>
                <w:rFonts w:ascii="Arial" w:eastAsiaTheme="minorEastAsia" w:hAnsi="Arial" w:cs="Arial"/>
                <w:i/>
                <w:w w:val="105"/>
              </w:rPr>
              <w:t>từ hoạt động kinh doanh</w:t>
            </w:r>
            <w:r w:rsidRPr="00010F83">
              <w:rPr>
                <w:rFonts w:ascii="Arial" w:eastAsiaTheme="minorEastAsia" w:hAnsi="Arial" w:cs="Arial"/>
                <w:i/>
                <w:w w:val="105"/>
              </w:rPr>
              <w:t xml:space="preserve"> của </w:t>
            </w:r>
            <w:r w:rsidR="00BB0514" w:rsidRPr="00010F83">
              <w:rPr>
                <w:rFonts w:ascii="Arial" w:eastAsiaTheme="minorEastAsia" w:hAnsi="Arial" w:cs="Arial"/>
                <w:i/>
                <w:w w:val="105"/>
              </w:rPr>
              <w:t xml:space="preserve">các </w:t>
            </w:r>
            <w:r w:rsidRPr="00010F83">
              <w:rPr>
                <w:rFonts w:ascii="Arial" w:eastAsiaTheme="minorEastAsia" w:hAnsi="Arial" w:cs="Arial"/>
                <w:i/>
                <w:w w:val="105"/>
              </w:rPr>
              <w:t>kỳ trước.</w:t>
            </w:r>
          </w:p>
          <w:p w:rsidR="00C530A3" w:rsidRPr="00010F83" w:rsidRDefault="00BC7F63" w:rsidP="00590853">
            <w:pPr>
              <w:spacing w:after="120"/>
              <w:jc w:val="both"/>
              <w:rPr>
                <w:rFonts w:ascii="Arial" w:hAnsi="Arial" w:cs="Arial"/>
              </w:rPr>
            </w:pPr>
            <w:r w:rsidRPr="00010F83">
              <w:rPr>
                <w:rFonts w:ascii="Arial" w:eastAsiaTheme="minorEastAsia" w:hAnsi="Arial" w:cs="Arial"/>
                <w:i/>
                <w:w w:val="105"/>
              </w:rPr>
              <w:t xml:space="preserve">Vào ngày 15 tháng 3 năm 20x2, đơn vị ghi nhận một khoản </w:t>
            </w:r>
            <w:r w:rsidR="00BB0514" w:rsidRPr="00010F83">
              <w:rPr>
                <w:rFonts w:ascii="Arial" w:eastAsiaTheme="minorEastAsia" w:hAnsi="Arial" w:cs="Arial"/>
                <w:i/>
                <w:w w:val="105"/>
              </w:rPr>
              <w:t xml:space="preserve">tài sản thuế </w:t>
            </w:r>
            <w:r w:rsidR="0010473B" w:rsidRPr="00010F83">
              <w:rPr>
                <w:rFonts w:ascii="Arial" w:eastAsiaTheme="minorEastAsia" w:hAnsi="Arial" w:cs="Arial"/>
                <w:i/>
                <w:w w:val="105"/>
              </w:rPr>
              <w:t>TNDN</w:t>
            </w:r>
            <w:r w:rsidR="00BB0514" w:rsidRPr="00010F83">
              <w:rPr>
                <w:rFonts w:ascii="Arial" w:eastAsiaTheme="minorEastAsia" w:hAnsi="Arial" w:cs="Arial"/>
                <w:i/>
                <w:w w:val="105"/>
              </w:rPr>
              <w:t xml:space="preserve"> hiện hành</w:t>
            </w:r>
            <w:r w:rsidRPr="00010F83">
              <w:rPr>
                <w:rFonts w:ascii="Arial" w:eastAsiaTheme="minorEastAsia" w:hAnsi="Arial" w:cs="Arial"/>
                <w:i/>
                <w:w w:val="105"/>
              </w:rPr>
              <w:t xml:space="preserve"> là 1.500 (15% </w:t>
            </w:r>
            <w:r w:rsidR="00BB0514" w:rsidRPr="00010F83">
              <w:rPr>
                <w:rFonts w:ascii="Arial" w:eastAsiaTheme="minorEastAsia" w:hAnsi="Arial" w:cs="Arial"/>
                <w:i/>
                <w:w w:val="105"/>
              </w:rPr>
              <w:t xml:space="preserve">của </w:t>
            </w:r>
            <w:r w:rsidRPr="00010F83">
              <w:rPr>
                <w:rFonts w:ascii="Arial" w:eastAsiaTheme="minorEastAsia" w:hAnsi="Arial" w:cs="Arial"/>
                <w:i/>
                <w:w w:val="105"/>
              </w:rPr>
              <w:t>cổ tứ</w:t>
            </w:r>
            <w:r w:rsidR="00BB0514" w:rsidRPr="00010F83">
              <w:rPr>
                <w:rFonts w:ascii="Arial" w:eastAsiaTheme="minorEastAsia" w:hAnsi="Arial" w:cs="Arial"/>
                <w:i/>
                <w:w w:val="105"/>
              </w:rPr>
              <w:t>c</w:t>
            </w:r>
            <w:r w:rsidR="008719A4" w:rsidRPr="00010F83">
              <w:rPr>
                <w:rFonts w:ascii="Arial" w:eastAsiaTheme="minorEastAsia" w:hAnsi="Arial" w:cs="Arial"/>
                <w:i/>
                <w:w w:val="105"/>
              </w:rPr>
              <w:t xml:space="preserve"> đã được ghi nhận như khoản phải trả</w:t>
            </w:r>
            <w:r w:rsidRPr="00010F83">
              <w:rPr>
                <w:rFonts w:ascii="Arial" w:eastAsiaTheme="minorEastAsia" w:hAnsi="Arial" w:cs="Arial"/>
                <w:i/>
                <w:w w:val="105"/>
              </w:rPr>
              <w:t>) và giảm chi phí thuế hiện hành năm 20x2.</w:t>
            </w:r>
          </w:p>
        </w:tc>
      </w:tr>
    </w:tbl>
    <w:p w:rsidR="00BB0514" w:rsidRPr="00010F83" w:rsidRDefault="00BB0514" w:rsidP="00590853">
      <w:pPr>
        <w:autoSpaceDE w:val="0"/>
        <w:autoSpaceDN w:val="0"/>
        <w:adjustRightInd w:val="0"/>
        <w:spacing w:after="120" w:line="240" w:lineRule="auto"/>
        <w:jc w:val="both"/>
        <w:rPr>
          <w:rFonts w:ascii="Arial" w:hAnsi="Arial" w:cs="Arial"/>
          <w:bCs/>
        </w:rPr>
      </w:pPr>
    </w:p>
    <w:p w:rsidR="00C530A3" w:rsidRPr="00010F83" w:rsidRDefault="00C530A3" w:rsidP="00766B0E">
      <w:pPr>
        <w:autoSpaceDE w:val="0"/>
        <w:autoSpaceDN w:val="0"/>
        <w:adjustRightInd w:val="0"/>
        <w:spacing w:after="120" w:line="240" w:lineRule="auto"/>
        <w:ind w:left="720" w:hanging="720"/>
        <w:jc w:val="both"/>
        <w:rPr>
          <w:rFonts w:ascii="Arial" w:hAnsi="Arial" w:cs="Arial"/>
          <w:bCs/>
        </w:rPr>
      </w:pPr>
      <w:r w:rsidRPr="00010F83">
        <w:rPr>
          <w:rFonts w:ascii="Arial" w:hAnsi="Arial" w:cs="Arial"/>
          <w:bCs/>
        </w:rPr>
        <w:t>53.</w:t>
      </w:r>
      <w:r w:rsidRPr="00010F83">
        <w:rPr>
          <w:rFonts w:ascii="Arial" w:hAnsi="Arial" w:cs="Arial"/>
          <w:bCs/>
        </w:rPr>
        <w:tab/>
        <w:t xml:space="preserve">Tài sản </w:t>
      </w:r>
      <w:r w:rsidR="00731917" w:rsidRPr="00010F83">
        <w:rPr>
          <w:rFonts w:ascii="Arial" w:hAnsi="Arial" w:cs="Arial"/>
          <w:bCs/>
        </w:rPr>
        <w:t>thuế TNDN</w:t>
      </w:r>
      <w:r w:rsidRPr="00010F83">
        <w:rPr>
          <w:rFonts w:ascii="Arial" w:hAnsi="Arial" w:cs="Arial"/>
          <w:bCs/>
        </w:rPr>
        <w:t xml:space="preserve"> hoãn lại và </w:t>
      </w:r>
      <w:r w:rsidR="00731917" w:rsidRPr="00010F83">
        <w:rPr>
          <w:rFonts w:ascii="Arial" w:hAnsi="Arial" w:cs="Arial"/>
          <w:bCs/>
        </w:rPr>
        <w:t>thuế TNDN</w:t>
      </w:r>
      <w:r w:rsidRPr="00010F83">
        <w:rPr>
          <w:rFonts w:ascii="Arial" w:hAnsi="Arial" w:cs="Arial"/>
          <w:bCs/>
        </w:rPr>
        <w:t xml:space="preserve"> hoãn lại phải trả không được chiết khấu</w:t>
      </w:r>
      <w:r w:rsidR="00BB0514" w:rsidRPr="00010F83">
        <w:rPr>
          <w:rFonts w:ascii="Arial" w:hAnsi="Arial" w:cs="Arial"/>
          <w:bCs/>
        </w:rPr>
        <w:t xml:space="preserve"> khi xác định giá trị</w:t>
      </w:r>
      <w:r w:rsidRPr="00010F83">
        <w:rPr>
          <w:rFonts w:ascii="Arial" w:hAnsi="Arial" w:cs="Arial"/>
          <w:bCs/>
        </w:rPr>
        <w:t>.</w:t>
      </w:r>
    </w:p>
    <w:p w:rsidR="00C530A3" w:rsidRPr="00010F83" w:rsidRDefault="00C530A3" w:rsidP="00766B0E">
      <w:pPr>
        <w:autoSpaceDE w:val="0"/>
        <w:autoSpaceDN w:val="0"/>
        <w:adjustRightInd w:val="0"/>
        <w:spacing w:after="120" w:line="240" w:lineRule="auto"/>
        <w:ind w:left="720" w:hanging="720"/>
        <w:jc w:val="both"/>
        <w:rPr>
          <w:rFonts w:ascii="Arial" w:hAnsi="Arial" w:cs="Arial"/>
          <w:bCs/>
        </w:rPr>
      </w:pPr>
      <w:r w:rsidRPr="00010F83">
        <w:rPr>
          <w:rFonts w:ascii="Arial" w:hAnsi="Arial" w:cs="Arial"/>
          <w:bCs/>
        </w:rPr>
        <w:t>54.</w:t>
      </w:r>
      <w:r w:rsidRPr="00010F83">
        <w:rPr>
          <w:rFonts w:ascii="Arial" w:hAnsi="Arial" w:cs="Arial"/>
          <w:bCs/>
        </w:rPr>
        <w:tab/>
      </w:r>
      <w:r w:rsidR="008719A4" w:rsidRPr="00010F83">
        <w:rPr>
          <w:rFonts w:ascii="Arial" w:hAnsi="Arial" w:cs="Arial"/>
          <w:bCs/>
        </w:rPr>
        <w:t xml:space="preserve">Để có thể </w:t>
      </w:r>
      <w:r w:rsidR="00BC7F63" w:rsidRPr="00010F83">
        <w:rPr>
          <w:rFonts w:ascii="Arial" w:hAnsi="Arial" w:cs="Arial"/>
          <w:bCs/>
        </w:rPr>
        <w:t xml:space="preserve">xác định một cách tin cậy </w:t>
      </w:r>
      <w:r w:rsidR="006805F0" w:rsidRPr="00010F83">
        <w:rPr>
          <w:rFonts w:ascii="Arial" w:hAnsi="Arial" w:cs="Arial"/>
          <w:bCs/>
        </w:rPr>
        <w:t xml:space="preserve">tài sản </w:t>
      </w:r>
      <w:r w:rsidR="00731917" w:rsidRPr="00010F83">
        <w:rPr>
          <w:rFonts w:ascii="Arial" w:hAnsi="Arial" w:cs="Arial"/>
          <w:bCs/>
        </w:rPr>
        <w:t>thuế TNDN</w:t>
      </w:r>
      <w:r w:rsidR="006805F0" w:rsidRPr="00010F83">
        <w:rPr>
          <w:rFonts w:ascii="Arial" w:hAnsi="Arial" w:cs="Arial"/>
          <w:bCs/>
        </w:rPr>
        <w:t xml:space="preserve"> hoãn lại</w:t>
      </w:r>
      <w:r w:rsidR="00BC7F63" w:rsidRPr="00010F83">
        <w:rPr>
          <w:rFonts w:ascii="Arial" w:hAnsi="Arial" w:cs="Arial"/>
          <w:bCs/>
        </w:rPr>
        <w:t xml:space="preserve"> và thuế </w:t>
      </w:r>
      <w:r w:rsidR="00D0324E" w:rsidRPr="00010F83">
        <w:rPr>
          <w:rFonts w:ascii="Arial" w:eastAsiaTheme="minorEastAsia" w:hAnsi="Arial" w:cs="Arial"/>
          <w:w w:val="105"/>
        </w:rPr>
        <w:t>TNDN</w:t>
      </w:r>
      <w:r w:rsidR="00D0324E" w:rsidRPr="00010F83">
        <w:rPr>
          <w:rFonts w:ascii="Arial" w:hAnsi="Arial" w:cs="Arial"/>
          <w:bCs/>
        </w:rPr>
        <w:t xml:space="preserve"> </w:t>
      </w:r>
      <w:r w:rsidR="00BC7F63" w:rsidRPr="00010F83">
        <w:rPr>
          <w:rFonts w:ascii="Arial" w:hAnsi="Arial" w:cs="Arial"/>
          <w:bCs/>
        </w:rPr>
        <w:t xml:space="preserve">hoãn lại phải </w:t>
      </w:r>
      <w:r w:rsidR="00D0324E" w:rsidRPr="00010F83">
        <w:rPr>
          <w:rFonts w:ascii="Arial" w:hAnsi="Arial" w:cs="Arial"/>
          <w:bCs/>
        </w:rPr>
        <w:t>trả</w:t>
      </w:r>
      <w:r w:rsidR="00BC7F63" w:rsidRPr="00010F83">
        <w:rPr>
          <w:rFonts w:ascii="Arial" w:hAnsi="Arial" w:cs="Arial"/>
          <w:bCs/>
        </w:rPr>
        <w:t xml:space="preserve"> trên cơ sở chiết khấu</w:t>
      </w:r>
      <w:r w:rsidR="008719A4" w:rsidRPr="00010F83">
        <w:rPr>
          <w:rFonts w:ascii="Arial" w:hAnsi="Arial" w:cs="Arial"/>
          <w:bCs/>
        </w:rPr>
        <w:t>,</w:t>
      </w:r>
      <w:r w:rsidR="00BC7F63" w:rsidRPr="00010F83">
        <w:rPr>
          <w:rFonts w:ascii="Arial" w:hAnsi="Arial" w:cs="Arial"/>
          <w:bCs/>
        </w:rPr>
        <w:t xml:space="preserve"> cần phải có </w:t>
      </w:r>
      <w:r w:rsidR="008719A4" w:rsidRPr="00010F83">
        <w:rPr>
          <w:rFonts w:ascii="Arial" w:hAnsi="Arial" w:cs="Arial"/>
          <w:bCs/>
        </w:rPr>
        <w:t>biểu</w:t>
      </w:r>
      <w:r w:rsidR="00BC7F63" w:rsidRPr="00010F83">
        <w:rPr>
          <w:rFonts w:ascii="Arial" w:hAnsi="Arial" w:cs="Arial"/>
          <w:bCs/>
        </w:rPr>
        <w:t xml:space="preserve"> chi tiết về thời gian hoàn nhập của từng khoản chênh lệch tạm thời. </w:t>
      </w:r>
      <w:proofErr w:type="gramStart"/>
      <w:r w:rsidR="00BC7F63" w:rsidRPr="00010F83">
        <w:rPr>
          <w:rFonts w:ascii="Arial" w:hAnsi="Arial" w:cs="Arial"/>
          <w:bCs/>
        </w:rPr>
        <w:t xml:space="preserve">Trong nhiều trường hợp, một lịch trình chi tiết như vậy là không </w:t>
      </w:r>
      <w:r w:rsidR="00E16405" w:rsidRPr="00010F83">
        <w:rPr>
          <w:rFonts w:ascii="Arial" w:hAnsi="Arial" w:cs="Arial"/>
          <w:bCs/>
        </w:rPr>
        <w:t>thực tế</w:t>
      </w:r>
      <w:r w:rsidR="00BC7F63" w:rsidRPr="00010F83">
        <w:rPr>
          <w:rFonts w:ascii="Arial" w:hAnsi="Arial" w:cs="Arial"/>
          <w:bCs/>
        </w:rPr>
        <w:t xml:space="preserve"> hoặc rất phức tạp.</w:t>
      </w:r>
      <w:proofErr w:type="gramEnd"/>
      <w:r w:rsidR="00BC7F63" w:rsidRPr="00010F83">
        <w:rPr>
          <w:rFonts w:ascii="Arial" w:hAnsi="Arial" w:cs="Arial"/>
          <w:bCs/>
        </w:rPr>
        <w:t xml:space="preserve"> Do đó, việ</w:t>
      </w:r>
      <w:r w:rsidR="00B6521D" w:rsidRPr="00010F83">
        <w:rPr>
          <w:rFonts w:ascii="Arial" w:hAnsi="Arial" w:cs="Arial"/>
          <w:bCs/>
        </w:rPr>
        <w:t>c</w:t>
      </w:r>
      <w:r w:rsidR="00BC7F63" w:rsidRPr="00010F83">
        <w:rPr>
          <w:rFonts w:ascii="Arial" w:hAnsi="Arial" w:cs="Arial"/>
          <w:bCs/>
        </w:rPr>
        <w:t xml:space="preserve"> </w:t>
      </w:r>
      <w:r w:rsidR="00E16405" w:rsidRPr="00010F83">
        <w:rPr>
          <w:rFonts w:ascii="Arial" w:hAnsi="Arial" w:cs="Arial"/>
          <w:bCs/>
        </w:rPr>
        <w:t xml:space="preserve">đòi hỏi </w:t>
      </w:r>
      <w:r w:rsidR="00BC7F63" w:rsidRPr="00010F83">
        <w:rPr>
          <w:rFonts w:ascii="Arial" w:hAnsi="Arial" w:cs="Arial"/>
          <w:bCs/>
        </w:rPr>
        <w:t xml:space="preserve">bắt buộc phải chiết khấu các </w:t>
      </w:r>
      <w:r w:rsidR="006805F0" w:rsidRPr="00010F83">
        <w:rPr>
          <w:rFonts w:ascii="Arial" w:hAnsi="Arial" w:cs="Arial"/>
          <w:bCs/>
        </w:rPr>
        <w:t xml:space="preserve">tài sản </w:t>
      </w:r>
      <w:r w:rsidR="00731917" w:rsidRPr="00010F83">
        <w:rPr>
          <w:rFonts w:ascii="Arial" w:hAnsi="Arial" w:cs="Arial"/>
          <w:bCs/>
        </w:rPr>
        <w:t>thuế TNDN</w:t>
      </w:r>
      <w:r w:rsidR="006805F0" w:rsidRPr="00010F83">
        <w:rPr>
          <w:rFonts w:ascii="Arial" w:hAnsi="Arial" w:cs="Arial"/>
          <w:bCs/>
        </w:rPr>
        <w:t xml:space="preserve"> hoãn lại</w:t>
      </w:r>
      <w:r w:rsidR="00BC7F63" w:rsidRPr="00010F83">
        <w:rPr>
          <w:rFonts w:ascii="Arial" w:hAnsi="Arial" w:cs="Arial"/>
          <w:bCs/>
        </w:rPr>
        <w:t xml:space="preserve"> và </w:t>
      </w:r>
      <w:r w:rsidR="00731917" w:rsidRPr="00010F83">
        <w:rPr>
          <w:rFonts w:ascii="Arial" w:hAnsi="Arial" w:cs="Arial"/>
          <w:bCs/>
        </w:rPr>
        <w:t>thuế TNDN</w:t>
      </w:r>
      <w:r w:rsidR="006805F0" w:rsidRPr="00010F83">
        <w:rPr>
          <w:rFonts w:ascii="Arial" w:hAnsi="Arial" w:cs="Arial"/>
          <w:bCs/>
        </w:rPr>
        <w:t xml:space="preserve"> hoãn lại phải trả</w:t>
      </w:r>
      <w:r w:rsidR="00BC7F63" w:rsidRPr="00010F83">
        <w:rPr>
          <w:rFonts w:ascii="Arial" w:hAnsi="Arial" w:cs="Arial"/>
          <w:bCs/>
        </w:rPr>
        <w:t xml:space="preserve"> là không phù hợp. </w:t>
      </w:r>
      <w:r w:rsidR="00E16405" w:rsidRPr="00010F83">
        <w:rPr>
          <w:rFonts w:ascii="Arial" w:hAnsi="Arial" w:cs="Arial"/>
          <w:bCs/>
        </w:rPr>
        <w:t xml:space="preserve">Nếu </w:t>
      </w:r>
      <w:r w:rsidR="00B6521D" w:rsidRPr="00010F83">
        <w:rPr>
          <w:rFonts w:ascii="Arial" w:hAnsi="Arial" w:cs="Arial"/>
          <w:bCs/>
        </w:rPr>
        <w:t xml:space="preserve">cho phép nhưng không </w:t>
      </w:r>
      <w:r w:rsidR="00BC7F63" w:rsidRPr="00010F83">
        <w:rPr>
          <w:rFonts w:ascii="Arial" w:hAnsi="Arial" w:cs="Arial"/>
          <w:bCs/>
        </w:rPr>
        <w:t>bắt buộ</w:t>
      </w:r>
      <w:r w:rsidR="00B6521D" w:rsidRPr="00010F83">
        <w:rPr>
          <w:rFonts w:ascii="Arial" w:hAnsi="Arial" w:cs="Arial"/>
          <w:bCs/>
        </w:rPr>
        <w:t>c</w:t>
      </w:r>
      <w:r w:rsidR="00BC7F63" w:rsidRPr="00010F83">
        <w:rPr>
          <w:rFonts w:ascii="Arial" w:hAnsi="Arial" w:cs="Arial"/>
          <w:bCs/>
        </w:rPr>
        <w:t xml:space="preserve"> </w:t>
      </w:r>
      <w:r w:rsidR="00E16405" w:rsidRPr="00010F83">
        <w:rPr>
          <w:rFonts w:ascii="Arial" w:hAnsi="Arial" w:cs="Arial"/>
          <w:bCs/>
        </w:rPr>
        <w:t xml:space="preserve">phải </w:t>
      </w:r>
      <w:r w:rsidR="00BC7F63" w:rsidRPr="00010F83">
        <w:rPr>
          <w:rFonts w:ascii="Arial" w:hAnsi="Arial" w:cs="Arial"/>
          <w:bCs/>
        </w:rPr>
        <w:t xml:space="preserve">chiết khấu sẽ dẫn đến </w:t>
      </w:r>
      <w:r w:rsidR="00E16405" w:rsidRPr="00010F83">
        <w:rPr>
          <w:rFonts w:ascii="Arial" w:hAnsi="Arial" w:cs="Arial"/>
          <w:bCs/>
        </w:rPr>
        <w:t xml:space="preserve">việc </w:t>
      </w:r>
      <w:r w:rsidR="00B6521D" w:rsidRPr="00010F83">
        <w:rPr>
          <w:rFonts w:ascii="Arial" w:hAnsi="Arial" w:cs="Arial"/>
          <w:bCs/>
        </w:rPr>
        <w:t xml:space="preserve">giảm sút </w:t>
      </w:r>
      <w:r w:rsidR="006805F0" w:rsidRPr="00010F83">
        <w:rPr>
          <w:rFonts w:ascii="Arial" w:hAnsi="Arial" w:cs="Arial"/>
          <w:bCs/>
        </w:rPr>
        <w:t xml:space="preserve">tài sản </w:t>
      </w:r>
      <w:r w:rsidR="00731917" w:rsidRPr="00010F83">
        <w:rPr>
          <w:rFonts w:ascii="Arial" w:hAnsi="Arial" w:cs="Arial"/>
          <w:bCs/>
        </w:rPr>
        <w:t>thuế TNDN</w:t>
      </w:r>
      <w:r w:rsidR="006805F0" w:rsidRPr="00010F83">
        <w:rPr>
          <w:rFonts w:ascii="Arial" w:hAnsi="Arial" w:cs="Arial"/>
          <w:bCs/>
        </w:rPr>
        <w:t xml:space="preserve"> hoãn lại</w:t>
      </w:r>
      <w:r w:rsidR="00BC7F63" w:rsidRPr="00010F83">
        <w:rPr>
          <w:rFonts w:ascii="Arial" w:hAnsi="Arial" w:cs="Arial"/>
          <w:bCs/>
        </w:rPr>
        <w:t xml:space="preserve"> và </w:t>
      </w:r>
      <w:r w:rsidR="00731917" w:rsidRPr="00010F83">
        <w:rPr>
          <w:rFonts w:ascii="Arial" w:hAnsi="Arial" w:cs="Arial"/>
          <w:bCs/>
        </w:rPr>
        <w:t>thuế TNDN</w:t>
      </w:r>
      <w:r w:rsidR="006805F0" w:rsidRPr="00010F83">
        <w:rPr>
          <w:rFonts w:ascii="Arial" w:hAnsi="Arial" w:cs="Arial"/>
          <w:bCs/>
        </w:rPr>
        <w:t xml:space="preserve"> hoãn lại phải trả</w:t>
      </w:r>
      <w:r w:rsidR="00BC7F63" w:rsidRPr="00010F83">
        <w:rPr>
          <w:rFonts w:ascii="Arial" w:hAnsi="Arial" w:cs="Arial"/>
          <w:bCs/>
        </w:rPr>
        <w:t xml:space="preserve"> </w:t>
      </w:r>
      <w:r w:rsidR="00E16405" w:rsidRPr="00010F83">
        <w:rPr>
          <w:rFonts w:ascii="Arial" w:hAnsi="Arial" w:cs="Arial"/>
          <w:bCs/>
        </w:rPr>
        <w:t xml:space="preserve">không được áp dụng nhất quán </w:t>
      </w:r>
      <w:r w:rsidR="00BC7F63" w:rsidRPr="00010F83">
        <w:rPr>
          <w:rFonts w:ascii="Arial" w:hAnsi="Arial" w:cs="Arial"/>
          <w:bCs/>
        </w:rPr>
        <w:t xml:space="preserve">giữa các đơn vị. </w:t>
      </w:r>
      <w:proofErr w:type="gramStart"/>
      <w:r w:rsidR="00BC7F63" w:rsidRPr="00010F83">
        <w:rPr>
          <w:rFonts w:ascii="Arial" w:hAnsi="Arial" w:cs="Arial"/>
          <w:bCs/>
        </w:rPr>
        <w:t>Vì vậy, chuẩn mự</w:t>
      </w:r>
      <w:r w:rsidR="00B6521D" w:rsidRPr="00010F83">
        <w:rPr>
          <w:rFonts w:ascii="Arial" w:hAnsi="Arial" w:cs="Arial"/>
          <w:bCs/>
        </w:rPr>
        <w:t>c này không</w:t>
      </w:r>
      <w:r w:rsidR="00BC7F63" w:rsidRPr="00010F83">
        <w:rPr>
          <w:rFonts w:ascii="Arial" w:hAnsi="Arial" w:cs="Arial"/>
          <w:bCs/>
        </w:rPr>
        <w:t xml:space="preserve"> </w:t>
      </w:r>
      <w:r w:rsidR="00E16405" w:rsidRPr="00010F83">
        <w:rPr>
          <w:rFonts w:ascii="Arial" w:hAnsi="Arial" w:cs="Arial"/>
          <w:bCs/>
        </w:rPr>
        <w:t xml:space="preserve">đòi hỏi </w:t>
      </w:r>
      <w:r w:rsidR="00BC7F63" w:rsidRPr="00010F83">
        <w:rPr>
          <w:rFonts w:ascii="Arial" w:hAnsi="Arial" w:cs="Arial"/>
          <w:bCs/>
        </w:rPr>
        <w:t xml:space="preserve">bắt buộc và cũng không cho phép chiết khấu </w:t>
      </w:r>
      <w:r w:rsidR="006805F0" w:rsidRPr="00010F83">
        <w:rPr>
          <w:rFonts w:ascii="Arial" w:hAnsi="Arial" w:cs="Arial"/>
          <w:bCs/>
        </w:rPr>
        <w:t xml:space="preserve">tài sản </w:t>
      </w:r>
      <w:r w:rsidR="00731917" w:rsidRPr="00010F83">
        <w:rPr>
          <w:rFonts w:ascii="Arial" w:hAnsi="Arial" w:cs="Arial"/>
          <w:bCs/>
        </w:rPr>
        <w:t>thuế TNDN</w:t>
      </w:r>
      <w:r w:rsidR="006805F0" w:rsidRPr="00010F83">
        <w:rPr>
          <w:rFonts w:ascii="Arial" w:hAnsi="Arial" w:cs="Arial"/>
          <w:bCs/>
        </w:rPr>
        <w:t xml:space="preserve"> hoãn lại</w:t>
      </w:r>
      <w:r w:rsidR="00BC7F63" w:rsidRPr="00010F83">
        <w:rPr>
          <w:rFonts w:ascii="Arial" w:hAnsi="Arial" w:cs="Arial"/>
          <w:bCs/>
        </w:rPr>
        <w:t xml:space="preserve"> và </w:t>
      </w:r>
      <w:r w:rsidR="00731917" w:rsidRPr="00010F83">
        <w:rPr>
          <w:rFonts w:ascii="Arial" w:hAnsi="Arial" w:cs="Arial"/>
          <w:bCs/>
        </w:rPr>
        <w:t>thuế TNDN</w:t>
      </w:r>
      <w:r w:rsidR="006805F0" w:rsidRPr="00010F83">
        <w:rPr>
          <w:rFonts w:ascii="Arial" w:hAnsi="Arial" w:cs="Arial"/>
          <w:bCs/>
        </w:rPr>
        <w:t xml:space="preserve"> hoãn lại phải trả</w:t>
      </w:r>
      <w:r w:rsidR="00BC7F63" w:rsidRPr="00010F83">
        <w:rPr>
          <w:rFonts w:ascii="Arial" w:hAnsi="Arial" w:cs="Arial"/>
          <w:bCs/>
        </w:rPr>
        <w:t>.</w:t>
      </w:r>
      <w:proofErr w:type="gramEnd"/>
    </w:p>
    <w:p w:rsidR="00C530A3" w:rsidRPr="00010F83" w:rsidRDefault="00C530A3" w:rsidP="00766B0E">
      <w:pPr>
        <w:autoSpaceDE w:val="0"/>
        <w:autoSpaceDN w:val="0"/>
        <w:adjustRightInd w:val="0"/>
        <w:spacing w:after="120" w:line="240" w:lineRule="auto"/>
        <w:ind w:left="720" w:hanging="720"/>
        <w:jc w:val="both"/>
        <w:rPr>
          <w:rFonts w:ascii="Arial" w:hAnsi="Arial" w:cs="Arial"/>
          <w:bCs/>
        </w:rPr>
      </w:pPr>
      <w:r w:rsidRPr="00010F83">
        <w:rPr>
          <w:rFonts w:ascii="Arial" w:hAnsi="Arial" w:cs="Arial"/>
          <w:bCs/>
        </w:rPr>
        <w:t>55.</w:t>
      </w:r>
      <w:r w:rsidRPr="00010F83">
        <w:rPr>
          <w:rFonts w:ascii="Arial" w:hAnsi="Arial" w:cs="Arial"/>
          <w:bCs/>
        </w:rPr>
        <w:tab/>
      </w:r>
      <w:r w:rsidR="00BC7F63" w:rsidRPr="00010F83">
        <w:rPr>
          <w:rFonts w:ascii="Arial" w:hAnsi="Arial" w:cs="Arial"/>
          <w:bCs/>
        </w:rPr>
        <w:t xml:space="preserve">Chênh lệch tạm thời đươc xác định bằng cách tham chiếu tới giá trị ghi sổ của tài sản hoặc nợ phải trả. Điều này áp dụng ngay cả khi giá trị ghi sổ được xác định </w:t>
      </w:r>
      <w:proofErr w:type="gramStart"/>
      <w:r w:rsidR="00BC7F63" w:rsidRPr="00010F83">
        <w:rPr>
          <w:rFonts w:ascii="Arial" w:hAnsi="Arial" w:cs="Arial"/>
          <w:bCs/>
        </w:rPr>
        <w:t>theo</w:t>
      </w:r>
      <w:proofErr w:type="gramEnd"/>
      <w:r w:rsidR="00BC7F63" w:rsidRPr="00010F83">
        <w:rPr>
          <w:rFonts w:ascii="Arial" w:hAnsi="Arial" w:cs="Arial"/>
          <w:bCs/>
        </w:rPr>
        <w:t xml:space="preserve"> cơ sở chiết khấu, ví dụ trong trường hợp nghĩa vụ phải trả về lợi ích hưu trí (xem chuẩn mực số IAS 19</w:t>
      </w:r>
      <w:r w:rsidR="00D0324E" w:rsidRPr="00010F83">
        <w:rPr>
          <w:rFonts w:ascii="Arial" w:hAnsi="Arial" w:cs="Arial"/>
          <w:bCs/>
        </w:rPr>
        <w:t xml:space="preserve"> </w:t>
      </w:r>
      <w:r w:rsidR="00D0324E" w:rsidRPr="00010F83">
        <w:rPr>
          <w:rFonts w:ascii="Arial" w:hAnsi="Arial" w:cs="Arial"/>
          <w:bCs/>
          <w:i/>
        </w:rPr>
        <w:t>Lợi ích</w:t>
      </w:r>
      <w:r w:rsidR="00BC7F63" w:rsidRPr="00010F83">
        <w:rPr>
          <w:rFonts w:ascii="Arial" w:hAnsi="Arial" w:cs="Arial"/>
          <w:bCs/>
        </w:rPr>
        <w:t xml:space="preserve"> </w:t>
      </w:r>
      <w:r w:rsidR="00D0324E" w:rsidRPr="00010F83">
        <w:rPr>
          <w:rFonts w:ascii="Arial" w:hAnsi="Arial" w:cs="Arial"/>
          <w:bCs/>
          <w:i/>
        </w:rPr>
        <w:t>của người lao động</w:t>
      </w:r>
      <w:r w:rsidR="00BC7F63" w:rsidRPr="00010F83">
        <w:rPr>
          <w:rFonts w:ascii="Arial" w:hAnsi="Arial" w:cs="Arial"/>
          <w:bCs/>
        </w:rPr>
        <w:t>).</w:t>
      </w:r>
    </w:p>
    <w:p w:rsidR="00C530A3" w:rsidRPr="00010F83" w:rsidRDefault="00C530A3" w:rsidP="00766B0E">
      <w:pPr>
        <w:autoSpaceDE w:val="0"/>
        <w:autoSpaceDN w:val="0"/>
        <w:adjustRightInd w:val="0"/>
        <w:spacing w:after="120" w:line="240" w:lineRule="auto"/>
        <w:ind w:left="720" w:hanging="720"/>
        <w:jc w:val="both"/>
        <w:rPr>
          <w:rFonts w:ascii="Arial" w:hAnsi="Arial" w:cs="Arial"/>
          <w:b/>
          <w:bCs/>
        </w:rPr>
      </w:pPr>
      <w:r w:rsidRPr="00010F83">
        <w:rPr>
          <w:rFonts w:ascii="Arial" w:hAnsi="Arial" w:cs="Arial"/>
          <w:bCs/>
        </w:rPr>
        <w:t>56.</w:t>
      </w:r>
      <w:r w:rsidRPr="00010F83">
        <w:rPr>
          <w:rFonts w:ascii="Arial" w:hAnsi="Arial" w:cs="Arial"/>
          <w:bCs/>
        </w:rPr>
        <w:tab/>
      </w:r>
      <w:r w:rsidR="00BC7F63" w:rsidRPr="00010F83">
        <w:rPr>
          <w:rFonts w:ascii="Arial" w:hAnsi="Arial" w:cs="Arial"/>
          <w:bCs/>
        </w:rPr>
        <w:t xml:space="preserve">Giá trị ghi sổ của </w:t>
      </w:r>
      <w:r w:rsidR="006805F0" w:rsidRPr="00010F83">
        <w:rPr>
          <w:rFonts w:ascii="Arial" w:hAnsi="Arial" w:cs="Arial"/>
          <w:bCs/>
        </w:rPr>
        <w:t xml:space="preserve">tài sản </w:t>
      </w:r>
      <w:r w:rsidR="00731917" w:rsidRPr="00010F83">
        <w:rPr>
          <w:rFonts w:ascii="Arial" w:hAnsi="Arial" w:cs="Arial"/>
          <w:bCs/>
        </w:rPr>
        <w:t>thuế TNDN</w:t>
      </w:r>
      <w:r w:rsidR="006805F0" w:rsidRPr="00010F83">
        <w:rPr>
          <w:rFonts w:ascii="Arial" w:hAnsi="Arial" w:cs="Arial"/>
          <w:bCs/>
        </w:rPr>
        <w:t xml:space="preserve"> hoãn lại</w:t>
      </w:r>
      <w:r w:rsidR="00BC7F63" w:rsidRPr="00010F83">
        <w:rPr>
          <w:rFonts w:ascii="Arial" w:hAnsi="Arial" w:cs="Arial"/>
          <w:bCs/>
        </w:rPr>
        <w:t xml:space="preserve"> phải được xem xét lại vào ngày kết thúc mỗi kỳ báo cáo. Đơn vị phải giảm giá trị ghi sổ của </w:t>
      </w:r>
      <w:r w:rsidR="006805F0" w:rsidRPr="00010F83">
        <w:rPr>
          <w:rFonts w:ascii="Arial" w:hAnsi="Arial" w:cs="Arial"/>
          <w:bCs/>
        </w:rPr>
        <w:t xml:space="preserve">tài sản </w:t>
      </w:r>
      <w:r w:rsidR="00731917" w:rsidRPr="00010F83">
        <w:rPr>
          <w:rFonts w:ascii="Arial" w:hAnsi="Arial" w:cs="Arial"/>
          <w:bCs/>
        </w:rPr>
        <w:t>thuế TNDN</w:t>
      </w:r>
      <w:r w:rsidR="006805F0" w:rsidRPr="00010F83">
        <w:rPr>
          <w:rFonts w:ascii="Arial" w:hAnsi="Arial" w:cs="Arial"/>
          <w:bCs/>
        </w:rPr>
        <w:t xml:space="preserve"> hoãn lại</w:t>
      </w:r>
      <w:r w:rsidR="00BC7F63" w:rsidRPr="00010F83">
        <w:rPr>
          <w:rFonts w:ascii="Arial" w:hAnsi="Arial" w:cs="Arial"/>
          <w:bCs/>
        </w:rPr>
        <w:t xml:space="preserve"> khi không còn có nhiều khả năng là có đủ lợi nhuận tính thuế cho phép lợi ích của một phần hoặc toàn bộ </w:t>
      </w:r>
      <w:r w:rsidR="006805F0" w:rsidRPr="00010F83">
        <w:rPr>
          <w:rFonts w:ascii="Arial" w:hAnsi="Arial" w:cs="Arial"/>
          <w:bCs/>
        </w:rPr>
        <w:t xml:space="preserve">tài sản </w:t>
      </w:r>
      <w:r w:rsidR="00731917" w:rsidRPr="00010F83">
        <w:rPr>
          <w:rFonts w:ascii="Arial" w:hAnsi="Arial" w:cs="Arial"/>
          <w:bCs/>
        </w:rPr>
        <w:t>thuế TNDN</w:t>
      </w:r>
      <w:r w:rsidR="006805F0" w:rsidRPr="00010F83">
        <w:rPr>
          <w:rFonts w:ascii="Arial" w:hAnsi="Arial" w:cs="Arial"/>
          <w:bCs/>
        </w:rPr>
        <w:t xml:space="preserve"> hoãn lại</w:t>
      </w:r>
      <w:r w:rsidR="00E16405" w:rsidRPr="00010F83">
        <w:rPr>
          <w:rFonts w:ascii="Arial" w:hAnsi="Arial" w:cs="Arial"/>
          <w:bCs/>
        </w:rPr>
        <w:t xml:space="preserve"> được sử dụng</w:t>
      </w:r>
      <w:r w:rsidR="00BC7F63" w:rsidRPr="00010F83">
        <w:rPr>
          <w:rFonts w:ascii="Arial" w:hAnsi="Arial" w:cs="Arial"/>
          <w:bCs/>
        </w:rPr>
        <w:t>. Các khoản ghi giảm này sẽ được hoàn nhập khi khả năng đơn vị có đủ lợi nhuận tính thuế trở nên gần như chắc chắn.</w:t>
      </w:r>
    </w:p>
    <w:p w:rsidR="00000000" w:rsidRPr="00010F83" w:rsidRDefault="00160236">
      <w:pPr>
        <w:rPr>
          <w:rFonts w:ascii="Arial" w:hAnsi="Arial" w:cs="Arial"/>
          <w:b/>
          <w:bCs/>
          <w:sz w:val="24"/>
          <w:szCs w:val="24"/>
        </w:rPr>
      </w:pPr>
      <w:r w:rsidRPr="00010F83">
        <w:rPr>
          <w:rFonts w:ascii="Arial" w:hAnsi="Arial" w:cs="Arial"/>
          <w:b/>
          <w:bCs/>
          <w:sz w:val="24"/>
          <w:szCs w:val="24"/>
        </w:rPr>
        <w:t xml:space="preserve">Ghi nhận thuế hoãn lại và </w:t>
      </w:r>
      <w:r w:rsidR="00A16DC3" w:rsidRPr="00010F83">
        <w:rPr>
          <w:rFonts w:ascii="Arial" w:hAnsi="Arial" w:cs="Arial"/>
          <w:b/>
          <w:bCs/>
          <w:sz w:val="24"/>
          <w:szCs w:val="24"/>
        </w:rPr>
        <w:t xml:space="preserve">thuế </w:t>
      </w:r>
      <w:r w:rsidRPr="00010F83">
        <w:rPr>
          <w:rFonts w:ascii="Arial" w:hAnsi="Arial" w:cs="Arial"/>
          <w:b/>
          <w:bCs/>
          <w:sz w:val="24"/>
          <w:szCs w:val="24"/>
        </w:rPr>
        <w:t>hiện hành</w:t>
      </w:r>
    </w:p>
    <w:p w:rsidR="0088307A" w:rsidRPr="00010F83" w:rsidRDefault="007B64CF" w:rsidP="00766B0E">
      <w:pPr>
        <w:autoSpaceDE w:val="0"/>
        <w:autoSpaceDN w:val="0"/>
        <w:adjustRightInd w:val="0"/>
        <w:spacing w:before="360" w:after="120" w:line="240" w:lineRule="auto"/>
        <w:ind w:left="720" w:hanging="720"/>
        <w:jc w:val="both"/>
        <w:rPr>
          <w:rFonts w:ascii="Arial" w:hAnsi="Arial" w:cs="Arial"/>
        </w:rPr>
      </w:pPr>
      <w:r w:rsidRPr="00010F83">
        <w:rPr>
          <w:rFonts w:ascii="Arial" w:hAnsi="Arial" w:cs="Arial"/>
          <w:b/>
          <w:bCs/>
          <w:noProof/>
        </w:rPr>
        <w:pict>
          <v:line id="Straight Connector 8" o:spid="_x0000_s1035"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0,-.05pt" to="46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" strokecolor="black [3200]" strokeweight=".5pt">
            <v:stroke joinstyle="miter"/>
          </v:line>
        </w:pict>
      </w:r>
      <w:r w:rsidR="00160236" w:rsidRPr="00010F83">
        <w:rPr>
          <w:rFonts w:ascii="Arial" w:hAnsi="Arial" w:cs="Arial"/>
        </w:rPr>
        <w:t>57</w:t>
      </w:r>
      <w:r w:rsidR="00160236" w:rsidRPr="00010F83">
        <w:rPr>
          <w:rFonts w:ascii="Arial" w:hAnsi="Arial" w:cs="Arial"/>
        </w:rPr>
        <w:tab/>
      </w:r>
      <w:r w:rsidR="00642F70" w:rsidRPr="00010F83">
        <w:rPr>
          <w:rFonts w:ascii="Arial" w:hAnsi="Arial" w:cs="Arial"/>
          <w:lang w:val="nl-NL"/>
        </w:rPr>
        <w:t>Việc hạch toán</w:t>
      </w:r>
      <w:r w:rsidR="00BC7F63" w:rsidRPr="00010F83">
        <w:rPr>
          <w:rFonts w:ascii="Arial" w:hAnsi="Arial" w:cs="Arial"/>
          <w:lang w:val="nl-NL"/>
        </w:rPr>
        <w:t xml:space="preserve"> thuế </w:t>
      </w:r>
      <w:proofErr w:type="gramStart"/>
      <w:r w:rsidR="00E16405" w:rsidRPr="00010F83">
        <w:rPr>
          <w:rFonts w:ascii="Arial" w:hAnsi="Arial" w:cs="Arial"/>
          <w:lang w:val="nl-NL"/>
        </w:rPr>
        <w:t>thu</w:t>
      </w:r>
      <w:proofErr w:type="gramEnd"/>
      <w:r w:rsidR="00E16405" w:rsidRPr="00010F83">
        <w:rPr>
          <w:rFonts w:ascii="Arial" w:hAnsi="Arial" w:cs="Arial"/>
          <w:lang w:val="nl-NL"/>
        </w:rPr>
        <w:t xml:space="preserve"> nhập hiện hành và thuế thu nhập hoãn lại của một giao dịch hay sự kiện phải được ghi nhận </w:t>
      </w:r>
      <w:r w:rsidR="00BC7F63" w:rsidRPr="00010F83">
        <w:rPr>
          <w:rFonts w:ascii="Arial" w:hAnsi="Arial" w:cs="Arial"/>
          <w:lang w:val="nl-NL"/>
        </w:rPr>
        <w:t xml:space="preserve">nhất quán với </w:t>
      </w:r>
      <w:r w:rsidR="00642F70" w:rsidRPr="00010F83">
        <w:rPr>
          <w:rFonts w:ascii="Arial" w:hAnsi="Arial" w:cs="Arial"/>
          <w:lang w:val="nl-NL"/>
        </w:rPr>
        <w:t>việc hạch</w:t>
      </w:r>
      <w:r w:rsidR="00BC7F63" w:rsidRPr="00010F83">
        <w:rPr>
          <w:rFonts w:ascii="Arial" w:hAnsi="Arial" w:cs="Arial"/>
          <w:lang w:val="nl-NL"/>
        </w:rPr>
        <w:t xml:space="preserve"> toán cho chính giao dịch hay sự kiện đó</w:t>
      </w:r>
      <w:r w:rsidR="00642F70" w:rsidRPr="00010F83">
        <w:rPr>
          <w:rFonts w:ascii="Arial" w:hAnsi="Arial" w:cs="Arial"/>
          <w:lang w:val="nl-NL"/>
        </w:rPr>
        <w:t>. C</w:t>
      </w:r>
      <w:r w:rsidR="00BC7F63" w:rsidRPr="00010F83">
        <w:rPr>
          <w:rFonts w:ascii="Arial" w:hAnsi="Arial" w:cs="Arial"/>
          <w:lang w:val="nl-NL"/>
        </w:rPr>
        <w:t>ác đoạn từ 58 đến 68C</w:t>
      </w:r>
      <w:r w:rsidR="00642F70" w:rsidRPr="00010F83">
        <w:rPr>
          <w:rFonts w:ascii="Arial" w:hAnsi="Arial" w:cs="Arial"/>
          <w:lang w:val="nl-NL"/>
        </w:rPr>
        <w:t xml:space="preserve"> hướng dẫn thực hiện nguyên tắc này</w:t>
      </w:r>
      <w:r w:rsidR="00BC7F63" w:rsidRPr="00010F83">
        <w:rPr>
          <w:rFonts w:ascii="Arial" w:hAnsi="Arial" w:cs="Arial"/>
          <w:lang w:val="nl-NL"/>
        </w:rPr>
        <w:t>.</w:t>
      </w:r>
    </w:p>
    <w:p w:rsidR="0006583D" w:rsidRPr="00010F83" w:rsidRDefault="00A16DC3" w:rsidP="00766B0E">
      <w:pPr>
        <w:shd w:val="clear" w:color="auto" w:fill="FFFFFF" w:themeFill="background1"/>
        <w:spacing w:after="120" w:line="240" w:lineRule="auto"/>
        <w:ind w:left="720" w:hanging="720"/>
        <w:jc w:val="both"/>
        <w:rPr>
          <w:rFonts w:ascii="Arial" w:hAnsi="Arial" w:cs="Arial"/>
        </w:rPr>
      </w:pPr>
      <w:r w:rsidRPr="00010F83">
        <w:rPr>
          <w:rFonts w:ascii="Arial" w:hAnsi="Arial" w:cs="Arial"/>
        </w:rPr>
        <w:t>57A</w:t>
      </w:r>
      <w:r w:rsidRPr="00010F83">
        <w:rPr>
          <w:rFonts w:ascii="Arial" w:hAnsi="Arial" w:cs="Arial"/>
        </w:rPr>
        <w:tab/>
      </w:r>
      <w:r w:rsidR="0006583D" w:rsidRPr="00010F83">
        <w:rPr>
          <w:rFonts w:ascii="Arial" w:hAnsi="Arial" w:cs="Arial"/>
        </w:rPr>
        <w:t xml:space="preserve">Một đơn vị </w:t>
      </w:r>
      <w:r w:rsidR="00BC7F63" w:rsidRPr="00010F83">
        <w:rPr>
          <w:rFonts w:ascii="Arial" w:hAnsi="Arial" w:cs="Arial"/>
        </w:rPr>
        <w:t>phải</w:t>
      </w:r>
      <w:r w:rsidR="0006583D" w:rsidRPr="00010F83">
        <w:rPr>
          <w:rFonts w:ascii="Arial" w:hAnsi="Arial" w:cs="Arial"/>
        </w:rPr>
        <w:t xml:space="preserve"> </w:t>
      </w:r>
      <w:r w:rsidR="00E75F7B" w:rsidRPr="00010F83">
        <w:rPr>
          <w:rFonts w:ascii="Arial" w:hAnsi="Arial" w:cs="Arial"/>
        </w:rPr>
        <w:t xml:space="preserve">ghi nhận </w:t>
      </w:r>
      <w:r w:rsidR="00BC7F63" w:rsidRPr="00010F83">
        <w:rPr>
          <w:rFonts w:ascii="Arial" w:hAnsi="Arial" w:cs="Arial"/>
        </w:rPr>
        <w:t xml:space="preserve">các ảnh hưởng </w:t>
      </w:r>
      <w:r w:rsidR="00731917" w:rsidRPr="00010F83">
        <w:rPr>
          <w:rFonts w:ascii="Arial" w:hAnsi="Arial" w:cs="Arial"/>
        </w:rPr>
        <w:t>thuế TNDN</w:t>
      </w:r>
      <w:r w:rsidR="00D0324E" w:rsidRPr="00010F83">
        <w:rPr>
          <w:rFonts w:ascii="Arial" w:hAnsi="Arial" w:cs="Arial"/>
        </w:rPr>
        <w:t xml:space="preserve"> tính trên cổ tức</w:t>
      </w:r>
      <w:r w:rsidR="00E75F7B" w:rsidRPr="00010F83">
        <w:rPr>
          <w:rFonts w:ascii="Arial" w:hAnsi="Arial" w:cs="Arial"/>
        </w:rPr>
        <w:t xml:space="preserve"> </w:t>
      </w:r>
      <w:proofErr w:type="gramStart"/>
      <w:r w:rsidR="00BC7F63" w:rsidRPr="00010F83">
        <w:rPr>
          <w:rFonts w:ascii="Arial" w:hAnsi="Arial" w:cs="Arial"/>
        </w:rPr>
        <w:t>theo</w:t>
      </w:r>
      <w:proofErr w:type="gramEnd"/>
      <w:r w:rsidR="00BC7F63" w:rsidRPr="00010F83">
        <w:rPr>
          <w:rFonts w:ascii="Arial" w:hAnsi="Arial" w:cs="Arial"/>
        </w:rPr>
        <w:t xml:space="preserve"> định nghĩa trong IFRS 9 khi đơn vị ghi nhận </w:t>
      </w:r>
      <w:r w:rsidR="001D511F" w:rsidRPr="00010F83">
        <w:rPr>
          <w:rFonts w:ascii="Arial" w:hAnsi="Arial" w:cs="Arial"/>
        </w:rPr>
        <w:t>cổ tức</w:t>
      </w:r>
      <w:r w:rsidR="00E75F7B" w:rsidRPr="00010F83">
        <w:rPr>
          <w:rFonts w:ascii="Arial" w:hAnsi="Arial" w:cs="Arial"/>
        </w:rPr>
        <w:t xml:space="preserve"> phải trả</w:t>
      </w:r>
      <w:r w:rsidR="0006583D" w:rsidRPr="00010F83">
        <w:rPr>
          <w:rFonts w:ascii="Arial" w:hAnsi="Arial" w:cs="Arial"/>
        </w:rPr>
        <w:t xml:space="preserve">. </w:t>
      </w:r>
      <w:proofErr w:type="gramStart"/>
      <w:r w:rsidR="007B64CF" w:rsidRPr="00010F83">
        <w:rPr>
          <w:rFonts w:ascii="Arial" w:hAnsi="Arial" w:cs="Arial"/>
        </w:rPr>
        <w:t>Ảnh hưởng thuế TNDN phát sinh từ cổ tức cần có liên quan nhiều đến các giao dịch hoặc sự kiện trong quá khứ góp phần tạo ra lợi nhuận chưa phân phối, hơn là liên quan đến quyết định phân phối lợi nhuận</w:t>
      </w:r>
      <w:r w:rsidR="0006583D" w:rsidRPr="00010F83">
        <w:rPr>
          <w:rFonts w:ascii="Arial" w:hAnsi="Arial" w:cs="Arial"/>
        </w:rPr>
        <w:t>.</w:t>
      </w:r>
      <w:proofErr w:type="gramEnd"/>
      <w:r w:rsidR="00BC7F63" w:rsidRPr="00010F83">
        <w:rPr>
          <w:rFonts w:ascii="Arial" w:hAnsi="Arial" w:cs="Arial"/>
        </w:rPr>
        <w:t xml:space="preserve"> </w:t>
      </w:r>
      <w:r w:rsidR="0006583D" w:rsidRPr="00010F83">
        <w:rPr>
          <w:rFonts w:ascii="Arial" w:hAnsi="Arial" w:cs="Arial"/>
        </w:rPr>
        <w:t xml:space="preserve">Do đó, </w:t>
      </w:r>
      <w:r w:rsidR="009C6071" w:rsidRPr="00010F83">
        <w:rPr>
          <w:rFonts w:ascii="Arial" w:hAnsi="Arial" w:cs="Arial"/>
        </w:rPr>
        <w:t>đơn vị</w:t>
      </w:r>
      <w:r w:rsidR="0006583D" w:rsidRPr="00010F83">
        <w:rPr>
          <w:rFonts w:ascii="Arial" w:hAnsi="Arial" w:cs="Arial"/>
        </w:rPr>
        <w:t xml:space="preserve"> sẽ ghi nhận </w:t>
      </w:r>
      <w:r w:rsidR="00BC7F63" w:rsidRPr="00010F83">
        <w:rPr>
          <w:rFonts w:ascii="Arial" w:hAnsi="Arial" w:cs="Arial"/>
        </w:rPr>
        <w:t xml:space="preserve">ảnh hưởng </w:t>
      </w:r>
      <w:r w:rsidR="00731917" w:rsidRPr="00010F83">
        <w:rPr>
          <w:rFonts w:ascii="Arial" w:hAnsi="Arial" w:cs="Arial"/>
        </w:rPr>
        <w:t>thuế TNDN</w:t>
      </w:r>
      <w:r w:rsidR="0006583D" w:rsidRPr="00010F83">
        <w:rPr>
          <w:rFonts w:ascii="Arial" w:hAnsi="Arial" w:cs="Arial"/>
        </w:rPr>
        <w:t xml:space="preserve"> </w:t>
      </w:r>
      <w:r w:rsidR="009C6071" w:rsidRPr="00010F83">
        <w:rPr>
          <w:rFonts w:ascii="Arial" w:hAnsi="Arial" w:cs="Arial"/>
        </w:rPr>
        <w:t xml:space="preserve">phát sinh từ </w:t>
      </w:r>
      <w:r w:rsidR="0006583D" w:rsidRPr="00010F83">
        <w:rPr>
          <w:rFonts w:ascii="Arial" w:hAnsi="Arial" w:cs="Arial"/>
        </w:rPr>
        <w:t xml:space="preserve">cổ tức </w:t>
      </w:r>
      <w:r w:rsidR="00C35172" w:rsidRPr="00010F83">
        <w:rPr>
          <w:rFonts w:ascii="Arial" w:hAnsi="Arial" w:cs="Arial"/>
        </w:rPr>
        <w:t xml:space="preserve">vào </w:t>
      </w:r>
      <w:r w:rsidR="00F62F03" w:rsidRPr="00010F83">
        <w:rPr>
          <w:rFonts w:ascii="Arial" w:hAnsi="Arial" w:cs="Arial"/>
          <w:b/>
        </w:rPr>
        <w:t>Báo cáo kết quả hoạt động kinh doanh</w:t>
      </w:r>
      <w:r w:rsidR="00C35172" w:rsidRPr="00010F83">
        <w:rPr>
          <w:rFonts w:ascii="Arial" w:hAnsi="Arial" w:cs="Arial"/>
        </w:rPr>
        <w:t xml:space="preserve">, thu nhập </w:t>
      </w:r>
      <w:r w:rsidR="007A37D8" w:rsidRPr="00010F83">
        <w:rPr>
          <w:rFonts w:ascii="Arial" w:hAnsi="Arial" w:cs="Arial"/>
        </w:rPr>
        <w:t xml:space="preserve">toàn diện </w:t>
      </w:r>
      <w:r w:rsidR="00C35172" w:rsidRPr="00010F83">
        <w:rPr>
          <w:rFonts w:ascii="Arial" w:hAnsi="Arial" w:cs="Arial"/>
        </w:rPr>
        <w:t xml:space="preserve">khác hoặc vốn </w:t>
      </w:r>
      <w:r w:rsidR="007A37D8" w:rsidRPr="00010F83">
        <w:rPr>
          <w:rFonts w:ascii="Arial" w:hAnsi="Arial" w:cs="Arial"/>
        </w:rPr>
        <w:t xml:space="preserve">chủ sở hữu </w:t>
      </w:r>
      <w:r w:rsidR="00BC7F63" w:rsidRPr="00010F83">
        <w:rPr>
          <w:rFonts w:ascii="Arial" w:hAnsi="Arial" w:cs="Arial"/>
        </w:rPr>
        <w:t xml:space="preserve">tùy </w:t>
      </w:r>
      <w:r w:rsidR="009C6071" w:rsidRPr="00010F83">
        <w:rPr>
          <w:rFonts w:ascii="Arial" w:hAnsi="Arial" w:cs="Arial"/>
        </w:rPr>
        <w:t xml:space="preserve">theo </w:t>
      </w:r>
      <w:r w:rsidR="001D511F" w:rsidRPr="00010F83">
        <w:rPr>
          <w:rFonts w:ascii="Arial" w:hAnsi="Arial" w:cs="Arial"/>
        </w:rPr>
        <w:t xml:space="preserve">cách thức hạch toán </w:t>
      </w:r>
      <w:r w:rsidR="00BC7F63" w:rsidRPr="00010F83">
        <w:rPr>
          <w:rFonts w:ascii="Arial" w:hAnsi="Arial" w:cs="Arial"/>
        </w:rPr>
        <w:t xml:space="preserve">mà </w:t>
      </w:r>
      <w:r w:rsidR="009C6071" w:rsidRPr="00010F83">
        <w:rPr>
          <w:rFonts w:ascii="Arial" w:hAnsi="Arial" w:cs="Arial"/>
        </w:rPr>
        <w:t>đơn vị</w:t>
      </w:r>
      <w:r w:rsidR="0006583D" w:rsidRPr="00010F83">
        <w:rPr>
          <w:rFonts w:ascii="Arial" w:hAnsi="Arial" w:cs="Arial"/>
        </w:rPr>
        <w:t xml:space="preserve"> </w:t>
      </w:r>
      <w:r w:rsidR="00BC7F63" w:rsidRPr="00010F83">
        <w:rPr>
          <w:rFonts w:ascii="Arial" w:hAnsi="Arial" w:cs="Arial"/>
        </w:rPr>
        <w:t xml:space="preserve">đã </w:t>
      </w:r>
      <w:r w:rsidR="009C6071" w:rsidRPr="00010F83">
        <w:rPr>
          <w:rFonts w:ascii="Arial" w:hAnsi="Arial" w:cs="Arial"/>
        </w:rPr>
        <w:t xml:space="preserve">ghi nhận </w:t>
      </w:r>
      <w:r w:rsidR="0006583D" w:rsidRPr="00010F83">
        <w:rPr>
          <w:rFonts w:ascii="Arial" w:hAnsi="Arial" w:cs="Arial"/>
        </w:rPr>
        <w:t xml:space="preserve">ban đầu </w:t>
      </w:r>
      <w:r w:rsidR="009C6071" w:rsidRPr="00010F83">
        <w:rPr>
          <w:rFonts w:ascii="Arial" w:hAnsi="Arial" w:cs="Arial"/>
        </w:rPr>
        <w:t>đối với</w:t>
      </w:r>
      <w:r w:rsidR="0006583D" w:rsidRPr="00010F83">
        <w:rPr>
          <w:rFonts w:ascii="Arial" w:hAnsi="Arial" w:cs="Arial"/>
        </w:rPr>
        <w:t xml:space="preserve"> các giao dịch hoặc sự kiện</w:t>
      </w:r>
      <w:r w:rsidR="009C6071" w:rsidRPr="00010F83">
        <w:rPr>
          <w:rFonts w:ascii="Arial" w:hAnsi="Arial" w:cs="Arial"/>
        </w:rPr>
        <w:t xml:space="preserve"> </w:t>
      </w:r>
      <w:r w:rsidR="001D511F" w:rsidRPr="00010F83">
        <w:rPr>
          <w:rFonts w:ascii="Arial" w:hAnsi="Arial" w:cs="Arial"/>
        </w:rPr>
        <w:t>tạo ra lợi nhuận</w:t>
      </w:r>
      <w:r w:rsidR="0006583D" w:rsidRPr="00010F83">
        <w:rPr>
          <w:rFonts w:ascii="Arial" w:hAnsi="Arial" w:cs="Arial"/>
        </w:rPr>
        <w:t xml:space="preserve"> trong quá khứ.</w:t>
      </w:r>
    </w:p>
    <w:p w:rsidR="00A16DC3" w:rsidRPr="00010F83" w:rsidRDefault="00A16DC3" w:rsidP="00E16405">
      <w:pPr>
        <w:pStyle w:val="BodyTextIndent"/>
        <w:spacing w:before="0" w:after="120" w:line="240" w:lineRule="auto"/>
        <w:ind w:left="720" w:firstLine="0"/>
        <w:rPr>
          <w:rFonts w:ascii="Arial" w:hAnsi="Arial" w:cs="Arial"/>
          <w:b/>
          <w:bCs/>
          <w:sz w:val="22"/>
          <w:szCs w:val="22"/>
          <w:lang w:val="nl-NL"/>
        </w:rPr>
      </w:pPr>
      <w:r w:rsidRPr="00010F83">
        <w:rPr>
          <w:rFonts w:ascii="Arial" w:hAnsi="Arial" w:cs="Arial"/>
          <w:b/>
          <w:bCs/>
          <w:sz w:val="22"/>
          <w:szCs w:val="22"/>
          <w:lang w:val="nl-NL"/>
        </w:rPr>
        <w:t xml:space="preserve">Các khoản mục ghi nhận vào </w:t>
      </w:r>
      <w:r w:rsidR="00E16405" w:rsidRPr="00010F83">
        <w:rPr>
          <w:rFonts w:ascii="Arial" w:hAnsi="Arial" w:cs="Arial"/>
          <w:b/>
          <w:bCs/>
          <w:sz w:val="22"/>
          <w:szCs w:val="22"/>
          <w:lang w:val="nl-NL"/>
        </w:rPr>
        <w:t>Báo cáo kết quả hoạt động kinh doanh</w:t>
      </w:r>
    </w:p>
    <w:p w:rsidR="00B36011" w:rsidRPr="00010F83" w:rsidRDefault="00E75F7B" w:rsidP="00590853">
      <w:pPr>
        <w:pStyle w:val="BodyTextIndent"/>
        <w:spacing w:after="120" w:line="240" w:lineRule="auto"/>
        <w:ind w:left="720" w:hanging="720"/>
        <w:rPr>
          <w:rFonts w:ascii="Arial" w:hAnsi="Arial" w:cs="Arial"/>
          <w:bCs/>
          <w:sz w:val="22"/>
          <w:szCs w:val="22"/>
          <w:lang w:val="nl-NL"/>
        </w:rPr>
      </w:pPr>
      <w:r w:rsidRPr="00010F83">
        <w:rPr>
          <w:rFonts w:ascii="Arial" w:hAnsi="Arial" w:cs="Arial"/>
          <w:sz w:val="22"/>
          <w:szCs w:val="22"/>
        </w:rPr>
        <w:t>58</w:t>
      </w:r>
      <w:r w:rsidRPr="00010F83">
        <w:rPr>
          <w:rFonts w:ascii="Arial" w:hAnsi="Arial" w:cs="Arial"/>
          <w:sz w:val="22"/>
          <w:szCs w:val="22"/>
        </w:rPr>
        <w:tab/>
      </w:r>
      <w:r w:rsidR="00BC7F63" w:rsidRPr="00010F83">
        <w:rPr>
          <w:rFonts w:ascii="Arial" w:hAnsi="Arial" w:cs="Arial"/>
          <w:bCs/>
          <w:sz w:val="22"/>
          <w:szCs w:val="22"/>
          <w:lang w:val="nl-NL"/>
        </w:rPr>
        <w:t xml:space="preserve">Thuế </w:t>
      </w:r>
      <w:proofErr w:type="gramStart"/>
      <w:r w:rsidR="00E16405" w:rsidRPr="00010F83">
        <w:rPr>
          <w:rFonts w:ascii="Arial" w:hAnsi="Arial" w:cs="Arial"/>
          <w:bCs/>
          <w:sz w:val="22"/>
          <w:szCs w:val="22"/>
          <w:lang w:val="nl-NL"/>
        </w:rPr>
        <w:t>thu</w:t>
      </w:r>
      <w:proofErr w:type="gramEnd"/>
      <w:r w:rsidR="00E16405" w:rsidRPr="00010F83">
        <w:rPr>
          <w:rFonts w:ascii="Arial" w:hAnsi="Arial" w:cs="Arial"/>
          <w:bCs/>
          <w:sz w:val="22"/>
          <w:szCs w:val="22"/>
          <w:lang w:val="nl-NL"/>
        </w:rPr>
        <w:t xml:space="preserve"> nhập </w:t>
      </w:r>
      <w:r w:rsidR="00BC7F63" w:rsidRPr="00010F83">
        <w:rPr>
          <w:rFonts w:ascii="Arial" w:hAnsi="Arial" w:cs="Arial"/>
          <w:bCs/>
          <w:sz w:val="22"/>
          <w:szCs w:val="22"/>
          <w:lang w:val="nl-NL"/>
        </w:rPr>
        <w:t xml:space="preserve">hiện hành và thuế hoãn lại được ghi nhận là thu nhập hay chi phí </w:t>
      </w:r>
      <w:r w:rsidR="00E16405" w:rsidRPr="00010F83">
        <w:rPr>
          <w:rFonts w:ascii="Arial" w:hAnsi="Arial" w:cs="Arial"/>
          <w:bCs/>
          <w:sz w:val="22"/>
          <w:szCs w:val="22"/>
          <w:lang w:val="nl-NL"/>
        </w:rPr>
        <w:t>để tính</w:t>
      </w:r>
      <w:r w:rsidR="00E1010E" w:rsidRPr="00010F83">
        <w:rPr>
          <w:rFonts w:ascii="Arial" w:hAnsi="Arial" w:cs="Arial"/>
          <w:bCs/>
          <w:sz w:val="22"/>
          <w:szCs w:val="22"/>
          <w:lang w:val="nl-NL"/>
        </w:rPr>
        <w:t xml:space="preserve"> lãi lỗ</w:t>
      </w:r>
      <w:r w:rsidR="00BC7F63" w:rsidRPr="00010F83">
        <w:rPr>
          <w:rFonts w:ascii="Arial" w:hAnsi="Arial" w:cs="Arial"/>
          <w:bCs/>
          <w:sz w:val="22"/>
          <w:szCs w:val="22"/>
          <w:lang w:val="nl-NL"/>
        </w:rPr>
        <w:t xml:space="preserve"> của kỳ phát sinh, ngoại trừ</w:t>
      </w:r>
      <w:r w:rsidR="00B36011" w:rsidRPr="00010F83">
        <w:rPr>
          <w:rFonts w:ascii="Arial" w:hAnsi="Arial" w:cs="Arial"/>
          <w:bCs/>
          <w:sz w:val="22"/>
          <w:szCs w:val="22"/>
          <w:lang w:val="nl-NL"/>
        </w:rPr>
        <w:t xml:space="preserve"> trường hợp thuế phát sinh từ: </w:t>
      </w:r>
    </w:p>
    <w:p w:rsidR="00B36011" w:rsidRPr="00010F83" w:rsidRDefault="00BC7F63" w:rsidP="00766B0E">
      <w:pPr>
        <w:pStyle w:val="ListParagraph"/>
        <w:numPr>
          <w:ilvl w:val="0"/>
          <w:numId w:val="27"/>
        </w:numPr>
        <w:autoSpaceDE w:val="0"/>
        <w:autoSpaceDN w:val="0"/>
        <w:adjustRightInd w:val="0"/>
        <w:spacing w:after="120"/>
        <w:jc w:val="both"/>
        <w:rPr>
          <w:rFonts w:ascii="Arial" w:hAnsi="Arial" w:cs="Arial"/>
          <w:bCs/>
          <w:sz w:val="22"/>
          <w:szCs w:val="22"/>
          <w:lang w:val="nl-NL"/>
        </w:rPr>
      </w:pPr>
      <w:r w:rsidRPr="00010F83">
        <w:rPr>
          <w:rFonts w:ascii="Arial" w:hAnsi="Arial" w:cs="Arial"/>
          <w:bCs/>
          <w:sz w:val="22"/>
          <w:szCs w:val="22"/>
          <w:lang w:val="nl-NL"/>
        </w:rPr>
        <w:t xml:space="preserve">một giao dịch hoặc sự kiện được ghi nhận </w:t>
      </w:r>
      <w:r w:rsidR="007B64CF" w:rsidRPr="00010F83">
        <w:rPr>
          <w:rFonts w:ascii="Arial" w:hAnsi="Arial" w:cs="Arial"/>
          <w:bCs/>
          <w:sz w:val="22"/>
          <w:szCs w:val="22"/>
          <w:lang w:val="nl-NL"/>
        </w:rPr>
        <w:t xml:space="preserve">không phải vào lãi lỗ, mà ghi nhận </w:t>
      </w:r>
      <w:r w:rsidRPr="00010F83">
        <w:rPr>
          <w:rFonts w:ascii="Arial" w:hAnsi="Arial" w:cs="Arial"/>
          <w:bCs/>
          <w:sz w:val="22"/>
          <w:szCs w:val="22"/>
          <w:lang w:val="nl-NL"/>
        </w:rPr>
        <w:t>trực tiếp vào vốn chủ sở hữu hoặc vào thu nhập toàn diện khác trong cùng kỳ hay một kỳ khác (xem các đoạn từ 61A đến 65); hoặc</w:t>
      </w:r>
    </w:p>
    <w:p w:rsidR="00C35172" w:rsidRPr="00010F83" w:rsidRDefault="00BC7F63" w:rsidP="00766B0E">
      <w:pPr>
        <w:pStyle w:val="ListParagraph"/>
        <w:numPr>
          <w:ilvl w:val="0"/>
          <w:numId w:val="27"/>
        </w:numPr>
        <w:autoSpaceDE w:val="0"/>
        <w:autoSpaceDN w:val="0"/>
        <w:adjustRightInd w:val="0"/>
        <w:spacing w:after="120"/>
        <w:jc w:val="both"/>
        <w:rPr>
          <w:rFonts w:ascii="Arial" w:hAnsi="Arial" w:cs="Arial"/>
          <w:bCs/>
          <w:sz w:val="22"/>
          <w:szCs w:val="22"/>
          <w:lang w:val="nl-NL"/>
        </w:rPr>
      </w:pPr>
      <w:r w:rsidRPr="00010F83">
        <w:rPr>
          <w:rFonts w:ascii="Arial" w:hAnsi="Arial" w:cs="Arial"/>
          <w:bCs/>
          <w:sz w:val="22"/>
          <w:szCs w:val="22"/>
          <w:lang w:val="nl-NL"/>
        </w:rPr>
        <w:t xml:space="preserve">giao dịch hợp nhất kinh doanh (không phải là </w:t>
      </w:r>
      <w:r w:rsidR="00E1010E" w:rsidRPr="00010F83">
        <w:rPr>
          <w:rFonts w:ascii="Arial" w:hAnsi="Arial" w:cs="Arial"/>
          <w:bCs/>
          <w:sz w:val="22"/>
          <w:szCs w:val="22"/>
          <w:lang w:val="nl-NL"/>
        </w:rPr>
        <w:t>giao dịch trong đó</w:t>
      </w:r>
      <w:r w:rsidRPr="00010F83">
        <w:rPr>
          <w:rFonts w:ascii="Arial" w:hAnsi="Arial" w:cs="Arial"/>
          <w:bCs/>
          <w:sz w:val="22"/>
          <w:szCs w:val="22"/>
          <w:lang w:val="nl-NL"/>
        </w:rPr>
        <w:t xml:space="preserve"> một đơn vị đầu tư, như định nghĩa trong IFRS 10 </w:t>
      </w:r>
      <w:r w:rsidR="00E1010E" w:rsidRPr="00010F83">
        <w:rPr>
          <w:rFonts w:ascii="Arial" w:hAnsi="Arial" w:cs="Arial"/>
          <w:bCs/>
          <w:i/>
          <w:sz w:val="22"/>
          <w:szCs w:val="22"/>
          <w:lang w:val="nl-NL"/>
        </w:rPr>
        <w:t>Báo cáo tài chính hợp nhất</w:t>
      </w:r>
      <w:r w:rsidRPr="00010F83">
        <w:rPr>
          <w:rFonts w:ascii="Arial" w:hAnsi="Arial" w:cs="Arial"/>
          <w:bCs/>
          <w:sz w:val="22"/>
          <w:szCs w:val="22"/>
          <w:lang w:val="nl-NL"/>
        </w:rPr>
        <w:t xml:space="preserve">, </w:t>
      </w:r>
      <w:r w:rsidR="00E1010E" w:rsidRPr="00010F83">
        <w:rPr>
          <w:rFonts w:ascii="Arial" w:hAnsi="Arial" w:cs="Arial"/>
          <w:bCs/>
          <w:sz w:val="22"/>
          <w:szCs w:val="22"/>
          <w:lang w:val="nl-NL"/>
        </w:rPr>
        <w:t>mua</w:t>
      </w:r>
      <w:r w:rsidRPr="00010F83">
        <w:rPr>
          <w:rFonts w:ascii="Arial" w:hAnsi="Arial" w:cs="Arial"/>
          <w:bCs/>
          <w:sz w:val="22"/>
          <w:szCs w:val="22"/>
          <w:lang w:val="nl-NL"/>
        </w:rPr>
        <w:t xml:space="preserve"> một công ty con </w:t>
      </w:r>
      <w:r w:rsidR="00E1010E" w:rsidRPr="00010F83">
        <w:rPr>
          <w:rFonts w:ascii="Arial" w:hAnsi="Arial" w:cs="Arial"/>
          <w:bCs/>
          <w:sz w:val="22"/>
          <w:szCs w:val="22"/>
          <w:lang w:val="nl-NL"/>
        </w:rPr>
        <w:t>và sẽ hạch toán khoản đầu tư này</w:t>
      </w:r>
      <w:r w:rsidRPr="00010F83">
        <w:rPr>
          <w:rFonts w:ascii="Arial" w:hAnsi="Arial" w:cs="Arial"/>
          <w:bCs/>
          <w:sz w:val="22"/>
          <w:szCs w:val="22"/>
          <w:lang w:val="nl-NL"/>
        </w:rPr>
        <w:t xml:space="preserve"> theo giá trị hợp lý thông qua lãi lỗ) (xem đoạn từ 66 – 68).</w:t>
      </w:r>
    </w:p>
    <w:p w:rsidR="00B36011" w:rsidRPr="00010F83" w:rsidRDefault="00D116AF" w:rsidP="00590853">
      <w:pPr>
        <w:pStyle w:val="BodyTextIndent"/>
        <w:spacing w:after="120" w:line="240" w:lineRule="auto"/>
        <w:ind w:left="720" w:hanging="720"/>
        <w:rPr>
          <w:rFonts w:ascii="Arial" w:hAnsi="Arial" w:cs="Arial"/>
          <w:spacing w:val="-2"/>
          <w:sz w:val="22"/>
          <w:szCs w:val="22"/>
          <w:lang w:val="nl-NL"/>
        </w:rPr>
      </w:pPr>
      <w:r w:rsidRPr="00010F83">
        <w:rPr>
          <w:rFonts w:ascii="Arial" w:hAnsi="Arial" w:cs="Arial"/>
          <w:spacing w:val="-2"/>
          <w:sz w:val="22"/>
          <w:szCs w:val="22"/>
          <w:lang w:val="nl-NL"/>
        </w:rPr>
        <w:t>59</w:t>
      </w:r>
      <w:r w:rsidRPr="00010F83">
        <w:rPr>
          <w:rFonts w:ascii="Arial" w:hAnsi="Arial" w:cs="Arial"/>
          <w:spacing w:val="-2"/>
          <w:sz w:val="22"/>
          <w:szCs w:val="22"/>
          <w:lang w:val="nl-NL"/>
        </w:rPr>
        <w:tab/>
      </w:r>
      <w:r w:rsidR="00B36011" w:rsidRPr="00010F83">
        <w:rPr>
          <w:rFonts w:ascii="Arial" w:hAnsi="Arial" w:cs="Arial"/>
          <w:spacing w:val="-2"/>
          <w:sz w:val="22"/>
          <w:szCs w:val="22"/>
          <w:lang w:val="nl-NL"/>
        </w:rPr>
        <w:t xml:space="preserve">Phần lớn </w:t>
      </w:r>
      <w:r w:rsidR="006805F0" w:rsidRPr="00010F83">
        <w:rPr>
          <w:rFonts w:ascii="Arial" w:hAnsi="Arial" w:cs="Arial"/>
          <w:spacing w:val="-2"/>
          <w:sz w:val="22"/>
          <w:szCs w:val="22"/>
          <w:lang w:val="nl-NL"/>
        </w:rPr>
        <w:t xml:space="preserve">tài sản </w:t>
      </w:r>
      <w:r w:rsidR="00731917" w:rsidRPr="00010F83">
        <w:rPr>
          <w:rFonts w:ascii="Arial" w:hAnsi="Arial" w:cs="Arial"/>
          <w:spacing w:val="-2"/>
          <w:sz w:val="22"/>
          <w:szCs w:val="22"/>
          <w:lang w:val="nl-NL"/>
        </w:rPr>
        <w:t>thuế TNDN</w:t>
      </w:r>
      <w:r w:rsidR="006805F0" w:rsidRPr="00010F83">
        <w:rPr>
          <w:rFonts w:ascii="Arial" w:hAnsi="Arial" w:cs="Arial"/>
          <w:spacing w:val="-2"/>
          <w:sz w:val="22"/>
          <w:szCs w:val="22"/>
          <w:lang w:val="nl-NL"/>
        </w:rPr>
        <w:t xml:space="preserve"> hoãn lại</w:t>
      </w:r>
      <w:r w:rsidR="00B36011" w:rsidRPr="00010F83">
        <w:rPr>
          <w:rFonts w:ascii="Arial" w:hAnsi="Arial" w:cs="Arial"/>
          <w:spacing w:val="-2"/>
          <w:sz w:val="22"/>
          <w:szCs w:val="22"/>
          <w:lang w:val="nl-NL"/>
        </w:rPr>
        <w:t xml:space="preserve"> và </w:t>
      </w:r>
      <w:r w:rsidR="00731917" w:rsidRPr="00010F83">
        <w:rPr>
          <w:rFonts w:ascii="Arial" w:hAnsi="Arial" w:cs="Arial"/>
          <w:spacing w:val="-2"/>
          <w:sz w:val="22"/>
          <w:szCs w:val="22"/>
          <w:lang w:val="nl-NL"/>
        </w:rPr>
        <w:t>thuế TNDN</w:t>
      </w:r>
      <w:r w:rsidR="006805F0" w:rsidRPr="00010F83">
        <w:rPr>
          <w:rFonts w:ascii="Arial" w:hAnsi="Arial" w:cs="Arial"/>
          <w:spacing w:val="-2"/>
          <w:sz w:val="22"/>
          <w:szCs w:val="22"/>
          <w:lang w:val="nl-NL"/>
        </w:rPr>
        <w:t xml:space="preserve"> hoãn lại phải trả</w:t>
      </w:r>
      <w:r w:rsidR="00B36011" w:rsidRPr="00010F83">
        <w:rPr>
          <w:rFonts w:ascii="Arial" w:hAnsi="Arial" w:cs="Arial"/>
          <w:spacing w:val="-2"/>
          <w:sz w:val="22"/>
          <w:szCs w:val="22"/>
          <w:lang w:val="nl-NL"/>
        </w:rPr>
        <w:t xml:space="preserve"> phát sinh khi một khoản thu nhập hoặc chi phí được tính vào lợi nhuận kế toán của một kỳ, nhưng được tính vào </w:t>
      </w:r>
      <w:r w:rsidR="00031CB7" w:rsidRPr="00010F83">
        <w:rPr>
          <w:rFonts w:ascii="Arial" w:hAnsi="Arial" w:cs="Arial"/>
          <w:spacing w:val="-2"/>
          <w:sz w:val="22"/>
          <w:szCs w:val="22"/>
          <w:lang w:val="nl-NL"/>
        </w:rPr>
        <w:t>thu  nhập</w:t>
      </w:r>
      <w:r w:rsidR="00B36011" w:rsidRPr="00010F83">
        <w:rPr>
          <w:rFonts w:ascii="Arial" w:hAnsi="Arial" w:cs="Arial"/>
          <w:spacing w:val="-2"/>
          <w:sz w:val="22"/>
          <w:szCs w:val="22"/>
          <w:lang w:val="nl-NL"/>
        </w:rPr>
        <w:t xml:space="preserve"> tính thuế (lỗ tính thuế) của một kỳ khác. </w:t>
      </w:r>
      <w:r w:rsidR="005042C8" w:rsidRPr="00010F83">
        <w:rPr>
          <w:rFonts w:ascii="Arial" w:hAnsi="Arial" w:cs="Arial"/>
          <w:spacing w:val="-2"/>
          <w:sz w:val="22"/>
          <w:szCs w:val="22"/>
          <w:lang w:val="nl-NL"/>
        </w:rPr>
        <w:t>Do đó, t</w:t>
      </w:r>
      <w:r w:rsidR="00B36011" w:rsidRPr="00010F83">
        <w:rPr>
          <w:rFonts w:ascii="Arial" w:hAnsi="Arial" w:cs="Arial"/>
          <w:spacing w:val="-2"/>
          <w:sz w:val="22"/>
          <w:szCs w:val="22"/>
          <w:lang w:val="nl-NL"/>
        </w:rPr>
        <w:t xml:space="preserve">huế </w:t>
      </w:r>
      <w:r w:rsidR="00031CB7" w:rsidRPr="00010F83">
        <w:rPr>
          <w:rFonts w:ascii="Arial" w:hAnsi="Arial" w:cs="Arial"/>
          <w:spacing w:val="-2"/>
          <w:sz w:val="22"/>
          <w:szCs w:val="22"/>
          <w:lang w:val="nl-NL"/>
        </w:rPr>
        <w:t xml:space="preserve">thu nhập </w:t>
      </w:r>
      <w:r w:rsidR="00B36011" w:rsidRPr="00010F83">
        <w:rPr>
          <w:rFonts w:ascii="Arial" w:hAnsi="Arial" w:cs="Arial"/>
          <w:spacing w:val="-2"/>
          <w:sz w:val="22"/>
          <w:szCs w:val="22"/>
          <w:lang w:val="nl-NL"/>
        </w:rPr>
        <w:t xml:space="preserve">hoãn lại phát sinh </w:t>
      </w:r>
      <w:r w:rsidR="005042C8" w:rsidRPr="00010F83">
        <w:rPr>
          <w:rFonts w:ascii="Arial" w:hAnsi="Arial" w:cs="Arial"/>
          <w:spacing w:val="-2"/>
          <w:sz w:val="22"/>
          <w:szCs w:val="22"/>
          <w:lang w:val="nl-NL"/>
        </w:rPr>
        <w:t xml:space="preserve">từ những trường hợp như vậy </w:t>
      </w:r>
      <w:r w:rsidR="00B36011" w:rsidRPr="00010F83">
        <w:rPr>
          <w:rFonts w:ascii="Arial" w:hAnsi="Arial" w:cs="Arial"/>
          <w:spacing w:val="-2"/>
          <w:sz w:val="22"/>
          <w:szCs w:val="22"/>
          <w:lang w:val="nl-NL"/>
        </w:rPr>
        <w:t xml:space="preserve">được ghi nhận trong </w:t>
      </w:r>
      <w:r w:rsidR="00031CB7" w:rsidRPr="00010F83">
        <w:rPr>
          <w:rFonts w:ascii="Arial" w:hAnsi="Arial" w:cs="Arial"/>
          <w:spacing w:val="-2"/>
          <w:sz w:val="22"/>
          <w:szCs w:val="22"/>
          <w:lang w:val="nl-NL"/>
        </w:rPr>
        <w:t>B</w:t>
      </w:r>
      <w:r w:rsidR="00311385" w:rsidRPr="00010F83">
        <w:rPr>
          <w:rFonts w:ascii="Arial" w:hAnsi="Arial" w:cs="Arial"/>
          <w:spacing w:val="-2"/>
          <w:sz w:val="22"/>
          <w:szCs w:val="22"/>
          <w:lang w:val="nl-NL"/>
        </w:rPr>
        <w:t xml:space="preserve">áo cáo </w:t>
      </w:r>
      <w:r w:rsidR="00031CB7" w:rsidRPr="00010F83">
        <w:rPr>
          <w:rFonts w:ascii="Arial" w:hAnsi="Arial" w:cs="Arial"/>
          <w:spacing w:val="-2"/>
          <w:sz w:val="22"/>
          <w:szCs w:val="22"/>
          <w:lang w:val="nl-NL"/>
        </w:rPr>
        <w:t>kết quả hoạt động kinh doanh</w:t>
      </w:r>
      <w:r w:rsidR="00B36011" w:rsidRPr="00010F83">
        <w:rPr>
          <w:rFonts w:ascii="Arial" w:hAnsi="Arial" w:cs="Arial"/>
          <w:spacing w:val="-2"/>
          <w:sz w:val="22"/>
          <w:szCs w:val="22"/>
          <w:lang w:val="nl-NL"/>
        </w:rPr>
        <w:t xml:space="preserve">, </w:t>
      </w:r>
      <w:r w:rsidR="005042C8" w:rsidRPr="00010F83">
        <w:rPr>
          <w:rFonts w:ascii="Arial" w:hAnsi="Arial" w:cs="Arial"/>
          <w:spacing w:val="-2"/>
          <w:sz w:val="22"/>
          <w:szCs w:val="22"/>
          <w:lang w:val="nl-NL"/>
        </w:rPr>
        <w:t>ví dụ</w:t>
      </w:r>
      <w:r w:rsidR="00B36011" w:rsidRPr="00010F83">
        <w:rPr>
          <w:rFonts w:ascii="Arial" w:hAnsi="Arial" w:cs="Arial"/>
          <w:spacing w:val="-2"/>
          <w:sz w:val="22"/>
          <w:szCs w:val="22"/>
          <w:lang w:val="nl-NL"/>
        </w:rPr>
        <w:t>:</w:t>
      </w:r>
    </w:p>
    <w:p w:rsidR="00B36011" w:rsidRPr="00010F83" w:rsidRDefault="00B36011" w:rsidP="00766B0E">
      <w:pPr>
        <w:pStyle w:val="ListParagraph"/>
        <w:numPr>
          <w:ilvl w:val="0"/>
          <w:numId w:val="28"/>
        </w:numPr>
        <w:autoSpaceDE w:val="0"/>
        <w:autoSpaceDN w:val="0"/>
        <w:adjustRightInd w:val="0"/>
        <w:spacing w:after="120"/>
        <w:jc w:val="both"/>
        <w:rPr>
          <w:rFonts w:ascii="Arial" w:hAnsi="Arial" w:cs="Arial"/>
          <w:spacing w:val="-2"/>
          <w:sz w:val="22"/>
          <w:szCs w:val="22"/>
          <w:lang w:val="nl-NL"/>
        </w:rPr>
      </w:pPr>
      <w:r w:rsidRPr="00010F83">
        <w:rPr>
          <w:rFonts w:ascii="Arial" w:hAnsi="Arial" w:cs="Arial"/>
          <w:spacing w:val="-2"/>
          <w:sz w:val="22"/>
          <w:szCs w:val="22"/>
          <w:lang w:val="nl-NL"/>
        </w:rPr>
        <w:t>doanh thu từ tiền lãi, tiền bản quyền, cổ tức được ghi nhận trong lợi nhuận kế toán</w:t>
      </w:r>
      <w:r w:rsidR="00031CB7" w:rsidRPr="00010F83">
        <w:rPr>
          <w:rFonts w:ascii="Arial" w:hAnsi="Arial" w:cs="Arial"/>
          <w:spacing w:val="-2"/>
          <w:sz w:val="22"/>
          <w:szCs w:val="22"/>
          <w:lang w:val="nl-NL"/>
        </w:rPr>
        <w:t xml:space="preserve"> khi đáo hạn</w:t>
      </w:r>
      <w:r w:rsidRPr="00010F83">
        <w:rPr>
          <w:rFonts w:ascii="Arial" w:hAnsi="Arial" w:cs="Arial"/>
          <w:spacing w:val="-2"/>
          <w:sz w:val="22"/>
          <w:szCs w:val="22"/>
          <w:lang w:val="nl-NL"/>
        </w:rPr>
        <w:t xml:space="preserve"> phù hợp với chuẩn mực </w:t>
      </w:r>
      <w:r w:rsidR="00590053" w:rsidRPr="00010F83">
        <w:rPr>
          <w:rFonts w:ascii="Arial" w:hAnsi="Arial" w:cs="Arial"/>
          <w:spacing w:val="-2"/>
          <w:sz w:val="22"/>
          <w:szCs w:val="22"/>
          <w:lang w:val="nl-NL"/>
        </w:rPr>
        <w:t xml:space="preserve">IFRS 15 </w:t>
      </w:r>
      <w:r w:rsidR="00590053" w:rsidRPr="00010F83">
        <w:rPr>
          <w:rFonts w:ascii="Arial" w:hAnsi="Arial" w:cs="Arial"/>
          <w:i/>
          <w:spacing w:val="-2"/>
          <w:sz w:val="22"/>
          <w:szCs w:val="22"/>
          <w:lang w:val="nl-NL"/>
        </w:rPr>
        <w:t>Doanh thu từ hợp đồng với khách hàng</w:t>
      </w:r>
      <w:r w:rsidR="00590053" w:rsidRPr="00010F83">
        <w:rPr>
          <w:rFonts w:ascii="Arial" w:hAnsi="Arial" w:cs="Arial"/>
          <w:spacing w:val="-2"/>
          <w:sz w:val="22"/>
          <w:szCs w:val="22"/>
          <w:lang w:val="nl-NL"/>
        </w:rPr>
        <w:t xml:space="preserve">, IAS 39 </w:t>
      </w:r>
      <w:r w:rsidR="00590053" w:rsidRPr="00010F83">
        <w:rPr>
          <w:rFonts w:ascii="Arial" w:hAnsi="Arial" w:cs="Arial"/>
          <w:i/>
          <w:spacing w:val="-2"/>
          <w:sz w:val="22"/>
          <w:szCs w:val="22"/>
          <w:lang w:val="nl-NL"/>
        </w:rPr>
        <w:t>Công cụ tài chính: ghi nhận và xác định giá trị</w:t>
      </w:r>
      <w:r w:rsidR="00590053" w:rsidRPr="00010F83">
        <w:rPr>
          <w:rFonts w:ascii="Arial" w:hAnsi="Arial" w:cs="Arial"/>
          <w:spacing w:val="-2"/>
          <w:sz w:val="22"/>
          <w:szCs w:val="22"/>
          <w:lang w:val="nl-NL"/>
        </w:rPr>
        <w:t xml:space="preserve">, hay IFRS 9 </w:t>
      </w:r>
      <w:r w:rsidR="00590053" w:rsidRPr="00010F83">
        <w:rPr>
          <w:rFonts w:ascii="Arial" w:hAnsi="Arial" w:cs="Arial"/>
          <w:i/>
          <w:spacing w:val="-2"/>
          <w:sz w:val="22"/>
          <w:szCs w:val="22"/>
          <w:lang w:val="nl-NL"/>
        </w:rPr>
        <w:t>Công cụ tài chính</w:t>
      </w:r>
      <w:r w:rsidRPr="00010F83">
        <w:rPr>
          <w:rFonts w:ascii="Arial" w:hAnsi="Arial" w:cs="Arial"/>
          <w:spacing w:val="-2"/>
          <w:sz w:val="22"/>
          <w:szCs w:val="22"/>
          <w:lang w:val="nl-NL"/>
        </w:rPr>
        <w:t xml:space="preserve">, nhưng </w:t>
      </w:r>
      <w:r w:rsidR="00590053" w:rsidRPr="00010F83">
        <w:rPr>
          <w:rFonts w:ascii="Arial" w:hAnsi="Arial" w:cs="Arial"/>
          <w:spacing w:val="-2"/>
          <w:sz w:val="22"/>
          <w:szCs w:val="22"/>
          <w:lang w:val="nl-NL"/>
        </w:rPr>
        <w:t xml:space="preserve">chỉ </w:t>
      </w:r>
      <w:r w:rsidRPr="00010F83">
        <w:rPr>
          <w:rFonts w:ascii="Arial" w:hAnsi="Arial" w:cs="Arial"/>
          <w:spacing w:val="-2"/>
          <w:sz w:val="22"/>
          <w:szCs w:val="22"/>
          <w:lang w:val="nl-NL"/>
        </w:rPr>
        <w:t xml:space="preserve">được </w:t>
      </w:r>
      <w:r w:rsidR="00590053" w:rsidRPr="00010F83">
        <w:rPr>
          <w:rFonts w:ascii="Arial" w:hAnsi="Arial" w:cs="Arial"/>
          <w:spacing w:val="-2"/>
          <w:sz w:val="22"/>
          <w:szCs w:val="22"/>
          <w:lang w:val="nl-NL"/>
        </w:rPr>
        <w:t>đưa vào tính</w:t>
      </w:r>
      <w:r w:rsidRPr="00010F83">
        <w:rPr>
          <w:rFonts w:ascii="Arial" w:hAnsi="Arial" w:cs="Arial"/>
          <w:spacing w:val="-2"/>
          <w:sz w:val="22"/>
          <w:szCs w:val="22"/>
          <w:lang w:val="nl-NL"/>
        </w:rPr>
        <w:t xml:space="preserve"> thu nhập chịu thuế (lỗ tính thuế) </w:t>
      </w:r>
      <w:r w:rsidR="00590053" w:rsidRPr="00010F83">
        <w:rPr>
          <w:rFonts w:ascii="Arial" w:hAnsi="Arial" w:cs="Arial"/>
          <w:spacing w:val="-2"/>
          <w:sz w:val="22"/>
          <w:szCs w:val="22"/>
          <w:lang w:val="nl-NL"/>
        </w:rPr>
        <w:t>khi</w:t>
      </w:r>
      <w:r w:rsidRPr="00010F83">
        <w:rPr>
          <w:rFonts w:ascii="Arial" w:hAnsi="Arial" w:cs="Arial"/>
          <w:spacing w:val="-2"/>
          <w:sz w:val="22"/>
          <w:szCs w:val="22"/>
          <w:lang w:val="nl-NL"/>
        </w:rPr>
        <w:t xml:space="preserve"> thực </w:t>
      </w:r>
      <w:r w:rsidR="00031CB7" w:rsidRPr="00010F83">
        <w:rPr>
          <w:rFonts w:ascii="Arial" w:hAnsi="Arial" w:cs="Arial"/>
          <w:spacing w:val="-2"/>
          <w:sz w:val="22"/>
          <w:szCs w:val="22"/>
          <w:lang w:val="nl-NL"/>
        </w:rPr>
        <w:t>nhận</w:t>
      </w:r>
      <w:r w:rsidRPr="00010F83">
        <w:rPr>
          <w:rFonts w:ascii="Arial" w:hAnsi="Arial" w:cs="Arial"/>
          <w:spacing w:val="-2"/>
          <w:sz w:val="22"/>
          <w:szCs w:val="22"/>
          <w:lang w:val="nl-NL"/>
        </w:rPr>
        <w:t>; và</w:t>
      </w:r>
    </w:p>
    <w:p w:rsidR="00B36011" w:rsidRPr="00010F83" w:rsidRDefault="00B36011" w:rsidP="00766B0E">
      <w:pPr>
        <w:pStyle w:val="ListParagraph"/>
        <w:numPr>
          <w:ilvl w:val="0"/>
          <w:numId w:val="28"/>
        </w:numPr>
        <w:autoSpaceDE w:val="0"/>
        <w:autoSpaceDN w:val="0"/>
        <w:adjustRightInd w:val="0"/>
        <w:spacing w:after="120"/>
        <w:jc w:val="both"/>
        <w:rPr>
          <w:rFonts w:ascii="Arial" w:hAnsi="Arial" w:cs="Arial"/>
          <w:spacing w:val="-2"/>
          <w:sz w:val="22"/>
          <w:szCs w:val="22"/>
          <w:lang w:val="nl-NL"/>
        </w:rPr>
      </w:pPr>
      <w:r w:rsidRPr="00010F83">
        <w:rPr>
          <w:rFonts w:ascii="Arial" w:hAnsi="Arial" w:cs="Arial"/>
          <w:spacing w:val="-2"/>
          <w:sz w:val="22"/>
          <w:szCs w:val="22"/>
          <w:lang w:val="nl-NL"/>
        </w:rPr>
        <w:t>chi phí liên quan đến tài sản vô hình được vốn hóa th</w:t>
      </w:r>
      <w:r w:rsidR="00590053" w:rsidRPr="00010F83">
        <w:rPr>
          <w:rFonts w:ascii="Arial" w:hAnsi="Arial" w:cs="Arial"/>
          <w:spacing w:val="-2"/>
          <w:sz w:val="22"/>
          <w:szCs w:val="22"/>
          <w:lang w:val="nl-NL"/>
        </w:rPr>
        <w:t>eo chuẩn mực IAS 38 và được</w:t>
      </w:r>
      <w:r w:rsidRPr="00010F83">
        <w:rPr>
          <w:rFonts w:ascii="Arial" w:hAnsi="Arial" w:cs="Arial"/>
          <w:spacing w:val="-2"/>
          <w:sz w:val="22"/>
          <w:szCs w:val="22"/>
          <w:lang w:val="nl-NL"/>
        </w:rPr>
        <w:t xml:space="preserve"> khấu hao </w:t>
      </w:r>
      <w:r w:rsidR="00590053" w:rsidRPr="00010F83">
        <w:rPr>
          <w:rFonts w:ascii="Arial" w:hAnsi="Arial" w:cs="Arial"/>
          <w:spacing w:val="-2"/>
          <w:sz w:val="22"/>
          <w:szCs w:val="22"/>
          <w:lang w:val="nl-NL"/>
        </w:rPr>
        <w:t xml:space="preserve">dần </w:t>
      </w:r>
      <w:r w:rsidRPr="00010F83">
        <w:rPr>
          <w:rFonts w:ascii="Arial" w:hAnsi="Arial" w:cs="Arial"/>
          <w:spacing w:val="-2"/>
          <w:sz w:val="22"/>
          <w:szCs w:val="22"/>
          <w:lang w:val="nl-NL"/>
        </w:rPr>
        <w:t xml:space="preserve">vào </w:t>
      </w:r>
      <w:r w:rsidR="00F62F03" w:rsidRPr="00010F83">
        <w:rPr>
          <w:rFonts w:ascii="Arial" w:hAnsi="Arial" w:cs="Arial"/>
          <w:spacing w:val="-2"/>
          <w:sz w:val="22"/>
          <w:szCs w:val="22"/>
          <w:lang w:val="nl-NL"/>
        </w:rPr>
        <w:t>Báo cáo kết quả hoạt động kinh doanh</w:t>
      </w:r>
      <w:r w:rsidR="00F62F03" w:rsidRPr="00010F83" w:rsidDel="00F62F03">
        <w:rPr>
          <w:rFonts w:ascii="Arial" w:hAnsi="Arial" w:cs="Arial"/>
          <w:spacing w:val="-2"/>
          <w:sz w:val="22"/>
          <w:szCs w:val="22"/>
          <w:lang w:val="nl-NL"/>
        </w:rPr>
        <w:t xml:space="preserve"> </w:t>
      </w:r>
      <w:r w:rsidR="00590053" w:rsidRPr="00010F83">
        <w:rPr>
          <w:rFonts w:ascii="Arial" w:hAnsi="Arial" w:cs="Arial"/>
          <w:spacing w:val="-2"/>
          <w:sz w:val="22"/>
          <w:szCs w:val="22"/>
          <w:lang w:val="nl-NL"/>
        </w:rPr>
        <w:t xml:space="preserve">theo kế toán, nhưng </w:t>
      </w:r>
      <w:r w:rsidRPr="00010F83">
        <w:rPr>
          <w:rFonts w:ascii="Arial" w:hAnsi="Arial" w:cs="Arial"/>
          <w:spacing w:val="-2"/>
          <w:sz w:val="22"/>
          <w:szCs w:val="22"/>
          <w:lang w:val="nl-NL"/>
        </w:rPr>
        <w:t>được khấu trừ thuế khi phát sinh.</w:t>
      </w:r>
    </w:p>
    <w:p w:rsidR="00331554" w:rsidRPr="00010F83" w:rsidRDefault="00331554" w:rsidP="00590853">
      <w:pPr>
        <w:pStyle w:val="BodyTextIndent"/>
        <w:spacing w:before="0" w:after="120" w:line="240" w:lineRule="auto"/>
        <w:ind w:left="720" w:hanging="720"/>
        <w:rPr>
          <w:rFonts w:ascii="Arial" w:hAnsi="Arial" w:cs="Arial"/>
          <w:b/>
          <w:sz w:val="22"/>
          <w:szCs w:val="22"/>
          <w:lang w:val="nl-NL"/>
        </w:rPr>
      </w:pPr>
      <w:r w:rsidRPr="00010F83">
        <w:rPr>
          <w:rFonts w:ascii="Arial" w:hAnsi="Arial" w:cs="Arial"/>
          <w:sz w:val="22"/>
          <w:szCs w:val="22"/>
          <w:lang w:val="nl-NL"/>
        </w:rPr>
        <w:t>60</w:t>
      </w:r>
      <w:r w:rsidRPr="00010F83">
        <w:rPr>
          <w:rFonts w:ascii="Arial" w:hAnsi="Arial" w:cs="Arial"/>
          <w:sz w:val="22"/>
          <w:szCs w:val="22"/>
          <w:lang w:val="nl-NL"/>
        </w:rPr>
        <w:tab/>
        <w:t xml:space="preserve">Giá trị ghi sổ của </w:t>
      </w:r>
      <w:r w:rsidR="006805F0" w:rsidRPr="00010F83">
        <w:rPr>
          <w:rFonts w:ascii="Arial" w:hAnsi="Arial" w:cs="Arial"/>
          <w:sz w:val="22"/>
          <w:szCs w:val="22"/>
          <w:lang w:val="nl-NL"/>
        </w:rPr>
        <w:t xml:space="preserve">tài sản </w:t>
      </w:r>
      <w:r w:rsidR="00731917" w:rsidRPr="00010F83">
        <w:rPr>
          <w:rFonts w:ascii="Arial" w:hAnsi="Arial" w:cs="Arial"/>
          <w:sz w:val="22"/>
          <w:szCs w:val="22"/>
          <w:lang w:val="nl-NL"/>
        </w:rPr>
        <w:t>thuế TNDN</w:t>
      </w:r>
      <w:r w:rsidR="006805F0" w:rsidRPr="00010F83">
        <w:rPr>
          <w:rFonts w:ascii="Arial" w:hAnsi="Arial" w:cs="Arial"/>
          <w:sz w:val="22"/>
          <w:szCs w:val="22"/>
          <w:lang w:val="nl-NL"/>
        </w:rPr>
        <w:t xml:space="preserve"> hoãn lại</w:t>
      </w:r>
      <w:r w:rsidRPr="00010F83">
        <w:rPr>
          <w:rFonts w:ascii="Arial" w:hAnsi="Arial" w:cs="Arial"/>
          <w:sz w:val="22"/>
          <w:szCs w:val="22"/>
          <w:lang w:val="nl-NL"/>
        </w:rPr>
        <w:t xml:space="preserve"> và </w:t>
      </w:r>
      <w:r w:rsidR="00731917" w:rsidRPr="00010F83">
        <w:rPr>
          <w:rFonts w:ascii="Arial" w:hAnsi="Arial" w:cs="Arial"/>
          <w:sz w:val="22"/>
          <w:szCs w:val="22"/>
          <w:lang w:val="nl-NL"/>
        </w:rPr>
        <w:t>thuế TNDN</w:t>
      </w:r>
      <w:r w:rsidR="006805F0" w:rsidRPr="00010F83">
        <w:rPr>
          <w:rFonts w:ascii="Arial" w:hAnsi="Arial" w:cs="Arial"/>
          <w:sz w:val="22"/>
          <w:szCs w:val="22"/>
          <w:lang w:val="nl-NL"/>
        </w:rPr>
        <w:t xml:space="preserve"> hoãn lại phải trả</w:t>
      </w:r>
      <w:r w:rsidRPr="00010F83">
        <w:rPr>
          <w:rFonts w:ascii="Arial" w:hAnsi="Arial" w:cs="Arial"/>
          <w:sz w:val="22"/>
          <w:szCs w:val="22"/>
          <w:lang w:val="nl-NL"/>
        </w:rPr>
        <w:t xml:space="preserve"> có thể thay đổi </w:t>
      </w:r>
      <w:r w:rsidR="00ED5782" w:rsidRPr="00010F83">
        <w:rPr>
          <w:rFonts w:ascii="Arial" w:hAnsi="Arial" w:cs="Arial"/>
          <w:sz w:val="22"/>
          <w:szCs w:val="22"/>
          <w:lang w:val="nl-NL"/>
        </w:rPr>
        <w:t>ngay</w:t>
      </w:r>
      <w:r w:rsidRPr="00010F83">
        <w:rPr>
          <w:rFonts w:ascii="Arial" w:hAnsi="Arial" w:cs="Arial"/>
          <w:sz w:val="22"/>
          <w:szCs w:val="22"/>
          <w:lang w:val="nl-NL"/>
        </w:rPr>
        <w:t xml:space="preserve"> cả khi không có sự thay đổi giá trị của các chênh lệch tạm thời có liên quan. Điều này có thể bắt nguồn từ những trường hợp như</w:t>
      </w:r>
      <w:r w:rsidR="00B36011" w:rsidRPr="00010F83">
        <w:rPr>
          <w:rFonts w:ascii="Arial" w:hAnsi="Arial" w:cs="Arial"/>
          <w:b/>
          <w:sz w:val="22"/>
          <w:szCs w:val="22"/>
          <w:lang w:val="nl-NL"/>
        </w:rPr>
        <w:t>:</w:t>
      </w:r>
    </w:p>
    <w:p w:rsidR="00B36011" w:rsidRPr="00010F83" w:rsidRDefault="00331554" w:rsidP="00766B0E">
      <w:pPr>
        <w:pStyle w:val="ListParagraph"/>
        <w:numPr>
          <w:ilvl w:val="0"/>
          <w:numId w:val="29"/>
        </w:numPr>
        <w:autoSpaceDE w:val="0"/>
        <w:autoSpaceDN w:val="0"/>
        <w:adjustRightInd w:val="0"/>
        <w:spacing w:after="120"/>
        <w:jc w:val="both"/>
        <w:rPr>
          <w:rFonts w:ascii="Arial" w:hAnsi="Arial" w:cs="Arial"/>
          <w:bCs/>
          <w:sz w:val="22"/>
          <w:szCs w:val="22"/>
          <w:lang w:val="nl-NL"/>
        </w:rPr>
      </w:pPr>
      <w:r w:rsidRPr="00010F83">
        <w:rPr>
          <w:rFonts w:ascii="Arial" w:hAnsi="Arial" w:cs="Arial"/>
          <w:bCs/>
          <w:sz w:val="22"/>
          <w:szCs w:val="22"/>
          <w:lang w:val="nl-NL"/>
        </w:rPr>
        <w:t xml:space="preserve">Khi có thay đổi về thuế suất hoặc </w:t>
      </w:r>
      <w:r w:rsidR="00ED5782" w:rsidRPr="00010F83">
        <w:rPr>
          <w:rFonts w:ascii="Arial" w:hAnsi="Arial" w:cs="Arial"/>
          <w:bCs/>
          <w:sz w:val="22"/>
          <w:szCs w:val="22"/>
          <w:lang w:val="nl-NL"/>
        </w:rPr>
        <w:t>các qui định</w:t>
      </w:r>
      <w:r w:rsidRPr="00010F83">
        <w:rPr>
          <w:rFonts w:ascii="Arial" w:hAnsi="Arial" w:cs="Arial"/>
          <w:bCs/>
          <w:sz w:val="22"/>
          <w:szCs w:val="22"/>
          <w:lang w:val="nl-NL"/>
        </w:rPr>
        <w:t xml:space="preserve"> thuế;</w:t>
      </w:r>
    </w:p>
    <w:p w:rsidR="00B36011" w:rsidRPr="00010F83" w:rsidRDefault="00331554" w:rsidP="00766B0E">
      <w:pPr>
        <w:pStyle w:val="ListParagraph"/>
        <w:numPr>
          <w:ilvl w:val="0"/>
          <w:numId w:val="29"/>
        </w:numPr>
        <w:autoSpaceDE w:val="0"/>
        <w:autoSpaceDN w:val="0"/>
        <w:adjustRightInd w:val="0"/>
        <w:spacing w:after="120"/>
        <w:jc w:val="both"/>
        <w:rPr>
          <w:rFonts w:ascii="Arial" w:hAnsi="Arial" w:cs="Arial"/>
          <w:bCs/>
          <w:sz w:val="22"/>
          <w:szCs w:val="22"/>
          <w:lang w:val="nl-NL"/>
        </w:rPr>
      </w:pPr>
      <w:r w:rsidRPr="00010F83">
        <w:rPr>
          <w:rFonts w:ascii="Arial" w:hAnsi="Arial" w:cs="Arial"/>
          <w:bCs/>
          <w:sz w:val="22"/>
          <w:szCs w:val="22"/>
          <w:lang w:val="nl-NL"/>
        </w:rPr>
        <w:t xml:space="preserve">Khi đánh giá lại khả năng thu hồi của </w:t>
      </w:r>
      <w:r w:rsidR="006805F0" w:rsidRPr="00010F83">
        <w:rPr>
          <w:rFonts w:ascii="Arial" w:hAnsi="Arial" w:cs="Arial"/>
          <w:bCs/>
          <w:sz w:val="22"/>
          <w:szCs w:val="22"/>
          <w:lang w:val="nl-NL"/>
        </w:rPr>
        <w:t xml:space="preserve">tài sản </w:t>
      </w:r>
      <w:r w:rsidR="00731917" w:rsidRPr="00010F83">
        <w:rPr>
          <w:rFonts w:ascii="Arial" w:hAnsi="Arial" w:cs="Arial"/>
          <w:bCs/>
          <w:sz w:val="22"/>
          <w:szCs w:val="22"/>
          <w:lang w:val="nl-NL"/>
        </w:rPr>
        <w:t>thuế TNDN</w:t>
      </w:r>
      <w:r w:rsidR="006805F0" w:rsidRPr="00010F83">
        <w:rPr>
          <w:rFonts w:ascii="Arial" w:hAnsi="Arial" w:cs="Arial"/>
          <w:bCs/>
          <w:sz w:val="22"/>
          <w:szCs w:val="22"/>
          <w:lang w:val="nl-NL"/>
        </w:rPr>
        <w:t xml:space="preserve"> hoãn lại</w:t>
      </w:r>
      <w:r w:rsidRPr="00010F83">
        <w:rPr>
          <w:rFonts w:ascii="Arial" w:hAnsi="Arial" w:cs="Arial"/>
          <w:bCs/>
          <w:sz w:val="22"/>
          <w:szCs w:val="22"/>
          <w:lang w:val="nl-NL"/>
        </w:rPr>
        <w:t>; hoặc</w:t>
      </w:r>
    </w:p>
    <w:p w:rsidR="00331554" w:rsidRPr="00010F83" w:rsidRDefault="00331554" w:rsidP="00766B0E">
      <w:pPr>
        <w:pStyle w:val="ListParagraph"/>
        <w:numPr>
          <w:ilvl w:val="0"/>
          <w:numId w:val="29"/>
        </w:numPr>
        <w:autoSpaceDE w:val="0"/>
        <w:autoSpaceDN w:val="0"/>
        <w:adjustRightInd w:val="0"/>
        <w:spacing w:after="120"/>
        <w:jc w:val="both"/>
        <w:rPr>
          <w:rFonts w:ascii="Arial" w:hAnsi="Arial" w:cs="Arial"/>
          <w:bCs/>
          <w:sz w:val="22"/>
          <w:szCs w:val="22"/>
          <w:lang w:val="nl-NL"/>
        </w:rPr>
      </w:pPr>
      <w:r w:rsidRPr="00010F83">
        <w:rPr>
          <w:rFonts w:ascii="Arial" w:hAnsi="Arial" w:cs="Arial"/>
          <w:bCs/>
          <w:sz w:val="22"/>
          <w:szCs w:val="22"/>
          <w:lang w:val="nl-NL"/>
        </w:rPr>
        <w:t>Khi thay đổi cách thức thu hồi giá trị tài sản.</w:t>
      </w:r>
      <w:r w:rsidRPr="00010F83">
        <w:rPr>
          <w:rFonts w:ascii="Arial" w:hAnsi="Arial" w:cs="Arial"/>
          <w:bCs/>
          <w:sz w:val="22"/>
          <w:szCs w:val="22"/>
          <w:lang w:val="nl-NL"/>
        </w:rPr>
        <w:tab/>
      </w:r>
    </w:p>
    <w:p w:rsidR="00766B0E" w:rsidRPr="00010F83" w:rsidRDefault="00766B0E">
      <w:pPr>
        <w:rPr>
          <w:rFonts w:ascii="Arial" w:eastAsia="Times New Roman" w:hAnsi="Arial" w:cs="Arial"/>
          <w:lang w:val="nl-NL"/>
        </w:rPr>
      </w:pPr>
      <w:r w:rsidRPr="00010F83">
        <w:rPr>
          <w:rFonts w:ascii="Arial" w:hAnsi="Arial" w:cs="Arial"/>
          <w:lang w:val="nl-NL"/>
        </w:rPr>
        <w:br w:type="page"/>
      </w:r>
    </w:p>
    <w:p w:rsidR="00331554" w:rsidRPr="00010F83" w:rsidRDefault="00F62F03" w:rsidP="00766B0E">
      <w:pPr>
        <w:pStyle w:val="BodyTextIndent"/>
        <w:spacing w:before="0" w:after="120" w:line="240" w:lineRule="auto"/>
        <w:ind w:left="720" w:firstLine="0"/>
        <w:rPr>
          <w:rFonts w:ascii="Arial" w:hAnsi="Arial" w:cs="Arial"/>
          <w:sz w:val="22"/>
          <w:szCs w:val="22"/>
          <w:lang w:val="nl-NL"/>
        </w:rPr>
      </w:pPr>
      <w:r w:rsidRPr="00010F83">
        <w:rPr>
          <w:rFonts w:ascii="Arial" w:hAnsi="Arial" w:cs="Arial"/>
          <w:sz w:val="22"/>
          <w:szCs w:val="22"/>
          <w:lang w:val="nl-NL"/>
        </w:rPr>
        <w:t xml:space="preserve">Thay đổi giá trị thuế hoãn lại phát sinh được ghi nhận trong báo cáo kết quả kinh doanh, ngoại trừ trường hợp thay đổi liên quan đến các khoản mục trước đây đã được ghi ngoài Báo cáo kết quả hoạt động kinh doanh </w:t>
      </w:r>
      <w:r w:rsidR="00331554" w:rsidRPr="00010F83">
        <w:rPr>
          <w:rFonts w:ascii="Arial" w:hAnsi="Arial" w:cs="Arial"/>
          <w:sz w:val="22"/>
          <w:szCs w:val="22"/>
          <w:lang w:val="nl-NL"/>
        </w:rPr>
        <w:t>(xem đoạn 63).</w:t>
      </w:r>
    </w:p>
    <w:p w:rsidR="007A37D8" w:rsidRPr="00010F83" w:rsidRDefault="007A37D8" w:rsidP="00D0324E">
      <w:pPr>
        <w:pStyle w:val="BodyTextIndent"/>
        <w:spacing w:before="0" w:after="120" w:line="240" w:lineRule="auto"/>
        <w:ind w:left="720" w:firstLine="0"/>
        <w:rPr>
          <w:rFonts w:ascii="Arial" w:hAnsi="Arial" w:cs="Arial"/>
          <w:b/>
          <w:bCs/>
          <w:sz w:val="22"/>
          <w:szCs w:val="22"/>
          <w:lang w:val="nl-NL"/>
        </w:rPr>
      </w:pPr>
      <w:r w:rsidRPr="00010F83">
        <w:rPr>
          <w:rFonts w:ascii="Arial" w:hAnsi="Arial" w:cs="Arial"/>
          <w:b/>
          <w:bCs/>
          <w:sz w:val="22"/>
          <w:szCs w:val="22"/>
          <w:lang w:val="nl-NL"/>
        </w:rPr>
        <w:t xml:space="preserve">Các khoản mục ghi ngoài </w:t>
      </w:r>
      <w:r w:rsidR="00F62F03" w:rsidRPr="00010F83">
        <w:rPr>
          <w:rFonts w:ascii="Arial" w:hAnsi="Arial" w:cs="Arial"/>
          <w:b/>
          <w:bCs/>
          <w:sz w:val="22"/>
          <w:szCs w:val="22"/>
          <w:lang w:val="nl-NL"/>
        </w:rPr>
        <w:t>Báo cáo kết quả hoạt động kinh doanh</w:t>
      </w:r>
    </w:p>
    <w:p w:rsidR="00A16DC3" w:rsidRPr="00010F83" w:rsidRDefault="007A37D8" w:rsidP="00590853">
      <w:pPr>
        <w:shd w:val="clear" w:color="auto" w:fill="FFFFFF" w:themeFill="background1"/>
        <w:spacing w:after="120" w:line="240" w:lineRule="auto"/>
        <w:jc w:val="both"/>
        <w:rPr>
          <w:rFonts w:ascii="Arial" w:hAnsi="Arial" w:cs="Arial"/>
        </w:rPr>
      </w:pPr>
      <w:r w:rsidRPr="00010F83">
        <w:rPr>
          <w:rFonts w:ascii="Arial" w:hAnsi="Arial" w:cs="Arial"/>
        </w:rPr>
        <w:t>61</w:t>
      </w:r>
      <w:r w:rsidRPr="00010F83">
        <w:rPr>
          <w:rFonts w:ascii="Arial" w:hAnsi="Arial" w:cs="Arial"/>
        </w:rPr>
        <w:tab/>
      </w:r>
      <w:r w:rsidR="00ED5782" w:rsidRPr="00010F83">
        <w:rPr>
          <w:rFonts w:ascii="Arial" w:hAnsi="Arial" w:cs="Arial"/>
        </w:rPr>
        <w:t>[</w:t>
      </w:r>
      <w:r w:rsidR="00B36011" w:rsidRPr="00010F83">
        <w:rPr>
          <w:rFonts w:ascii="Arial" w:hAnsi="Arial" w:cs="Arial"/>
        </w:rPr>
        <w:t>Bỏ đoạn này</w:t>
      </w:r>
      <w:r w:rsidR="00ED5782" w:rsidRPr="00010F83">
        <w:rPr>
          <w:rFonts w:ascii="Arial" w:hAnsi="Arial" w:cs="Arial"/>
        </w:rPr>
        <w:t>]</w:t>
      </w:r>
    </w:p>
    <w:p w:rsidR="007A37D8" w:rsidRPr="00010F83" w:rsidRDefault="007A37D8" w:rsidP="00590853">
      <w:pPr>
        <w:pStyle w:val="BodyTextIndent"/>
        <w:spacing w:before="0" w:after="120" w:line="240" w:lineRule="auto"/>
        <w:ind w:left="720" w:hanging="720"/>
        <w:rPr>
          <w:rFonts w:ascii="Arial" w:hAnsi="Arial" w:cs="Arial"/>
          <w:spacing w:val="-2"/>
          <w:sz w:val="22"/>
          <w:szCs w:val="22"/>
          <w:lang w:val="nl-NL"/>
        </w:rPr>
      </w:pPr>
      <w:r w:rsidRPr="00010F83">
        <w:rPr>
          <w:rFonts w:ascii="Arial" w:hAnsi="Arial" w:cs="Arial"/>
          <w:sz w:val="22"/>
          <w:szCs w:val="22"/>
        </w:rPr>
        <w:t>61A</w:t>
      </w:r>
      <w:r w:rsidRPr="00010F83">
        <w:rPr>
          <w:rFonts w:ascii="Arial" w:hAnsi="Arial" w:cs="Arial"/>
          <w:sz w:val="22"/>
          <w:szCs w:val="22"/>
        </w:rPr>
        <w:tab/>
      </w:r>
      <w:r w:rsidRPr="00010F83">
        <w:rPr>
          <w:rFonts w:ascii="Arial" w:hAnsi="Arial" w:cs="Arial"/>
          <w:spacing w:val="-2"/>
          <w:sz w:val="22"/>
          <w:szCs w:val="22"/>
          <w:lang w:val="nl-NL"/>
        </w:rPr>
        <w:t xml:space="preserve">Thuế hiện hành và thuế hoãn lại phải được ghi nhận ngoài </w:t>
      </w:r>
      <w:r w:rsidR="00F62F03" w:rsidRPr="00010F83">
        <w:rPr>
          <w:rFonts w:ascii="Arial" w:hAnsi="Arial" w:cs="Arial"/>
          <w:sz w:val="22"/>
          <w:szCs w:val="22"/>
          <w:lang w:val="nl-NL"/>
        </w:rPr>
        <w:t xml:space="preserve">Báo cáo kết quả hoạt động kinh doanh </w:t>
      </w:r>
      <w:r w:rsidRPr="00010F83">
        <w:rPr>
          <w:rFonts w:ascii="Arial" w:hAnsi="Arial" w:cs="Arial"/>
          <w:spacing w:val="-2"/>
          <w:sz w:val="22"/>
          <w:szCs w:val="22"/>
          <w:lang w:val="nl-NL"/>
        </w:rPr>
        <w:t xml:space="preserve">nếu khoản thuế đó có liên quan đến các khoản mục được ghi nhận ngoài </w:t>
      </w:r>
      <w:r w:rsidR="007B64CF" w:rsidRPr="00010F83">
        <w:rPr>
          <w:rFonts w:ascii="Arial" w:hAnsi="Arial" w:cs="Arial"/>
          <w:spacing w:val="-2"/>
          <w:sz w:val="22"/>
          <w:szCs w:val="22"/>
          <w:lang w:val="nl-NL"/>
        </w:rPr>
        <w:t>Báo cáo kết quả hoạt động kinh doanh</w:t>
      </w:r>
      <w:r w:rsidR="00F62F03" w:rsidRPr="00010F83">
        <w:rPr>
          <w:rFonts w:ascii="Arial" w:hAnsi="Arial" w:cs="Arial"/>
          <w:b/>
          <w:spacing w:val="-2"/>
          <w:sz w:val="22"/>
          <w:szCs w:val="22"/>
          <w:lang w:val="nl-NL"/>
        </w:rPr>
        <w:t xml:space="preserve"> </w:t>
      </w:r>
      <w:r w:rsidR="001F757E" w:rsidRPr="00010F83">
        <w:rPr>
          <w:rFonts w:ascii="Arial" w:hAnsi="Arial" w:cs="Arial"/>
          <w:spacing w:val="-2"/>
          <w:sz w:val="22"/>
          <w:szCs w:val="22"/>
          <w:lang w:val="nl-NL"/>
        </w:rPr>
        <w:t xml:space="preserve">trong cùng </w:t>
      </w:r>
      <w:r w:rsidRPr="00010F83">
        <w:rPr>
          <w:rFonts w:ascii="Arial" w:hAnsi="Arial" w:cs="Arial"/>
          <w:spacing w:val="-2"/>
          <w:sz w:val="22"/>
          <w:szCs w:val="22"/>
          <w:lang w:val="nl-NL"/>
        </w:rPr>
        <w:t xml:space="preserve">kỳ hay </w:t>
      </w:r>
      <w:r w:rsidR="001F757E" w:rsidRPr="00010F83">
        <w:rPr>
          <w:rFonts w:ascii="Arial" w:hAnsi="Arial" w:cs="Arial"/>
          <w:spacing w:val="-2"/>
          <w:sz w:val="22"/>
          <w:szCs w:val="22"/>
          <w:lang w:val="nl-NL"/>
        </w:rPr>
        <w:t>khác kỳ</w:t>
      </w:r>
      <w:r w:rsidRPr="00010F83">
        <w:rPr>
          <w:rFonts w:ascii="Arial" w:hAnsi="Arial" w:cs="Arial"/>
          <w:spacing w:val="-2"/>
          <w:sz w:val="22"/>
          <w:szCs w:val="22"/>
          <w:lang w:val="nl-NL"/>
        </w:rPr>
        <w:t>. Vì thế, thuế hiện hành và thuế hoãn lại liên quan đến các khoản mục đã được ghi nhận n</w:t>
      </w:r>
      <w:r w:rsidR="001F757E" w:rsidRPr="00010F83">
        <w:rPr>
          <w:rFonts w:ascii="Arial" w:hAnsi="Arial" w:cs="Arial"/>
          <w:spacing w:val="-2"/>
          <w:sz w:val="22"/>
          <w:szCs w:val="22"/>
          <w:lang w:val="nl-NL"/>
        </w:rPr>
        <w:t xml:space="preserve">goài </w:t>
      </w:r>
      <w:r w:rsidR="00F62F03" w:rsidRPr="00010F83">
        <w:rPr>
          <w:rFonts w:ascii="Arial" w:hAnsi="Arial" w:cs="Arial"/>
          <w:spacing w:val="-2"/>
          <w:sz w:val="22"/>
          <w:szCs w:val="22"/>
          <w:lang w:val="nl-NL"/>
        </w:rPr>
        <w:t>Báo cáo kết quả hoạt động kinh doanh</w:t>
      </w:r>
      <w:r w:rsidR="001F757E" w:rsidRPr="00010F83">
        <w:rPr>
          <w:rFonts w:ascii="Arial" w:hAnsi="Arial" w:cs="Arial"/>
          <w:spacing w:val="-2"/>
          <w:sz w:val="22"/>
          <w:szCs w:val="22"/>
          <w:lang w:val="nl-NL"/>
        </w:rPr>
        <w:t xml:space="preserve">, trong cùng </w:t>
      </w:r>
      <w:r w:rsidRPr="00010F83">
        <w:rPr>
          <w:rFonts w:ascii="Arial" w:hAnsi="Arial" w:cs="Arial"/>
          <w:spacing w:val="-2"/>
          <w:sz w:val="22"/>
          <w:szCs w:val="22"/>
          <w:lang w:val="nl-NL"/>
        </w:rPr>
        <w:t xml:space="preserve">kỳ hay </w:t>
      </w:r>
      <w:r w:rsidR="001F757E" w:rsidRPr="00010F83">
        <w:rPr>
          <w:rFonts w:ascii="Arial" w:hAnsi="Arial" w:cs="Arial"/>
          <w:spacing w:val="-2"/>
          <w:sz w:val="22"/>
          <w:szCs w:val="22"/>
          <w:lang w:val="nl-NL"/>
        </w:rPr>
        <w:t>khác kỳ</w:t>
      </w:r>
      <w:r w:rsidRPr="00010F83">
        <w:rPr>
          <w:rFonts w:ascii="Arial" w:hAnsi="Arial" w:cs="Arial"/>
          <w:spacing w:val="-2"/>
          <w:sz w:val="22"/>
          <w:szCs w:val="22"/>
          <w:lang w:val="nl-NL"/>
        </w:rPr>
        <w:t xml:space="preserve">, được ghi nhận như sau: </w:t>
      </w:r>
    </w:p>
    <w:p w:rsidR="00B36011" w:rsidRPr="00010F83" w:rsidRDefault="007A37D8" w:rsidP="00766B0E">
      <w:pPr>
        <w:pStyle w:val="ListParagraph"/>
        <w:numPr>
          <w:ilvl w:val="0"/>
          <w:numId w:val="30"/>
        </w:numPr>
        <w:autoSpaceDE w:val="0"/>
        <w:autoSpaceDN w:val="0"/>
        <w:adjustRightInd w:val="0"/>
        <w:spacing w:after="120"/>
        <w:jc w:val="both"/>
        <w:rPr>
          <w:rFonts w:ascii="Arial" w:hAnsi="Arial" w:cs="Arial"/>
          <w:bCs/>
          <w:sz w:val="22"/>
          <w:szCs w:val="22"/>
          <w:lang w:val="nl-NL"/>
        </w:rPr>
      </w:pPr>
      <w:r w:rsidRPr="00010F83">
        <w:rPr>
          <w:rFonts w:ascii="Arial" w:hAnsi="Arial" w:cs="Arial"/>
          <w:bCs/>
          <w:sz w:val="22"/>
          <w:szCs w:val="22"/>
          <w:lang w:val="nl-NL"/>
        </w:rPr>
        <w:t>thuế hiện hành và thuế hoãn lại liên quan đến các khoản mục được ghi nhận vào báo cáo thu nhập toàn diện khác phải được ghi thẳng vào báo cáo thu nhập toàn diện khác (xem đoạn 62).</w:t>
      </w:r>
    </w:p>
    <w:p w:rsidR="007A37D8" w:rsidRPr="00010F83" w:rsidRDefault="007A37D8" w:rsidP="00766B0E">
      <w:pPr>
        <w:pStyle w:val="ListParagraph"/>
        <w:numPr>
          <w:ilvl w:val="0"/>
          <w:numId w:val="30"/>
        </w:numPr>
        <w:autoSpaceDE w:val="0"/>
        <w:autoSpaceDN w:val="0"/>
        <w:adjustRightInd w:val="0"/>
        <w:spacing w:after="120"/>
        <w:jc w:val="both"/>
        <w:rPr>
          <w:rFonts w:ascii="Arial" w:hAnsi="Arial" w:cs="Arial"/>
          <w:bCs/>
          <w:sz w:val="22"/>
          <w:szCs w:val="22"/>
          <w:lang w:val="nl-NL"/>
        </w:rPr>
      </w:pPr>
      <w:r w:rsidRPr="00010F83">
        <w:rPr>
          <w:rFonts w:ascii="Arial" w:hAnsi="Arial" w:cs="Arial"/>
          <w:bCs/>
          <w:sz w:val="22"/>
          <w:szCs w:val="22"/>
          <w:lang w:val="nl-NL"/>
        </w:rPr>
        <w:t>thuế hiện hành và thuế hoãn lại có liên quan đến các khoản mục được ghi nhận trực tiếp vào vốn chủ</w:t>
      </w:r>
      <w:r w:rsidRPr="00010F83">
        <w:rPr>
          <w:rFonts w:ascii="Arial" w:hAnsi="Arial" w:cs="Arial"/>
          <w:bCs/>
          <w:i/>
          <w:sz w:val="22"/>
          <w:szCs w:val="22"/>
          <w:lang w:val="nl-NL"/>
        </w:rPr>
        <w:t xml:space="preserve"> </w:t>
      </w:r>
      <w:r w:rsidRPr="00010F83">
        <w:rPr>
          <w:rFonts w:ascii="Arial" w:hAnsi="Arial" w:cs="Arial"/>
          <w:bCs/>
          <w:sz w:val="22"/>
          <w:szCs w:val="22"/>
          <w:lang w:val="nl-NL"/>
        </w:rPr>
        <w:t>sở hữu phải được ghi nhận trực tiếp vào vốn chủ sở hữu (xem đoạn 62A).</w:t>
      </w:r>
    </w:p>
    <w:p w:rsidR="00D46D73" w:rsidRPr="00010F83" w:rsidRDefault="00D46D73" w:rsidP="00590853">
      <w:pPr>
        <w:pStyle w:val="BodyTextIndent"/>
        <w:spacing w:before="0" w:after="120" w:line="240" w:lineRule="auto"/>
        <w:ind w:left="720" w:hanging="720"/>
        <w:rPr>
          <w:rFonts w:ascii="Arial" w:hAnsi="Arial" w:cs="Arial"/>
          <w:sz w:val="22"/>
          <w:szCs w:val="22"/>
          <w:lang w:val="nl-NL"/>
        </w:rPr>
      </w:pPr>
      <w:r w:rsidRPr="00010F83">
        <w:rPr>
          <w:rFonts w:ascii="Arial" w:hAnsi="Arial" w:cs="Arial"/>
          <w:sz w:val="22"/>
          <w:szCs w:val="22"/>
          <w:lang w:val="nl-NL"/>
        </w:rPr>
        <w:t>62</w:t>
      </w:r>
      <w:r w:rsidRPr="00010F83">
        <w:rPr>
          <w:rFonts w:ascii="Arial" w:hAnsi="Arial" w:cs="Arial"/>
          <w:sz w:val="22"/>
          <w:szCs w:val="22"/>
          <w:lang w:val="nl-NL"/>
        </w:rPr>
        <w:tab/>
        <w:t>C</w:t>
      </w:r>
      <w:r w:rsidR="001F757E" w:rsidRPr="00010F83">
        <w:rPr>
          <w:rFonts w:ascii="Arial" w:hAnsi="Arial" w:cs="Arial"/>
          <w:sz w:val="22"/>
          <w:szCs w:val="22"/>
          <w:lang w:val="nl-NL"/>
        </w:rPr>
        <w:t>ác C</w:t>
      </w:r>
      <w:r w:rsidRPr="00010F83">
        <w:rPr>
          <w:rFonts w:ascii="Arial" w:hAnsi="Arial" w:cs="Arial"/>
          <w:sz w:val="22"/>
          <w:szCs w:val="22"/>
          <w:lang w:val="nl-NL"/>
        </w:rPr>
        <w:t>huẩn mực kế toán Quốc tế yêu cầu hoặc cho phép một số khoản mục được ghi thẳng vào báo cáo thu nhập toàn diện khác, như:</w:t>
      </w:r>
    </w:p>
    <w:p w:rsidR="00B36011" w:rsidRPr="00010F83" w:rsidRDefault="00D46D73" w:rsidP="00F62F03">
      <w:pPr>
        <w:pStyle w:val="ListParagraph"/>
        <w:numPr>
          <w:ilvl w:val="0"/>
          <w:numId w:val="31"/>
        </w:numPr>
        <w:autoSpaceDE w:val="0"/>
        <w:autoSpaceDN w:val="0"/>
        <w:adjustRightInd w:val="0"/>
        <w:spacing w:after="120"/>
        <w:jc w:val="both"/>
        <w:rPr>
          <w:rFonts w:ascii="Arial" w:hAnsi="Arial" w:cs="Arial"/>
          <w:bCs/>
          <w:sz w:val="22"/>
          <w:szCs w:val="22"/>
          <w:lang w:val="nl-NL"/>
        </w:rPr>
      </w:pPr>
      <w:r w:rsidRPr="00010F83">
        <w:rPr>
          <w:rFonts w:ascii="Arial" w:hAnsi="Arial" w:cs="Arial"/>
          <w:bCs/>
          <w:sz w:val="22"/>
          <w:szCs w:val="22"/>
          <w:lang w:val="nl-NL"/>
        </w:rPr>
        <w:t xml:space="preserve">Thay đổi giá trị ghi sổ từ việc đánh giá lại </w:t>
      </w:r>
      <w:r w:rsidR="00F62F03" w:rsidRPr="00010F83">
        <w:rPr>
          <w:rFonts w:ascii="Arial" w:hAnsi="Arial" w:cs="Arial"/>
          <w:bCs/>
          <w:sz w:val="22"/>
          <w:szCs w:val="22"/>
          <w:lang w:val="nl-NL"/>
        </w:rPr>
        <w:t xml:space="preserve">bất động sản, nhà xưởng và thiết bị </w:t>
      </w:r>
      <w:r w:rsidRPr="00010F83">
        <w:rPr>
          <w:rFonts w:ascii="Arial" w:hAnsi="Arial" w:cs="Arial"/>
          <w:bCs/>
          <w:sz w:val="22"/>
          <w:szCs w:val="22"/>
          <w:lang w:val="nl-NL"/>
        </w:rPr>
        <w:t>(IAS16); và</w:t>
      </w:r>
    </w:p>
    <w:p w:rsidR="00B36011" w:rsidRPr="00010F83" w:rsidRDefault="001F757E" w:rsidP="00766B0E">
      <w:pPr>
        <w:pStyle w:val="ListParagraph"/>
        <w:numPr>
          <w:ilvl w:val="0"/>
          <w:numId w:val="31"/>
        </w:numPr>
        <w:autoSpaceDE w:val="0"/>
        <w:autoSpaceDN w:val="0"/>
        <w:adjustRightInd w:val="0"/>
        <w:spacing w:after="120"/>
        <w:jc w:val="both"/>
        <w:rPr>
          <w:rFonts w:ascii="Arial" w:hAnsi="Arial" w:cs="Arial"/>
          <w:bCs/>
          <w:sz w:val="22"/>
          <w:szCs w:val="22"/>
          <w:lang w:val="nl-NL"/>
        </w:rPr>
      </w:pPr>
      <w:r w:rsidRPr="00010F83">
        <w:rPr>
          <w:rFonts w:ascii="Arial" w:hAnsi="Arial" w:cs="Arial"/>
          <w:bCs/>
          <w:sz w:val="22"/>
          <w:szCs w:val="22"/>
          <w:lang w:val="nl-NL"/>
        </w:rPr>
        <w:t>[</w:t>
      </w:r>
      <w:r w:rsidR="00B36011" w:rsidRPr="00010F83">
        <w:rPr>
          <w:rFonts w:ascii="Arial" w:hAnsi="Arial" w:cs="Arial"/>
          <w:bCs/>
          <w:sz w:val="22"/>
          <w:szCs w:val="22"/>
          <w:lang w:val="nl-NL"/>
        </w:rPr>
        <w:t>Bỏ đoạn này</w:t>
      </w:r>
      <w:r w:rsidRPr="00010F83">
        <w:rPr>
          <w:rFonts w:ascii="Arial" w:hAnsi="Arial" w:cs="Arial"/>
          <w:bCs/>
          <w:sz w:val="22"/>
          <w:szCs w:val="22"/>
          <w:lang w:val="nl-NL"/>
        </w:rPr>
        <w:t>]</w:t>
      </w:r>
    </w:p>
    <w:p w:rsidR="00B36011" w:rsidRPr="00010F83" w:rsidRDefault="00D46D73" w:rsidP="00766B0E">
      <w:pPr>
        <w:pStyle w:val="ListParagraph"/>
        <w:numPr>
          <w:ilvl w:val="0"/>
          <w:numId w:val="31"/>
        </w:numPr>
        <w:autoSpaceDE w:val="0"/>
        <w:autoSpaceDN w:val="0"/>
        <w:adjustRightInd w:val="0"/>
        <w:spacing w:after="120"/>
        <w:jc w:val="both"/>
        <w:rPr>
          <w:rFonts w:ascii="Arial" w:hAnsi="Arial" w:cs="Arial"/>
          <w:bCs/>
          <w:sz w:val="22"/>
          <w:szCs w:val="22"/>
          <w:lang w:val="nl-NL"/>
        </w:rPr>
      </w:pPr>
      <w:r w:rsidRPr="00010F83">
        <w:rPr>
          <w:rFonts w:ascii="Arial" w:hAnsi="Arial" w:cs="Arial"/>
          <w:bCs/>
          <w:sz w:val="22"/>
          <w:szCs w:val="22"/>
          <w:lang w:val="nl-NL"/>
        </w:rPr>
        <w:t xml:space="preserve">Chênh lệch tỷ giá do </w:t>
      </w:r>
      <w:r w:rsidR="00620924" w:rsidRPr="00010F83">
        <w:rPr>
          <w:rFonts w:ascii="Arial" w:hAnsi="Arial" w:cs="Arial"/>
          <w:bCs/>
          <w:sz w:val="22"/>
          <w:szCs w:val="22"/>
          <w:lang w:val="nl-NL"/>
        </w:rPr>
        <w:t>qui</w:t>
      </w:r>
      <w:r w:rsidRPr="00010F83">
        <w:rPr>
          <w:rFonts w:ascii="Arial" w:hAnsi="Arial" w:cs="Arial"/>
          <w:bCs/>
          <w:sz w:val="22"/>
          <w:szCs w:val="22"/>
          <w:lang w:val="nl-NL"/>
        </w:rPr>
        <w:t xml:space="preserve"> đổi báo cáo tài chính của </w:t>
      </w:r>
      <w:r w:rsidR="00F62F03" w:rsidRPr="00010F83">
        <w:rPr>
          <w:rFonts w:ascii="Arial" w:hAnsi="Arial" w:cs="Arial"/>
          <w:bCs/>
          <w:sz w:val="22"/>
          <w:szCs w:val="22"/>
          <w:lang w:val="nl-NL"/>
        </w:rPr>
        <w:t xml:space="preserve">đơn vị </w:t>
      </w:r>
      <w:r w:rsidRPr="00010F83">
        <w:rPr>
          <w:rFonts w:ascii="Arial" w:hAnsi="Arial" w:cs="Arial"/>
          <w:bCs/>
          <w:sz w:val="22"/>
          <w:szCs w:val="22"/>
          <w:lang w:val="nl-NL"/>
        </w:rPr>
        <w:t>hoạt động ở nước ngoài (IAS 21)</w:t>
      </w:r>
    </w:p>
    <w:p w:rsidR="005F20BE" w:rsidRPr="00010F83" w:rsidRDefault="001F757E" w:rsidP="00766B0E">
      <w:pPr>
        <w:pStyle w:val="ListParagraph"/>
        <w:numPr>
          <w:ilvl w:val="0"/>
          <w:numId w:val="31"/>
        </w:numPr>
        <w:autoSpaceDE w:val="0"/>
        <w:autoSpaceDN w:val="0"/>
        <w:adjustRightInd w:val="0"/>
        <w:spacing w:after="120"/>
        <w:jc w:val="both"/>
        <w:rPr>
          <w:rFonts w:ascii="Arial" w:hAnsi="Arial" w:cs="Arial"/>
          <w:bCs/>
          <w:sz w:val="22"/>
          <w:szCs w:val="22"/>
          <w:lang w:val="nl-NL"/>
        </w:rPr>
      </w:pPr>
      <w:r w:rsidRPr="00010F83">
        <w:rPr>
          <w:rFonts w:ascii="Arial" w:hAnsi="Arial" w:cs="Arial"/>
          <w:sz w:val="22"/>
          <w:szCs w:val="22"/>
        </w:rPr>
        <w:t>[</w:t>
      </w:r>
      <w:r w:rsidR="00B36011" w:rsidRPr="00010F83">
        <w:rPr>
          <w:rFonts w:ascii="Arial" w:hAnsi="Arial" w:cs="Arial"/>
          <w:sz w:val="22"/>
          <w:szCs w:val="22"/>
        </w:rPr>
        <w:t>Bỏ đoạn này</w:t>
      </w:r>
      <w:r w:rsidRPr="00010F83">
        <w:rPr>
          <w:rFonts w:ascii="Arial" w:hAnsi="Arial" w:cs="Arial"/>
          <w:sz w:val="22"/>
          <w:szCs w:val="22"/>
        </w:rPr>
        <w:t>]</w:t>
      </w:r>
    </w:p>
    <w:p w:rsidR="00B36011" w:rsidRPr="00010F83" w:rsidRDefault="000D112D" w:rsidP="00590853">
      <w:pPr>
        <w:pStyle w:val="BodyTextIndent"/>
        <w:spacing w:before="0" w:after="120" w:line="240" w:lineRule="auto"/>
        <w:ind w:left="720" w:hanging="720"/>
        <w:rPr>
          <w:rFonts w:ascii="Arial" w:hAnsi="Arial" w:cs="Arial"/>
          <w:sz w:val="22"/>
          <w:szCs w:val="22"/>
          <w:lang w:val="nl-NL"/>
        </w:rPr>
      </w:pPr>
      <w:r w:rsidRPr="00010F83">
        <w:rPr>
          <w:rFonts w:ascii="Arial" w:hAnsi="Arial" w:cs="Arial"/>
          <w:sz w:val="22"/>
          <w:szCs w:val="22"/>
          <w:lang w:val="nl-NL"/>
        </w:rPr>
        <w:t xml:space="preserve">62A  </w:t>
      </w:r>
      <w:r w:rsidRPr="00010F83">
        <w:rPr>
          <w:rFonts w:ascii="Arial" w:hAnsi="Arial" w:cs="Arial"/>
          <w:sz w:val="22"/>
          <w:szCs w:val="22"/>
          <w:lang w:val="nl-NL"/>
        </w:rPr>
        <w:tab/>
        <w:t>Chuẩn mực kế toán Quốc tế yêu cầu hoặc cho phép một số khoản mục được gh</w:t>
      </w:r>
      <w:r w:rsidR="00B36011" w:rsidRPr="00010F83">
        <w:rPr>
          <w:rFonts w:ascii="Arial" w:hAnsi="Arial" w:cs="Arial"/>
          <w:sz w:val="22"/>
          <w:szCs w:val="22"/>
          <w:lang w:val="nl-NL"/>
        </w:rPr>
        <w:t>i thẳng vào vốn chủ sở hữu như:</w:t>
      </w:r>
    </w:p>
    <w:p w:rsidR="00B36011" w:rsidRPr="00010F83" w:rsidRDefault="00F62F03" w:rsidP="00766B0E">
      <w:pPr>
        <w:pStyle w:val="ListParagraph"/>
        <w:numPr>
          <w:ilvl w:val="0"/>
          <w:numId w:val="32"/>
        </w:numPr>
        <w:autoSpaceDE w:val="0"/>
        <w:autoSpaceDN w:val="0"/>
        <w:adjustRightInd w:val="0"/>
        <w:spacing w:after="120"/>
        <w:jc w:val="both"/>
        <w:rPr>
          <w:rFonts w:ascii="Arial" w:hAnsi="Arial" w:cs="Arial"/>
          <w:bCs/>
          <w:sz w:val="22"/>
          <w:szCs w:val="22"/>
          <w:lang w:val="nl-NL"/>
        </w:rPr>
      </w:pPr>
      <w:r w:rsidRPr="00010F83">
        <w:rPr>
          <w:rFonts w:ascii="Arial" w:hAnsi="Arial" w:cs="Arial"/>
          <w:bCs/>
          <w:sz w:val="22"/>
          <w:szCs w:val="22"/>
          <w:lang w:val="nl-NL"/>
        </w:rPr>
        <w:t>Điều chỉnh hồi tố đầu kỳ của thời nhuận chưa phân phối liên do thay đổi chính sách kế toán hoặc do sữa chữa sai sót</w:t>
      </w:r>
      <w:r w:rsidR="000D112D" w:rsidRPr="00010F83">
        <w:rPr>
          <w:rFonts w:ascii="Arial" w:hAnsi="Arial" w:cs="Arial"/>
          <w:bCs/>
          <w:sz w:val="22"/>
          <w:szCs w:val="22"/>
          <w:lang w:val="nl-NL"/>
        </w:rPr>
        <w:t xml:space="preserve"> (xem IAS</w:t>
      </w:r>
      <w:r w:rsidR="00620924" w:rsidRPr="00010F83">
        <w:rPr>
          <w:rFonts w:ascii="Arial" w:hAnsi="Arial" w:cs="Arial"/>
          <w:bCs/>
          <w:sz w:val="22"/>
          <w:szCs w:val="22"/>
          <w:lang w:val="nl-NL"/>
        </w:rPr>
        <w:t xml:space="preserve"> </w:t>
      </w:r>
      <w:r w:rsidR="000D112D" w:rsidRPr="00010F83">
        <w:rPr>
          <w:rFonts w:ascii="Arial" w:hAnsi="Arial" w:cs="Arial"/>
          <w:bCs/>
          <w:sz w:val="22"/>
          <w:szCs w:val="22"/>
          <w:lang w:val="nl-NL"/>
        </w:rPr>
        <w:t xml:space="preserve">8 </w:t>
      </w:r>
      <w:r w:rsidR="000D112D" w:rsidRPr="00010F83">
        <w:rPr>
          <w:rFonts w:ascii="Arial" w:hAnsi="Arial" w:cs="Arial"/>
          <w:bCs/>
          <w:i/>
          <w:sz w:val="22"/>
          <w:szCs w:val="22"/>
          <w:lang w:val="nl-NL"/>
        </w:rPr>
        <w:t>Thay đổi chính sách kế toán, ước tính kế toán và các sai sót</w:t>
      </w:r>
      <w:r w:rsidR="000D112D" w:rsidRPr="00010F83">
        <w:rPr>
          <w:rFonts w:ascii="Arial" w:hAnsi="Arial" w:cs="Arial"/>
          <w:bCs/>
          <w:sz w:val="22"/>
          <w:szCs w:val="22"/>
          <w:lang w:val="nl-NL"/>
        </w:rPr>
        <w:t xml:space="preserve">); </w:t>
      </w:r>
    </w:p>
    <w:p w:rsidR="000D112D" w:rsidRPr="00010F83" w:rsidRDefault="001F757E" w:rsidP="00766B0E">
      <w:pPr>
        <w:pStyle w:val="ListParagraph"/>
        <w:numPr>
          <w:ilvl w:val="0"/>
          <w:numId w:val="32"/>
        </w:numPr>
        <w:autoSpaceDE w:val="0"/>
        <w:autoSpaceDN w:val="0"/>
        <w:adjustRightInd w:val="0"/>
        <w:spacing w:after="120"/>
        <w:jc w:val="both"/>
        <w:rPr>
          <w:rFonts w:ascii="Arial" w:hAnsi="Arial" w:cs="Arial"/>
          <w:bCs/>
          <w:sz w:val="22"/>
          <w:szCs w:val="22"/>
          <w:lang w:val="nl-NL"/>
        </w:rPr>
      </w:pPr>
      <w:r w:rsidRPr="00010F83">
        <w:rPr>
          <w:rFonts w:ascii="Arial" w:hAnsi="Arial" w:cs="Arial"/>
          <w:sz w:val="22"/>
          <w:szCs w:val="22"/>
          <w:lang w:val="nl-NL"/>
        </w:rPr>
        <w:t>ghi nhận ban đầu</w:t>
      </w:r>
      <w:r w:rsidR="000D112D" w:rsidRPr="00010F83">
        <w:rPr>
          <w:rFonts w:ascii="Arial" w:hAnsi="Arial" w:cs="Arial"/>
          <w:sz w:val="22"/>
          <w:szCs w:val="22"/>
          <w:lang w:val="nl-NL"/>
        </w:rPr>
        <w:t xml:space="preserve"> cấu phần vốn chủ sở hữu của các công cụ tài chính phức hợp (xem đoạn 23).</w:t>
      </w:r>
    </w:p>
    <w:p w:rsidR="002D035B" w:rsidRPr="00010F83" w:rsidRDefault="002D035B" w:rsidP="00590853">
      <w:pPr>
        <w:pStyle w:val="BodyTextIndent"/>
        <w:spacing w:before="0" w:after="120" w:line="240" w:lineRule="auto"/>
        <w:ind w:left="720" w:hanging="720"/>
        <w:rPr>
          <w:rFonts w:ascii="Arial" w:hAnsi="Arial" w:cs="Arial"/>
          <w:sz w:val="22"/>
          <w:szCs w:val="22"/>
          <w:lang w:val="nl-NL"/>
        </w:rPr>
      </w:pPr>
      <w:r w:rsidRPr="00010F83">
        <w:rPr>
          <w:rFonts w:ascii="Arial" w:hAnsi="Arial" w:cs="Arial"/>
          <w:sz w:val="22"/>
          <w:szCs w:val="22"/>
          <w:lang w:val="nl-NL"/>
        </w:rPr>
        <w:t>63</w:t>
      </w:r>
      <w:r w:rsidRPr="00010F83">
        <w:rPr>
          <w:rFonts w:ascii="Arial" w:hAnsi="Arial" w:cs="Arial"/>
          <w:sz w:val="22"/>
          <w:szCs w:val="22"/>
          <w:lang w:val="nl-NL"/>
        </w:rPr>
        <w:tab/>
        <w:t xml:space="preserve">Trong một số trường hợp ngoại lệ, có thể khó xác định giá trị thuế </w:t>
      </w:r>
      <w:r w:rsidR="00F62F03" w:rsidRPr="00010F83">
        <w:rPr>
          <w:rFonts w:ascii="Arial" w:hAnsi="Arial" w:cs="Arial"/>
          <w:sz w:val="22"/>
          <w:szCs w:val="22"/>
          <w:lang w:val="nl-NL"/>
        </w:rPr>
        <w:t xml:space="preserve">thu nhập </w:t>
      </w:r>
      <w:r w:rsidRPr="00010F83">
        <w:rPr>
          <w:rFonts w:ascii="Arial" w:hAnsi="Arial" w:cs="Arial"/>
          <w:sz w:val="22"/>
          <w:szCs w:val="22"/>
          <w:lang w:val="nl-NL"/>
        </w:rPr>
        <w:t xml:space="preserve">hiện hành hoặc thuế </w:t>
      </w:r>
      <w:r w:rsidR="00F62F03" w:rsidRPr="00010F83">
        <w:rPr>
          <w:rFonts w:ascii="Arial" w:hAnsi="Arial" w:cs="Arial"/>
          <w:sz w:val="22"/>
          <w:szCs w:val="22"/>
          <w:lang w:val="nl-NL"/>
        </w:rPr>
        <w:t xml:space="preserve">thu nhập </w:t>
      </w:r>
      <w:r w:rsidRPr="00010F83">
        <w:rPr>
          <w:rFonts w:ascii="Arial" w:hAnsi="Arial" w:cs="Arial"/>
          <w:sz w:val="22"/>
          <w:szCs w:val="22"/>
          <w:lang w:val="nl-NL"/>
        </w:rPr>
        <w:t xml:space="preserve">hoãn lại liên quan đến các khoản mục được ghi nhận ngoài </w:t>
      </w:r>
      <w:r w:rsidR="007B64CF" w:rsidRPr="00010F83">
        <w:rPr>
          <w:rFonts w:ascii="Arial" w:hAnsi="Arial" w:cs="Arial"/>
          <w:sz w:val="22"/>
          <w:szCs w:val="22"/>
          <w:lang w:val="nl-NL"/>
        </w:rPr>
        <w:t>Báo cáo kết quả hoạt động kinh doanh</w:t>
      </w:r>
      <w:r w:rsidRPr="00010F83">
        <w:rPr>
          <w:rFonts w:ascii="Arial" w:hAnsi="Arial" w:cs="Arial"/>
          <w:sz w:val="22"/>
          <w:szCs w:val="22"/>
          <w:lang w:val="nl-NL"/>
        </w:rPr>
        <w:t xml:space="preserve"> (ghi trực tiếp vào vốn chủ sở hữu hoặc vào thu nhập toàn diện khác). Các trường hợp này có thể là:</w:t>
      </w:r>
    </w:p>
    <w:p w:rsidR="00B36011" w:rsidRPr="00010F83" w:rsidRDefault="00731917" w:rsidP="00766B0E">
      <w:pPr>
        <w:pStyle w:val="ListParagraph"/>
        <w:numPr>
          <w:ilvl w:val="0"/>
          <w:numId w:val="33"/>
        </w:numPr>
        <w:autoSpaceDE w:val="0"/>
        <w:autoSpaceDN w:val="0"/>
        <w:adjustRightInd w:val="0"/>
        <w:spacing w:after="120"/>
        <w:jc w:val="both"/>
        <w:rPr>
          <w:rFonts w:ascii="Arial" w:hAnsi="Arial" w:cs="Arial"/>
          <w:bCs/>
          <w:sz w:val="22"/>
          <w:szCs w:val="22"/>
          <w:lang w:val="nl-NL"/>
        </w:rPr>
      </w:pPr>
      <w:r w:rsidRPr="00010F83">
        <w:rPr>
          <w:rFonts w:ascii="Arial" w:hAnsi="Arial" w:cs="Arial"/>
          <w:bCs/>
          <w:sz w:val="22"/>
          <w:szCs w:val="22"/>
          <w:lang w:val="nl-NL"/>
        </w:rPr>
        <w:t>Thuế TNDN</w:t>
      </w:r>
      <w:r w:rsidR="002D035B" w:rsidRPr="00010F83">
        <w:rPr>
          <w:rFonts w:ascii="Arial" w:hAnsi="Arial" w:cs="Arial"/>
          <w:bCs/>
          <w:sz w:val="22"/>
          <w:szCs w:val="22"/>
          <w:lang w:val="nl-NL"/>
        </w:rPr>
        <w:t xml:space="preserve"> có nhiều mức thuế suất </w:t>
      </w:r>
      <w:r w:rsidR="00F62F03" w:rsidRPr="00010F83">
        <w:rPr>
          <w:rFonts w:ascii="Arial" w:hAnsi="Arial" w:cs="Arial"/>
          <w:bCs/>
          <w:sz w:val="22"/>
          <w:szCs w:val="22"/>
          <w:lang w:val="nl-NL"/>
        </w:rPr>
        <w:t xml:space="preserve">kiểu lũy tiến, </w:t>
      </w:r>
      <w:r w:rsidR="002D035B" w:rsidRPr="00010F83">
        <w:rPr>
          <w:rFonts w:ascii="Arial" w:hAnsi="Arial" w:cs="Arial"/>
          <w:bCs/>
          <w:sz w:val="22"/>
          <w:szCs w:val="22"/>
          <w:lang w:val="nl-NL"/>
        </w:rPr>
        <w:t xml:space="preserve">và không thể xác định thuế suất </w:t>
      </w:r>
      <w:r w:rsidR="00072B69" w:rsidRPr="00010F83">
        <w:rPr>
          <w:rFonts w:ascii="Arial" w:hAnsi="Arial" w:cs="Arial"/>
          <w:bCs/>
          <w:sz w:val="22"/>
          <w:szCs w:val="22"/>
          <w:lang w:val="nl-NL"/>
        </w:rPr>
        <w:t>áp dụng cho</w:t>
      </w:r>
      <w:r w:rsidR="002D035B" w:rsidRPr="00010F83">
        <w:rPr>
          <w:rFonts w:ascii="Arial" w:hAnsi="Arial" w:cs="Arial"/>
          <w:bCs/>
          <w:sz w:val="22"/>
          <w:szCs w:val="22"/>
          <w:lang w:val="nl-NL"/>
        </w:rPr>
        <w:t xml:space="preserve"> một thành phần cụ thể của lợi nhuận</w:t>
      </w:r>
      <w:r w:rsidR="00072B69" w:rsidRPr="00010F83">
        <w:rPr>
          <w:rFonts w:ascii="Arial" w:hAnsi="Arial" w:cs="Arial"/>
          <w:bCs/>
          <w:sz w:val="22"/>
          <w:szCs w:val="22"/>
          <w:lang w:val="nl-NL"/>
        </w:rPr>
        <w:t xml:space="preserve"> chịu thuế</w:t>
      </w:r>
      <w:r w:rsidR="002D035B" w:rsidRPr="00010F83">
        <w:rPr>
          <w:rFonts w:ascii="Arial" w:hAnsi="Arial" w:cs="Arial"/>
          <w:bCs/>
          <w:sz w:val="22"/>
          <w:szCs w:val="22"/>
          <w:lang w:val="nl-NL"/>
        </w:rPr>
        <w:t>/(lỗ</w:t>
      </w:r>
      <w:r w:rsidR="00072B69" w:rsidRPr="00010F83">
        <w:rPr>
          <w:rFonts w:ascii="Arial" w:hAnsi="Arial" w:cs="Arial"/>
          <w:bCs/>
          <w:sz w:val="22"/>
          <w:szCs w:val="22"/>
          <w:lang w:val="nl-NL"/>
        </w:rPr>
        <w:t xml:space="preserve"> tính</w:t>
      </w:r>
      <w:r w:rsidR="002D035B" w:rsidRPr="00010F83">
        <w:rPr>
          <w:rFonts w:ascii="Arial" w:hAnsi="Arial" w:cs="Arial"/>
          <w:bCs/>
          <w:sz w:val="22"/>
          <w:szCs w:val="22"/>
          <w:lang w:val="nl-NL"/>
        </w:rPr>
        <w:t xml:space="preserve"> thuế</w:t>
      </w:r>
      <w:r w:rsidR="00072B69" w:rsidRPr="00010F83">
        <w:rPr>
          <w:rFonts w:ascii="Arial" w:hAnsi="Arial" w:cs="Arial"/>
          <w:bCs/>
          <w:sz w:val="22"/>
          <w:szCs w:val="22"/>
          <w:lang w:val="nl-NL"/>
        </w:rPr>
        <w:t>)</w:t>
      </w:r>
      <w:r w:rsidR="002D035B" w:rsidRPr="00010F83">
        <w:rPr>
          <w:rFonts w:ascii="Arial" w:hAnsi="Arial" w:cs="Arial"/>
          <w:bCs/>
          <w:sz w:val="22"/>
          <w:szCs w:val="22"/>
          <w:lang w:val="nl-NL"/>
        </w:rPr>
        <w:t>;</w:t>
      </w:r>
    </w:p>
    <w:p w:rsidR="00B36011" w:rsidRPr="00010F83" w:rsidRDefault="002D035B" w:rsidP="00766B0E">
      <w:pPr>
        <w:pStyle w:val="ListParagraph"/>
        <w:numPr>
          <w:ilvl w:val="0"/>
          <w:numId w:val="33"/>
        </w:numPr>
        <w:autoSpaceDE w:val="0"/>
        <w:autoSpaceDN w:val="0"/>
        <w:adjustRightInd w:val="0"/>
        <w:spacing w:after="120"/>
        <w:jc w:val="both"/>
        <w:rPr>
          <w:rFonts w:ascii="Arial" w:hAnsi="Arial" w:cs="Arial"/>
          <w:bCs/>
          <w:sz w:val="22"/>
          <w:szCs w:val="22"/>
          <w:lang w:val="nl-NL"/>
        </w:rPr>
      </w:pPr>
      <w:r w:rsidRPr="00010F83">
        <w:rPr>
          <w:rFonts w:ascii="Arial" w:hAnsi="Arial" w:cs="Arial"/>
          <w:bCs/>
          <w:sz w:val="22"/>
          <w:szCs w:val="22"/>
          <w:lang w:val="nl-NL"/>
        </w:rPr>
        <w:t>Thay đổi về</w:t>
      </w:r>
      <w:r w:rsidR="00072B69" w:rsidRPr="00010F83">
        <w:rPr>
          <w:rFonts w:ascii="Arial" w:hAnsi="Arial" w:cs="Arial"/>
          <w:bCs/>
          <w:sz w:val="22"/>
          <w:szCs w:val="22"/>
          <w:lang w:val="nl-NL"/>
        </w:rPr>
        <w:t xml:space="preserve"> thuế suất hay các quy định</w:t>
      </w:r>
      <w:r w:rsidRPr="00010F83">
        <w:rPr>
          <w:rFonts w:ascii="Arial" w:hAnsi="Arial" w:cs="Arial"/>
          <w:bCs/>
          <w:sz w:val="22"/>
          <w:szCs w:val="22"/>
          <w:lang w:val="nl-NL"/>
        </w:rPr>
        <w:t xml:space="preserve"> về thuế làm ảnh hưởng đến tài sản </w:t>
      </w:r>
      <w:r w:rsidR="00731917" w:rsidRPr="00010F83">
        <w:rPr>
          <w:rFonts w:ascii="Arial" w:hAnsi="Arial" w:cs="Arial"/>
          <w:bCs/>
          <w:sz w:val="22"/>
          <w:szCs w:val="22"/>
          <w:lang w:val="nl-NL"/>
        </w:rPr>
        <w:t>thuế TNDN</w:t>
      </w:r>
      <w:r w:rsidR="00072B69" w:rsidRPr="00010F83">
        <w:rPr>
          <w:rFonts w:ascii="Arial" w:hAnsi="Arial" w:cs="Arial"/>
          <w:bCs/>
          <w:sz w:val="22"/>
          <w:szCs w:val="22"/>
          <w:lang w:val="nl-NL"/>
        </w:rPr>
        <w:t xml:space="preserve"> hoãn lại </w:t>
      </w:r>
      <w:r w:rsidRPr="00010F83">
        <w:rPr>
          <w:rFonts w:ascii="Arial" w:hAnsi="Arial" w:cs="Arial"/>
          <w:bCs/>
          <w:sz w:val="22"/>
          <w:szCs w:val="22"/>
          <w:lang w:val="nl-NL"/>
        </w:rPr>
        <w:t xml:space="preserve">hoặc </w:t>
      </w:r>
      <w:r w:rsidR="00731917" w:rsidRPr="00010F83">
        <w:rPr>
          <w:rFonts w:ascii="Arial" w:hAnsi="Arial" w:cs="Arial"/>
          <w:bCs/>
          <w:sz w:val="22"/>
          <w:szCs w:val="22"/>
          <w:lang w:val="nl-NL"/>
        </w:rPr>
        <w:t>thuế TNDN</w:t>
      </w:r>
      <w:r w:rsidR="006805F0" w:rsidRPr="00010F83">
        <w:rPr>
          <w:rFonts w:ascii="Arial" w:hAnsi="Arial" w:cs="Arial"/>
          <w:bCs/>
          <w:sz w:val="22"/>
          <w:szCs w:val="22"/>
          <w:lang w:val="nl-NL"/>
        </w:rPr>
        <w:t xml:space="preserve"> hoãn lại phải trả</w:t>
      </w:r>
      <w:r w:rsidR="00072B69" w:rsidRPr="00010F83">
        <w:rPr>
          <w:rFonts w:ascii="Arial" w:hAnsi="Arial" w:cs="Arial"/>
          <w:bCs/>
          <w:sz w:val="22"/>
          <w:szCs w:val="22"/>
          <w:lang w:val="nl-NL"/>
        </w:rPr>
        <w:t xml:space="preserve"> có liên quan (một phần hay toàn bộ)</w:t>
      </w:r>
      <w:r w:rsidRPr="00010F83">
        <w:rPr>
          <w:rFonts w:ascii="Arial" w:hAnsi="Arial" w:cs="Arial"/>
          <w:bCs/>
          <w:sz w:val="22"/>
          <w:szCs w:val="22"/>
          <w:lang w:val="nl-NL"/>
        </w:rPr>
        <w:t xml:space="preserve"> tới một khoản mục trước đây đã được ghi nhận ngoài </w:t>
      </w:r>
      <w:r w:rsidR="007B64CF" w:rsidRPr="00010F83">
        <w:rPr>
          <w:rFonts w:ascii="Arial" w:hAnsi="Arial" w:cs="Arial"/>
          <w:bCs/>
          <w:sz w:val="22"/>
          <w:szCs w:val="22"/>
          <w:lang w:val="nl-NL"/>
        </w:rPr>
        <w:t>Báo cáo kết quả hoạt động kinh doanh; hoặc</w:t>
      </w:r>
    </w:p>
    <w:p w:rsidR="00766B0E" w:rsidRPr="00010F83" w:rsidRDefault="00766B0E">
      <w:pPr>
        <w:rPr>
          <w:rFonts w:ascii="Arial" w:eastAsia="Times New Roman" w:hAnsi="Arial" w:cs="Arial"/>
          <w:bCs/>
          <w:lang w:val="nl-NL"/>
        </w:rPr>
      </w:pPr>
      <w:r w:rsidRPr="00010F83">
        <w:rPr>
          <w:rFonts w:ascii="Arial" w:hAnsi="Arial" w:cs="Arial"/>
          <w:bCs/>
          <w:lang w:val="nl-NL"/>
        </w:rPr>
        <w:br w:type="page"/>
      </w:r>
    </w:p>
    <w:p w:rsidR="002D035B" w:rsidRPr="00010F83" w:rsidRDefault="007B64CF" w:rsidP="00766B0E">
      <w:pPr>
        <w:pStyle w:val="ListParagraph"/>
        <w:numPr>
          <w:ilvl w:val="0"/>
          <w:numId w:val="33"/>
        </w:numPr>
        <w:autoSpaceDE w:val="0"/>
        <w:autoSpaceDN w:val="0"/>
        <w:adjustRightInd w:val="0"/>
        <w:spacing w:after="120"/>
        <w:jc w:val="both"/>
        <w:rPr>
          <w:rFonts w:ascii="Arial" w:hAnsi="Arial" w:cs="Arial"/>
          <w:bCs/>
          <w:sz w:val="22"/>
          <w:szCs w:val="22"/>
          <w:lang w:val="nl-NL"/>
        </w:rPr>
      </w:pPr>
      <w:r w:rsidRPr="00010F83">
        <w:rPr>
          <w:rFonts w:ascii="Arial" w:hAnsi="Arial" w:cs="Arial"/>
          <w:bCs/>
          <w:sz w:val="22"/>
          <w:szCs w:val="22"/>
          <w:lang w:val="nl-NL"/>
        </w:rPr>
        <w:t>một đơn vị xác định rằng phải ghi nhận một tài sản thuế TNDN hoãn lại và tài sản thuế TNDN hoãn lại liên quan (toàn bộ, hoặc chỉ ghi nhận một phần) mà tài sản này liên quan (một phần hoặc toàn bộ) tới</w:t>
      </w:r>
      <w:r w:rsidR="002D035B" w:rsidRPr="00010F83">
        <w:rPr>
          <w:rFonts w:ascii="Arial" w:hAnsi="Arial" w:cs="Arial"/>
          <w:bCs/>
          <w:sz w:val="22"/>
          <w:szCs w:val="22"/>
          <w:lang w:val="nl-NL"/>
        </w:rPr>
        <w:t xml:space="preserve"> một khoản mục trước đây đã được ghi nhận </w:t>
      </w:r>
      <w:r w:rsidRPr="00010F83">
        <w:rPr>
          <w:rFonts w:ascii="Arial" w:hAnsi="Arial" w:cs="Arial"/>
          <w:bCs/>
          <w:sz w:val="22"/>
          <w:szCs w:val="22"/>
          <w:lang w:val="nl-NL"/>
        </w:rPr>
        <w:t>ngoài Báo cáo kết quả hoạt động kinh doanh.</w:t>
      </w:r>
    </w:p>
    <w:p w:rsidR="00CF5231" w:rsidRPr="00010F83" w:rsidRDefault="007B64CF" w:rsidP="00766B0E">
      <w:pPr>
        <w:pStyle w:val="BodyTextIndent"/>
        <w:spacing w:before="0" w:after="120" w:line="240" w:lineRule="auto"/>
        <w:ind w:left="720" w:firstLine="0"/>
        <w:rPr>
          <w:rFonts w:ascii="Arial" w:hAnsi="Arial" w:cs="Arial"/>
          <w:sz w:val="22"/>
          <w:szCs w:val="22"/>
          <w:lang w:val="nl-NL"/>
        </w:rPr>
      </w:pPr>
      <w:r w:rsidRPr="00010F83">
        <w:rPr>
          <w:rFonts w:ascii="Arial" w:hAnsi="Arial" w:cs="Arial"/>
          <w:sz w:val="22"/>
          <w:szCs w:val="22"/>
          <w:lang w:val="nl-NL"/>
        </w:rPr>
        <w:t xml:space="preserve">Trong các trường hợp này thuế </w:t>
      </w:r>
      <w:r w:rsidR="00F62F03" w:rsidRPr="00010F83">
        <w:rPr>
          <w:rFonts w:ascii="Arial" w:hAnsi="Arial" w:cs="Arial"/>
          <w:sz w:val="22"/>
          <w:szCs w:val="22"/>
          <w:lang w:val="nl-NL"/>
        </w:rPr>
        <w:t xml:space="preserve">thu nhập </w:t>
      </w:r>
      <w:r w:rsidRPr="00010F83">
        <w:rPr>
          <w:rFonts w:ascii="Arial" w:hAnsi="Arial" w:cs="Arial"/>
          <w:sz w:val="22"/>
          <w:szCs w:val="22"/>
          <w:lang w:val="nl-NL"/>
        </w:rPr>
        <w:t xml:space="preserve">hoãn lại và thuế </w:t>
      </w:r>
      <w:r w:rsidR="00F62F03" w:rsidRPr="00010F83">
        <w:rPr>
          <w:rFonts w:ascii="Arial" w:hAnsi="Arial" w:cs="Arial"/>
          <w:sz w:val="22"/>
          <w:szCs w:val="22"/>
          <w:lang w:val="nl-NL"/>
        </w:rPr>
        <w:t xml:space="preserve">thu nhập </w:t>
      </w:r>
      <w:r w:rsidRPr="00010F83">
        <w:rPr>
          <w:rFonts w:ascii="Arial" w:hAnsi="Arial" w:cs="Arial"/>
          <w:sz w:val="22"/>
          <w:szCs w:val="22"/>
          <w:lang w:val="nl-NL"/>
        </w:rPr>
        <w:t>hiện hành liên quan đến các khoản mục được ghi nhận ngoài Báo cáo kết quả hoạt động kinh doanh sẽ được tính dựa trên sự phân bổ hợp lý của thuế hoãn lại và thuế hiện hành của đơn vị trong</w:t>
      </w:r>
      <w:r w:rsidR="0044078E" w:rsidRPr="00010F83">
        <w:rPr>
          <w:rFonts w:ascii="Arial" w:hAnsi="Arial" w:cs="Arial"/>
          <w:sz w:val="22"/>
          <w:szCs w:val="22"/>
          <w:lang w:val="nl-NL"/>
        </w:rPr>
        <w:t xml:space="preserve"> khuôn khổ quy định về thuế liên quan, hoặc theo phương pháp khác nhằm đạt được sự phân bổ phù hợp hơn tuỳ từng trường hợp cụ thể.</w:t>
      </w:r>
    </w:p>
    <w:p w:rsidR="002D035B" w:rsidRPr="00010F83" w:rsidRDefault="00852168" w:rsidP="00590853">
      <w:pPr>
        <w:pStyle w:val="BodyTextIndent"/>
        <w:spacing w:before="0" w:after="120" w:line="240" w:lineRule="auto"/>
        <w:ind w:left="720" w:hanging="720"/>
        <w:rPr>
          <w:rFonts w:ascii="Arial" w:hAnsi="Arial" w:cs="Arial"/>
          <w:sz w:val="22"/>
          <w:szCs w:val="22"/>
          <w:lang w:val="nl-NL"/>
        </w:rPr>
      </w:pPr>
      <w:r w:rsidRPr="00010F83">
        <w:rPr>
          <w:rFonts w:ascii="Arial" w:hAnsi="Arial" w:cs="Arial"/>
          <w:sz w:val="22"/>
          <w:szCs w:val="22"/>
          <w:lang w:val="nl-NL"/>
        </w:rPr>
        <w:t>64</w:t>
      </w:r>
      <w:r w:rsidRPr="00010F83">
        <w:rPr>
          <w:rFonts w:ascii="Arial" w:hAnsi="Arial" w:cs="Arial"/>
          <w:sz w:val="22"/>
          <w:szCs w:val="22"/>
          <w:lang w:val="nl-NL"/>
        </w:rPr>
        <w:tab/>
        <w:t xml:space="preserve">Chuẩn mực IAS 16 không quy định cụ thể </w:t>
      </w:r>
      <w:r w:rsidR="00072B69" w:rsidRPr="00010F83">
        <w:rPr>
          <w:rFonts w:ascii="Arial" w:hAnsi="Arial" w:cs="Arial"/>
          <w:sz w:val="22"/>
          <w:szCs w:val="22"/>
          <w:lang w:val="nl-NL"/>
        </w:rPr>
        <w:t xml:space="preserve">việc </w:t>
      </w:r>
      <w:r w:rsidR="007B64CF" w:rsidRPr="00010F83">
        <w:rPr>
          <w:rFonts w:ascii="Arial" w:hAnsi="Arial" w:cs="Arial"/>
          <w:sz w:val="22"/>
          <w:szCs w:val="22"/>
          <w:lang w:val="nl-NL"/>
        </w:rPr>
        <w:t xml:space="preserve">một đơn vị phải </w:t>
      </w:r>
      <w:r w:rsidR="00072B69" w:rsidRPr="00010F83">
        <w:rPr>
          <w:rFonts w:ascii="Arial" w:hAnsi="Arial" w:cs="Arial"/>
          <w:sz w:val="22"/>
          <w:szCs w:val="22"/>
          <w:lang w:val="nl-NL"/>
        </w:rPr>
        <w:t>kết</w:t>
      </w:r>
      <w:r w:rsidRPr="00010F83">
        <w:rPr>
          <w:rFonts w:ascii="Arial" w:hAnsi="Arial" w:cs="Arial"/>
          <w:sz w:val="22"/>
          <w:szCs w:val="22"/>
          <w:lang w:val="nl-NL"/>
        </w:rPr>
        <w:t xml:space="preserve"> chuyển </w:t>
      </w:r>
      <w:r w:rsidR="00620924" w:rsidRPr="00010F83">
        <w:rPr>
          <w:rFonts w:ascii="Arial" w:hAnsi="Arial" w:cs="Arial"/>
          <w:sz w:val="22"/>
          <w:szCs w:val="22"/>
          <w:lang w:val="nl-NL"/>
        </w:rPr>
        <w:t xml:space="preserve">hàng năm một khoản giá trị bằng với khoản chênh lệch giữa chi phí khấu hao từ tài sản đã được đánh giá lại so với chi phí khấu hao dựa trên nguyên giá ban đầu của tài sản đó </w:t>
      </w:r>
      <w:r w:rsidRPr="00010F83">
        <w:rPr>
          <w:rFonts w:ascii="Arial" w:hAnsi="Arial" w:cs="Arial"/>
          <w:sz w:val="22"/>
          <w:szCs w:val="22"/>
          <w:lang w:val="nl-NL"/>
        </w:rPr>
        <w:t xml:space="preserve">từ </w:t>
      </w:r>
      <w:r w:rsidR="007B64CF" w:rsidRPr="00010F83">
        <w:rPr>
          <w:rFonts w:ascii="Arial" w:hAnsi="Arial" w:cs="Arial"/>
          <w:sz w:val="22"/>
          <w:szCs w:val="22"/>
          <w:lang w:val="nl-NL"/>
        </w:rPr>
        <w:t>khoản mục thặng dư đo đánh giá lại, sang khoản mục lợi nhuận giữ lại. Nếu một đơn v</w:t>
      </w:r>
      <w:r w:rsidRPr="00010F83">
        <w:rPr>
          <w:rFonts w:ascii="Arial" w:hAnsi="Arial" w:cs="Arial"/>
          <w:sz w:val="22"/>
          <w:szCs w:val="22"/>
          <w:lang w:val="nl-NL"/>
        </w:rPr>
        <w:t xml:space="preserve">ị thực hiện việc </w:t>
      </w:r>
      <w:r w:rsidR="00072B69" w:rsidRPr="00010F83">
        <w:rPr>
          <w:rFonts w:ascii="Arial" w:hAnsi="Arial" w:cs="Arial"/>
          <w:sz w:val="22"/>
          <w:szCs w:val="22"/>
          <w:lang w:val="nl-NL"/>
        </w:rPr>
        <w:t>kết chuyển này,</w:t>
      </w:r>
      <w:r w:rsidRPr="00010F83">
        <w:rPr>
          <w:rFonts w:ascii="Arial" w:hAnsi="Arial" w:cs="Arial"/>
          <w:sz w:val="22"/>
          <w:szCs w:val="22"/>
          <w:lang w:val="nl-NL"/>
        </w:rPr>
        <w:t xml:space="preserve"> giá trị được chuyển sẽ là giá trị thuần sau khi trừ đi </w:t>
      </w:r>
      <w:r w:rsidR="00072B69" w:rsidRPr="00010F83">
        <w:rPr>
          <w:rFonts w:ascii="Arial" w:hAnsi="Arial" w:cs="Arial"/>
          <w:sz w:val="22"/>
          <w:szCs w:val="22"/>
          <w:lang w:val="nl-NL"/>
        </w:rPr>
        <w:t xml:space="preserve">thuế hoãn lại </w:t>
      </w:r>
      <w:r w:rsidRPr="00010F83">
        <w:rPr>
          <w:rFonts w:ascii="Arial" w:hAnsi="Arial" w:cs="Arial"/>
          <w:sz w:val="22"/>
          <w:szCs w:val="22"/>
          <w:lang w:val="nl-NL"/>
        </w:rPr>
        <w:t>liên quan</w:t>
      </w:r>
      <w:r w:rsidR="007B64CF" w:rsidRPr="00010F83">
        <w:rPr>
          <w:rFonts w:ascii="Arial" w:hAnsi="Arial" w:cs="Arial"/>
          <w:sz w:val="22"/>
          <w:szCs w:val="22"/>
          <w:lang w:val="nl-NL"/>
        </w:rPr>
        <w:t xml:space="preserve">. Tương tự đối với trường hợp </w:t>
      </w:r>
      <w:r w:rsidR="00072B69" w:rsidRPr="00010F83">
        <w:rPr>
          <w:rFonts w:ascii="Arial" w:hAnsi="Arial" w:cs="Arial"/>
          <w:sz w:val="22"/>
          <w:szCs w:val="22"/>
          <w:lang w:val="nl-NL"/>
        </w:rPr>
        <w:t>kết chuyển khi thanh lý, giá trị kết chuyển cũng là giá trị sau khi trừ thuế hoãn lại liên quan</w:t>
      </w:r>
      <w:r w:rsidRPr="00010F83">
        <w:rPr>
          <w:rFonts w:ascii="Arial" w:hAnsi="Arial" w:cs="Arial"/>
          <w:sz w:val="22"/>
          <w:szCs w:val="22"/>
          <w:lang w:val="nl-NL"/>
        </w:rPr>
        <w:t>.</w:t>
      </w:r>
    </w:p>
    <w:p w:rsidR="009A36FE" w:rsidRPr="00010F83" w:rsidRDefault="009A36FE" w:rsidP="00590853">
      <w:pPr>
        <w:pStyle w:val="BodyTextIndent"/>
        <w:spacing w:before="0" w:after="120" w:line="240" w:lineRule="auto"/>
        <w:ind w:left="720" w:hanging="720"/>
        <w:rPr>
          <w:rFonts w:ascii="Arial" w:hAnsi="Arial" w:cs="Arial"/>
          <w:sz w:val="22"/>
          <w:szCs w:val="22"/>
          <w:lang w:val="nl-NL"/>
        </w:rPr>
      </w:pPr>
      <w:r w:rsidRPr="00010F83">
        <w:rPr>
          <w:rFonts w:ascii="Arial" w:hAnsi="Arial" w:cs="Arial"/>
          <w:sz w:val="22"/>
          <w:szCs w:val="22"/>
          <w:lang w:val="nl-NL"/>
        </w:rPr>
        <w:t xml:space="preserve">65       </w:t>
      </w:r>
      <w:r w:rsidRPr="00010F83">
        <w:rPr>
          <w:rFonts w:ascii="Arial" w:hAnsi="Arial" w:cs="Arial"/>
          <w:sz w:val="22"/>
          <w:szCs w:val="22"/>
          <w:lang w:val="nl-NL"/>
        </w:rPr>
        <w:tab/>
        <w:t xml:space="preserve">Khi một tài sản được đánh giá lại cho mục đích thuế và việc đánh giá lại đó liên quan đến việc đánh giá lại cho mục đích kế toán ở một kỳ trước, hoặc dự kiến sẽ thực hiện ở một kỳ </w:t>
      </w:r>
      <w:r w:rsidR="00D50D58" w:rsidRPr="00010F83">
        <w:rPr>
          <w:rFonts w:ascii="Arial" w:hAnsi="Arial" w:cs="Arial"/>
          <w:sz w:val="22"/>
          <w:szCs w:val="22"/>
          <w:lang w:val="nl-NL"/>
        </w:rPr>
        <w:t>tương lai</w:t>
      </w:r>
      <w:r w:rsidRPr="00010F83">
        <w:rPr>
          <w:rFonts w:ascii="Arial" w:hAnsi="Arial" w:cs="Arial"/>
          <w:sz w:val="22"/>
          <w:szCs w:val="22"/>
          <w:lang w:val="nl-NL"/>
        </w:rPr>
        <w:t xml:space="preserve">, ảnh hưởng về thuế của cả việc đánh giá lại và điều chỉnh cơ sở tính thuế </w:t>
      </w:r>
      <w:r w:rsidR="00D50D58" w:rsidRPr="00010F83">
        <w:rPr>
          <w:rFonts w:ascii="Arial" w:hAnsi="Arial" w:cs="Arial"/>
          <w:sz w:val="22"/>
          <w:szCs w:val="22"/>
          <w:lang w:val="nl-NL"/>
        </w:rPr>
        <w:t xml:space="preserve">sẽ </w:t>
      </w:r>
      <w:r w:rsidRPr="00010F83">
        <w:rPr>
          <w:rFonts w:ascii="Arial" w:hAnsi="Arial" w:cs="Arial"/>
          <w:sz w:val="22"/>
          <w:szCs w:val="22"/>
          <w:lang w:val="nl-NL"/>
        </w:rPr>
        <w:t>được ghi</w:t>
      </w:r>
      <w:r w:rsidR="00D50D58" w:rsidRPr="00010F83">
        <w:rPr>
          <w:rFonts w:ascii="Arial" w:hAnsi="Arial" w:cs="Arial"/>
          <w:sz w:val="22"/>
          <w:szCs w:val="22"/>
          <w:lang w:val="nl-NL"/>
        </w:rPr>
        <w:t xml:space="preserve"> nhận</w:t>
      </w:r>
      <w:r w:rsidRPr="00010F83">
        <w:rPr>
          <w:rFonts w:ascii="Arial" w:hAnsi="Arial" w:cs="Arial"/>
          <w:sz w:val="22"/>
          <w:szCs w:val="22"/>
          <w:lang w:val="nl-NL"/>
        </w:rPr>
        <w:t xml:space="preserve"> vào báo cáo thu nhập toàn diện khác trong kỳ thực hiện việc đánh giá lại. Tuy nhiên, nếu việc đánh giá lại cho mục đích thuế không liên quan đến việc đánh giá lại cho mục đích kế toán được thực hiện ở một kỳ trước đó hoặc ở kỳ </w:t>
      </w:r>
      <w:r w:rsidR="00D50D58" w:rsidRPr="00010F83">
        <w:rPr>
          <w:rFonts w:ascii="Arial" w:hAnsi="Arial" w:cs="Arial"/>
          <w:sz w:val="22"/>
          <w:szCs w:val="22"/>
          <w:lang w:val="nl-NL"/>
        </w:rPr>
        <w:t>tương lai</w:t>
      </w:r>
      <w:r w:rsidRPr="00010F83">
        <w:rPr>
          <w:rFonts w:ascii="Arial" w:hAnsi="Arial" w:cs="Arial"/>
          <w:sz w:val="22"/>
          <w:szCs w:val="22"/>
          <w:lang w:val="nl-NL"/>
        </w:rPr>
        <w:t xml:space="preserve"> thì ảnh hưởng thuế của việc điều chỉnh cơ sở tính t</w:t>
      </w:r>
      <w:r w:rsidR="00CB206F" w:rsidRPr="00010F83">
        <w:rPr>
          <w:rFonts w:ascii="Arial" w:hAnsi="Arial" w:cs="Arial"/>
          <w:sz w:val="22"/>
          <w:szCs w:val="22"/>
          <w:lang w:val="nl-NL"/>
        </w:rPr>
        <w:t>huế sẽ được ghi nhận vào</w:t>
      </w:r>
      <w:r w:rsidRPr="00010F83">
        <w:rPr>
          <w:rFonts w:ascii="Arial" w:hAnsi="Arial" w:cs="Arial"/>
          <w:sz w:val="22"/>
          <w:szCs w:val="22"/>
          <w:lang w:val="nl-NL"/>
        </w:rPr>
        <w:t xml:space="preserve"> </w:t>
      </w:r>
      <w:r w:rsidR="007B64CF" w:rsidRPr="00010F83">
        <w:rPr>
          <w:rFonts w:ascii="Arial" w:hAnsi="Arial" w:cs="Arial"/>
          <w:sz w:val="22"/>
          <w:szCs w:val="22"/>
          <w:lang w:val="nl-NL"/>
        </w:rPr>
        <w:t>Báo cáo kết quả hoạt động kinh doanh.</w:t>
      </w:r>
    </w:p>
    <w:p w:rsidR="00E422F2" w:rsidRPr="00010F83" w:rsidRDefault="00E422F2" w:rsidP="00590853">
      <w:pPr>
        <w:pStyle w:val="BodyTextIndent"/>
        <w:spacing w:before="0" w:after="120" w:line="240" w:lineRule="auto"/>
        <w:ind w:left="720" w:hanging="720"/>
        <w:rPr>
          <w:rFonts w:ascii="Arial" w:hAnsi="Arial" w:cs="Arial"/>
          <w:sz w:val="22"/>
          <w:szCs w:val="22"/>
          <w:lang w:val="nl-NL"/>
        </w:rPr>
      </w:pPr>
      <w:r w:rsidRPr="00010F83">
        <w:rPr>
          <w:rFonts w:ascii="Arial" w:hAnsi="Arial" w:cs="Arial"/>
          <w:sz w:val="22"/>
          <w:szCs w:val="22"/>
          <w:lang w:val="nl-NL"/>
        </w:rPr>
        <w:t>65A</w:t>
      </w:r>
      <w:r w:rsidRPr="00010F83">
        <w:rPr>
          <w:rFonts w:ascii="Arial" w:hAnsi="Arial" w:cs="Arial"/>
          <w:sz w:val="22"/>
          <w:szCs w:val="22"/>
          <w:lang w:val="nl-NL"/>
        </w:rPr>
        <w:tab/>
        <w:t>Khi đơn vị t</w:t>
      </w:r>
      <w:r w:rsidR="00CB206F" w:rsidRPr="00010F83">
        <w:rPr>
          <w:rFonts w:ascii="Arial" w:hAnsi="Arial" w:cs="Arial"/>
          <w:sz w:val="22"/>
          <w:szCs w:val="22"/>
          <w:lang w:val="nl-NL"/>
        </w:rPr>
        <w:t>rả</w:t>
      </w:r>
      <w:r w:rsidRPr="00010F83">
        <w:rPr>
          <w:rFonts w:ascii="Arial" w:hAnsi="Arial" w:cs="Arial"/>
          <w:sz w:val="22"/>
          <w:szCs w:val="22"/>
          <w:lang w:val="nl-NL"/>
        </w:rPr>
        <w:t xml:space="preserve"> cổ tức cho các cổ đông, đơn vị có thể </w:t>
      </w:r>
      <w:r w:rsidR="00CB206F" w:rsidRPr="00010F83">
        <w:rPr>
          <w:rFonts w:ascii="Arial" w:hAnsi="Arial" w:cs="Arial"/>
          <w:sz w:val="22"/>
          <w:szCs w:val="22"/>
          <w:lang w:val="nl-NL"/>
        </w:rPr>
        <w:t xml:space="preserve">phải </w:t>
      </w:r>
      <w:r w:rsidR="00D50D58" w:rsidRPr="00010F83">
        <w:rPr>
          <w:rFonts w:ascii="Arial" w:hAnsi="Arial" w:cs="Arial"/>
          <w:sz w:val="22"/>
          <w:szCs w:val="22"/>
          <w:lang w:val="nl-NL"/>
        </w:rPr>
        <w:t xml:space="preserve">trích một phần </w:t>
      </w:r>
      <w:r w:rsidR="00CB206F" w:rsidRPr="00010F83">
        <w:rPr>
          <w:rFonts w:ascii="Arial" w:hAnsi="Arial" w:cs="Arial"/>
          <w:sz w:val="22"/>
          <w:szCs w:val="22"/>
          <w:lang w:val="nl-NL"/>
        </w:rPr>
        <w:t>cổ tức để trả thuế thay cho các cổ đông</w:t>
      </w:r>
      <w:r w:rsidRPr="00010F83">
        <w:rPr>
          <w:rFonts w:ascii="Arial" w:hAnsi="Arial" w:cs="Arial"/>
          <w:sz w:val="22"/>
          <w:szCs w:val="22"/>
          <w:lang w:val="nl-NL"/>
        </w:rPr>
        <w:t xml:space="preserve">. Ở một số </w:t>
      </w:r>
      <w:r w:rsidR="00D50D58" w:rsidRPr="00010F83">
        <w:rPr>
          <w:rFonts w:ascii="Arial" w:hAnsi="Arial" w:cs="Arial"/>
          <w:sz w:val="22"/>
          <w:szCs w:val="22"/>
          <w:lang w:val="nl-NL"/>
        </w:rPr>
        <w:t>khu vực</w:t>
      </w:r>
      <w:r w:rsidRPr="00010F83">
        <w:rPr>
          <w:rFonts w:ascii="Arial" w:hAnsi="Arial" w:cs="Arial"/>
          <w:sz w:val="22"/>
          <w:szCs w:val="22"/>
          <w:lang w:val="nl-NL"/>
        </w:rPr>
        <w:t xml:space="preserve">, khoản thuế này được gọi là thuế </w:t>
      </w:r>
      <w:r w:rsidR="00CB206F" w:rsidRPr="00010F83">
        <w:rPr>
          <w:rFonts w:ascii="Arial" w:hAnsi="Arial" w:cs="Arial"/>
          <w:sz w:val="22"/>
          <w:szCs w:val="22"/>
          <w:lang w:val="nl-NL"/>
        </w:rPr>
        <w:t>khấu trừ tại nguồn</w:t>
      </w:r>
      <w:r w:rsidRPr="00010F83">
        <w:rPr>
          <w:rFonts w:ascii="Arial" w:hAnsi="Arial" w:cs="Arial"/>
          <w:sz w:val="22"/>
          <w:szCs w:val="22"/>
          <w:lang w:val="nl-NL"/>
        </w:rPr>
        <w:t xml:space="preserve">. Khoản thuế </w:t>
      </w:r>
      <w:r w:rsidR="00CB206F" w:rsidRPr="00010F83">
        <w:rPr>
          <w:rFonts w:ascii="Arial" w:hAnsi="Arial" w:cs="Arial"/>
          <w:sz w:val="22"/>
          <w:szCs w:val="22"/>
          <w:lang w:val="nl-NL"/>
        </w:rPr>
        <w:t>này được ghi giảm vào</w:t>
      </w:r>
      <w:r w:rsidRPr="00010F83">
        <w:rPr>
          <w:rFonts w:ascii="Arial" w:hAnsi="Arial" w:cs="Arial"/>
          <w:sz w:val="22"/>
          <w:szCs w:val="22"/>
          <w:lang w:val="nl-NL"/>
        </w:rPr>
        <w:t xml:space="preserve"> vốn chủ sở hữu</w:t>
      </w:r>
      <w:r w:rsidR="00CB206F" w:rsidRPr="00010F83">
        <w:rPr>
          <w:rFonts w:ascii="Arial" w:hAnsi="Arial" w:cs="Arial"/>
          <w:sz w:val="22"/>
          <w:szCs w:val="22"/>
          <w:lang w:val="nl-NL"/>
        </w:rPr>
        <w:t xml:space="preserve"> như là một phần tổng cổ tức chi trả</w:t>
      </w:r>
      <w:r w:rsidRPr="00010F83">
        <w:rPr>
          <w:rFonts w:ascii="Arial" w:hAnsi="Arial" w:cs="Arial"/>
          <w:sz w:val="22"/>
          <w:szCs w:val="22"/>
          <w:lang w:val="nl-NL"/>
        </w:rPr>
        <w:t xml:space="preserve">. </w:t>
      </w:r>
    </w:p>
    <w:p w:rsidR="00753D5C" w:rsidRPr="00010F83" w:rsidRDefault="00753D5C" w:rsidP="00766B0E">
      <w:pPr>
        <w:pStyle w:val="BodyTextIndent"/>
        <w:spacing w:before="240" w:after="120" w:line="240" w:lineRule="auto"/>
        <w:ind w:left="720" w:firstLine="0"/>
        <w:rPr>
          <w:rFonts w:ascii="Arial" w:hAnsi="Arial" w:cs="Arial"/>
          <w:b/>
          <w:bCs/>
          <w:sz w:val="22"/>
          <w:szCs w:val="22"/>
          <w:lang w:val="nl-NL"/>
        </w:rPr>
      </w:pPr>
      <w:r w:rsidRPr="00010F83">
        <w:rPr>
          <w:rFonts w:ascii="Arial" w:hAnsi="Arial" w:cs="Arial"/>
          <w:b/>
          <w:bCs/>
          <w:sz w:val="22"/>
          <w:szCs w:val="22"/>
          <w:lang w:val="nl-NL"/>
        </w:rPr>
        <w:t>Thuế hoãn lại phát sinh từ giao dịch hợp nhất kinh doanh</w:t>
      </w:r>
    </w:p>
    <w:p w:rsidR="00756CB6" w:rsidRPr="00010F83" w:rsidRDefault="00756CB6" w:rsidP="00590853">
      <w:pPr>
        <w:pStyle w:val="BodyTextIndent"/>
        <w:spacing w:before="0" w:after="120" w:line="240" w:lineRule="auto"/>
        <w:ind w:left="720" w:hanging="720"/>
        <w:rPr>
          <w:rFonts w:ascii="Arial" w:hAnsi="Arial" w:cs="Arial"/>
          <w:bCs/>
          <w:sz w:val="22"/>
          <w:szCs w:val="22"/>
          <w:lang w:val="nl-NL"/>
        </w:rPr>
      </w:pPr>
      <w:r w:rsidRPr="00010F83">
        <w:rPr>
          <w:rFonts w:ascii="Arial" w:hAnsi="Arial" w:cs="Arial"/>
          <w:bCs/>
          <w:sz w:val="22"/>
          <w:szCs w:val="22"/>
          <w:lang w:val="nl-NL"/>
        </w:rPr>
        <w:t xml:space="preserve">66     </w:t>
      </w:r>
      <w:r w:rsidRPr="00010F83">
        <w:rPr>
          <w:rFonts w:ascii="Arial" w:hAnsi="Arial" w:cs="Arial"/>
          <w:bCs/>
          <w:sz w:val="22"/>
          <w:szCs w:val="22"/>
          <w:lang w:val="nl-NL"/>
        </w:rPr>
        <w:tab/>
        <w:t>Như đã trình bày ở đoạn 19 và 26(c), chênh lệch tạm thời có thể phát sinh trong một giao dịch hợp nhất kinh doanh. Theo IFRS</w:t>
      </w:r>
      <w:r w:rsidR="001C7E25" w:rsidRPr="00010F83">
        <w:rPr>
          <w:rFonts w:ascii="Arial" w:hAnsi="Arial" w:cs="Arial"/>
          <w:bCs/>
          <w:sz w:val="22"/>
          <w:szCs w:val="22"/>
          <w:lang w:val="nl-NL"/>
        </w:rPr>
        <w:t xml:space="preserve"> </w:t>
      </w:r>
      <w:r w:rsidRPr="00010F83">
        <w:rPr>
          <w:rFonts w:ascii="Arial" w:hAnsi="Arial" w:cs="Arial"/>
          <w:bCs/>
          <w:sz w:val="22"/>
          <w:szCs w:val="22"/>
          <w:lang w:val="nl-NL"/>
        </w:rPr>
        <w:t xml:space="preserve">3, đơn vị ghi nhận </w:t>
      </w:r>
      <w:r w:rsidR="006805F0" w:rsidRPr="00010F83">
        <w:rPr>
          <w:rFonts w:ascii="Arial" w:hAnsi="Arial" w:cs="Arial"/>
          <w:bCs/>
          <w:sz w:val="22"/>
          <w:szCs w:val="22"/>
          <w:lang w:val="nl-NL"/>
        </w:rPr>
        <w:t xml:space="preserve">tài sản </w:t>
      </w:r>
      <w:r w:rsidR="00731917" w:rsidRPr="00010F83">
        <w:rPr>
          <w:rFonts w:ascii="Arial" w:hAnsi="Arial" w:cs="Arial"/>
          <w:bCs/>
          <w:sz w:val="22"/>
          <w:szCs w:val="22"/>
          <w:lang w:val="nl-NL"/>
        </w:rPr>
        <w:t>thuế TNDN</w:t>
      </w:r>
      <w:r w:rsidR="006805F0" w:rsidRPr="00010F83">
        <w:rPr>
          <w:rFonts w:ascii="Arial" w:hAnsi="Arial" w:cs="Arial"/>
          <w:bCs/>
          <w:sz w:val="22"/>
          <w:szCs w:val="22"/>
          <w:lang w:val="nl-NL"/>
        </w:rPr>
        <w:t xml:space="preserve"> hoãn lại</w:t>
      </w:r>
      <w:r w:rsidRPr="00010F83">
        <w:rPr>
          <w:rFonts w:ascii="Arial" w:hAnsi="Arial" w:cs="Arial"/>
          <w:bCs/>
          <w:sz w:val="22"/>
          <w:szCs w:val="22"/>
          <w:lang w:val="nl-NL"/>
        </w:rPr>
        <w:t xml:space="preserve"> (trong phạm vi thỏa mãn điều kiện ghi nhận ở đoạn 24) hoặc </w:t>
      </w:r>
      <w:r w:rsidR="00731917" w:rsidRPr="00010F83">
        <w:rPr>
          <w:rFonts w:ascii="Arial" w:hAnsi="Arial" w:cs="Arial"/>
          <w:bCs/>
          <w:sz w:val="22"/>
          <w:szCs w:val="22"/>
          <w:lang w:val="nl-NL"/>
        </w:rPr>
        <w:t>thuế TNDN</w:t>
      </w:r>
      <w:r w:rsidR="006805F0" w:rsidRPr="00010F83">
        <w:rPr>
          <w:rFonts w:ascii="Arial" w:hAnsi="Arial" w:cs="Arial"/>
          <w:bCs/>
          <w:sz w:val="22"/>
          <w:szCs w:val="22"/>
          <w:lang w:val="nl-NL"/>
        </w:rPr>
        <w:t xml:space="preserve"> hoãn lại phải trả</w:t>
      </w:r>
      <w:r w:rsidRPr="00010F83">
        <w:rPr>
          <w:rFonts w:ascii="Arial" w:hAnsi="Arial" w:cs="Arial"/>
          <w:bCs/>
          <w:sz w:val="22"/>
          <w:szCs w:val="22"/>
          <w:lang w:val="nl-NL"/>
        </w:rPr>
        <w:t xml:space="preserve"> như là tài sản hoặc nợ phải trả có thể xác định</w:t>
      </w:r>
      <w:r w:rsidR="001C7E25" w:rsidRPr="00010F83">
        <w:rPr>
          <w:rFonts w:ascii="Arial" w:hAnsi="Arial" w:cs="Arial"/>
          <w:bCs/>
          <w:sz w:val="22"/>
          <w:szCs w:val="22"/>
          <w:lang w:val="nl-NL"/>
        </w:rPr>
        <w:t xml:space="preserve"> được tại ngày mua. </w:t>
      </w:r>
      <w:r w:rsidR="0010473B" w:rsidRPr="00010F83">
        <w:rPr>
          <w:rFonts w:ascii="Arial" w:hAnsi="Arial" w:cs="Arial"/>
          <w:bCs/>
          <w:sz w:val="22"/>
          <w:szCs w:val="22"/>
          <w:lang w:val="nl-NL"/>
        </w:rPr>
        <w:t xml:space="preserve">Tài </w:t>
      </w:r>
      <w:r w:rsidR="006805F0" w:rsidRPr="00010F83">
        <w:rPr>
          <w:rFonts w:ascii="Arial" w:hAnsi="Arial" w:cs="Arial"/>
          <w:bCs/>
          <w:sz w:val="22"/>
          <w:szCs w:val="22"/>
          <w:lang w:val="nl-NL"/>
        </w:rPr>
        <w:t xml:space="preserve">sản </w:t>
      </w:r>
      <w:r w:rsidR="00731917" w:rsidRPr="00010F83">
        <w:rPr>
          <w:rFonts w:ascii="Arial" w:hAnsi="Arial" w:cs="Arial"/>
          <w:bCs/>
          <w:sz w:val="22"/>
          <w:szCs w:val="22"/>
          <w:lang w:val="nl-NL"/>
        </w:rPr>
        <w:t>thuế TNDN</w:t>
      </w:r>
      <w:r w:rsidR="006805F0" w:rsidRPr="00010F83">
        <w:rPr>
          <w:rFonts w:ascii="Arial" w:hAnsi="Arial" w:cs="Arial"/>
          <w:bCs/>
          <w:sz w:val="22"/>
          <w:szCs w:val="22"/>
          <w:lang w:val="nl-NL"/>
        </w:rPr>
        <w:t xml:space="preserve"> hoãn lại</w:t>
      </w:r>
      <w:r w:rsidRPr="00010F83">
        <w:rPr>
          <w:rFonts w:ascii="Arial" w:hAnsi="Arial" w:cs="Arial"/>
          <w:bCs/>
          <w:sz w:val="22"/>
          <w:szCs w:val="22"/>
          <w:lang w:val="nl-NL"/>
        </w:rPr>
        <w:t xml:space="preserve"> và </w:t>
      </w:r>
      <w:r w:rsidR="00731917" w:rsidRPr="00010F83">
        <w:rPr>
          <w:rFonts w:ascii="Arial" w:hAnsi="Arial" w:cs="Arial"/>
          <w:bCs/>
          <w:sz w:val="22"/>
          <w:szCs w:val="22"/>
          <w:lang w:val="nl-NL"/>
        </w:rPr>
        <w:t>thuế TNDN</w:t>
      </w:r>
      <w:r w:rsidR="006805F0" w:rsidRPr="00010F83">
        <w:rPr>
          <w:rFonts w:ascii="Arial" w:hAnsi="Arial" w:cs="Arial"/>
          <w:bCs/>
          <w:sz w:val="22"/>
          <w:szCs w:val="22"/>
          <w:lang w:val="nl-NL"/>
        </w:rPr>
        <w:t xml:space="preserve"> hoãn lại phải trả</w:t>
      </w:r>
      <w:r w:rsidRPr="00010F83">
        <w:rPr>
          <w:rFonts w:ascii="Arial" w:hAnsi="Arial" w:cs="Arial"/>
          <w:bCs/>
          <w:sz w:val="22"/>
          <w:szCs w:val="22"/>
          <w:lang w:val="nl-NL"/>
        </w:rPr>
        <w:t xml:space="preserve"> đó sẽ ảnh hưởng đến giá trị lợi thế thương mại hoặc lãi do mua </w:t>
      </w:r>
      <w:r w:rsidR="00D50D58" w:rsidRPr="00010F83">
        <w:rPr>
          <w:rFonts w:ascii="Arial" w:hAnsi="Arial" w:cs="Arial"/>
          <w:bCs/>
          <w:sz w:val="22"/>
          <w:szCs w:val="22"/>
          <w:lang w:val="nl-NL"/>
        </w:rPr>
        <w:t xml:space="preserve">với giá tốt </w:t>
      </w:r>
      <w:r w:rsidRPr="00010F83">
        <w:rPr>
          <w:rFonts w:ascii="Arial" w:hAnsi="Arial" w:cs="Arial"/>
          <w:bCs/>
          <w:sz w:val="22"/>
          <w:szCs w:val="22"/>
          <w:lang w:val="nl-NL"/>
        </w:rPr>
        <w:t xml:space="preserve">mà đơn vị ghi nhận. Tuy nhiên, theo đoạn 15(a), đơn vị sẽ không ghi nhận </w:t>
      </w:r>
      <w:r w:rsidR="00731917" w:rsidRPr="00010F83">
        <w:rPr>
          <w:rFonts w:ascii="Arial" w:hAnsi="Arial" w:cs="Arial"/>
          <w:bCs/>
          <w:sz w:val="22"/>
          <w:szCs w:val="22"/>
          <w:lang w:val="nl-NL"/>
        </w:rPr>
        <w:t>thuế TNDN</w:t>
      </w:r>
      <w:r w:rsidR="006805F0" w:rsidRPr="00010F83">
        <w:rPr>
          <w:rFonts w:ascii="Arial" w:hAnsi="Arial" w:cs="Arial"/>
          <w:bCs/>
          <w:sz w:val="22"/>
          <w:szCs w:val="22"/>
          <w:lang w:val="nl-NL"/>
        </w:rPr>
        <w:t xml:space="preserve"> hoãn lại phải trả</w:t>
      </w:r>
      <w:r w:rsidRPr="00010F83">
        <w:rPr>
          <w:rFonts w:ascii="Arial" w:hAnsi="Arial" w:cs="Arial"/>
          <w:bCs/>
          <w:sz w:val="22"/>
          <w:szCs w:val="22"/>
          <w:lang w:val="nl-NL"/>
        </w:rPr>
        <w:t xml:space="preserve"> phát sinh từ việc ghi nhận ban đầu đối với lợi thế thương mại. </w:t>
      </w:r>
    </w:p>
    <w:p w:rsidR="00000000" w:rsidRPr="00010F83" w:rsidRDefault="00756CB6">
      <w:pPr>
        <w:pStyle w:val="BodyTextIndent"/>
        <w:tabs>
          <w:tab w:val="left" w:pos="720"/>
        </w:tabs>
        <w:spacing w:before="0" w:after="120" w:line="240" w:lineRule="auto"/>
        <w:ind w:left="720" w:hanging="720"/>
        <w:rPr>
          <w:lang w:val="nl-NL"/>
        </w:rPr>
      </w:pPr>
      <w:r w:rsidRPr="00010F83">
        <w:rPr>
          <w:rFonts w:ascii="Arial" w:hAnsi="Arial" w:cs="Arial"/>
          <w:bCs/>
          <w:sz w:val="22"/>
          <w:szCs w:val="22"/>
          <w:lang w:val="nl-NL"/>
        </w:rPr>
        <w:t xml:space="preserve">67      </w:t>
      </w:r>
      <w:r w:rsidRPr="00010F83">
        <w:rPr>
          <w:rFonts w:ascii="Arial" w:hAnsi="Arial" w:cs="Arial"/>
          <w:bCs/>
          <w:sz w:val="22"/>
          <w:szCs w:val="22"/>
          <w:lang w:val="nl-NL"/>
        </w:rPr>
        <w:tab/>
        <w:t xml:space="preserve">Do kết quả của việc hợp nhất kinh doanh, </w:t>
      </w:r>
      <w:r w:rsidR="00D50D58" w:rsidRPr="00010F83">
        <w:rPr>
          <w:rFonts w:ascii="Arial" w:hAnsi="Arial" w:cs="Arial"/>
          <w:bCs/>
          <w:sz w:val="22"/>
          <w:szCs w:val="22"/>
          <w:lang w:val="nl-NL"/>
        </w:rPr>
        <w:t>khả năng thu được lợi ích từ một tài sản thuế TNDN hoãn lại trước khi giao dịch mua thực hiện có thể thay đổi</w:t>
      </w:r>
      <w:r w:rsidRPr="00010F83">
        <w:rPr>
          <w:rFonts w:ascii="Arial" w:hAnsi="Arial" w:cs="Arial"/>
          <w:bCs/>
          <w:sz w:val="22"/>
          <w:szCs w:val="22"/>
          <w:lang w:val="nl-NL"/>
        </w:rPr>
        <w:t xml:space="preserve">. Đơn vị mua có thể </w:t>
      </w:r>
      <w:r w:rsidR="001C7E25" w:rsidRPr="00010F83">
        <w:rPr>
          <w:rFonts w:ascii="Arial" w:hAnsi="Arial" w:cs="Arial"/>
          <w:bCs/>
          <w:sz w:val="22"/>
          <w:szCs w:val="22"/>
          <w:lang w:val="nl-NL"/>
        </w:rPr>
        <w:t>đánh giá là họ sẽ</w:t>
      </w:r>
      <w:r w:rsidRPr="00010F83">
        <w:rPr>
          <w:rFonts w:ascii="Arial" w:hAnsi="Arial" w:cs="Arial"/>
          <w:bCs/>
          <w:sz w:val="22"/>
          <w:szCs w:val="22"/>
          <w:lang w:val="nl-NL"/>
        </w:rPr>
        <w:t xml:space="preserve"> có nhiều khả năng thu hồi được khoản </w:t>
      </w:r>
      <w:r w:rsidR="006805F0" w:rsidRPr="00010F83">
        <w:rPr>
          <w:rFonts w:ascii="Arial" w:hAnsi="Arial" w:cs="Arial"/>
          <w:bCs/>
          <w:sz w:val="22"/>
          <w:szCs w:val="22"/>
          <w:lang w:val="nl-NL"/>
        </w:rPr>
        <w:t xml:space="preserve">tài sản </w:t>
      </w:r>
      <w:r w:rsidR="00731917" w:rsidRPr="00010F83">
        <w:rPr>
          <w:rFonts w:ascii="Arial" w:hAnsi="Arial" w:cs="Arial"/>
          <w:bCs/>
          <w:sz w:val="22"/>
          <w:szCs w:val="22"/>
          <w:lang w:val="nl-NL"/>
        </w:rPr>
        <w:t>thuế TNDN</w:t>
      </w:r>
      <w:r w:rsidR="006805F0" w:rsidRPr="00010F83">
        <w:rPr>
          <w:rFonts w:ascii="Arial" w:hAnsi="Arial" w:cs="Arial"/>
          <w:bCs/>
          <w:sz w:val="22"/>
          <w:szCs w:val="22"/>
          <w:lang w:val="nl-NL"/>
        </w:rPr>
        <w:t xml:space="preserve"> hoãn lại</w:t>
      </w:r>
      <w:r w:rsidRPr="00010F83">
        <w:rPr>
          <w:rFonts w:ascii="Arial" w:hAnsi="Arial" w:cs="Arial"/>
          <w:bCs/>
          <w:sz w:val="22"/>
          <w:szCs w:val="22"/>
          <w:lang w:val="nl-NL"/>
        </w:rPr>
        <w:t xml:space="preserve"> mà </w:t>
      </w:r>
      <w:r w:rsidR="001C7E25" w:rsidRPr="00010F83">
        <w:rPr>
          <w:rFonts w:ascii="Arial" w:hAnsi="Arial" w:cs="Arial"/>
          <w:bCs/>
          <w:sz w:val="22"/>
          <w:szCs w:val="22"/>
          <w:lang w:val="nl-NL"/>
        </w:rPr>
        <w:t xml:space="preserve">trước đó chưa được </w:t>
      </w:r>
      <w:r w:rsidRPr="00010F83">
        <w:rPr>
          <w:rFonts w:ascii="Arial" w:hAnsi="Arial" w:cs="Arial"/>
          <w:bCs/>
          <w:sz w:val="22"/>
          <w:szCs w:val="22"/>
          <w:lang w:val="nl-NL"/>
        </w:rPr>
        <w:t xml:space="preserve">ghi nhận. Ví dụ, đơn vị mua có thể </w:t>
      </w:r>
      <w:r w:rsidR="001C7E25" w:rsidRPr="00010F83">
        <w:rPr>
          <w:rFonts w:ascii="Arial" w:hAnsi="Arial" w:cs="Arial"/>
          <w:bCs/>
          <w:sz w:val="22"/>
          <w:szCs w:val="22"/>
          <w:lang w:val="nl-NL"/>
        </w:rPr>
        <w:t>sử</w:t>
      </w:r>
      <w:r w:rsidRPr="00010F83">
        <w:rPr>
          <w:rFonts w:ascii="Arial" w:hAnsi="Arial" w:cs="Arial"/>
          <w:bCs/>
          <w:sz w:val="22"/>
          <w:szCs w:val="22"/>
          <w:lang w:val="nl-NL"/>
        </w:rPr>
        <w:t xml:space="preserve"> dụng các lợi ích từ các khoản lỗ tính thuế chưa sử dụng để giảm trừ vào lợi nhuận chịu thuế trong tương lai của đơn vị được mua. </w:t>
      </w:r>
      <w:r w:rsidR="001C7E25" w:rsidRPr="00010F83">
        <w:rPr>
          <w:rFonts w:ascii="Arial" w:hAnsi="Arial" w:cs="Arial"/>
          <w:bCs/>
          <w:sz w:val="22"/>
          <w:szCs w:val="22"/>
          <w:lang w:val="nl-NL"/>
        </w:rPr>
        <w:t>Ngược lại</w:t>
      </w:r>
      <w:r w:rsidRPr="00010F83">
        <w:rPr>
          <w:rFonts w:ascii="Arial" w:hAnsi="Arial" w:cs="Arial"/>
          <w:bCs/>
          <w:sz w:val="22"/>
          <w:szCs w:val="22"/>
          <w:lang w:val="nl-NL"/>
        </w:rPr>
        <w:t xml:space="preserve">, do </w:t>
      </w:r>
      <w:r w:rsidR="001C7E25" w:rsidRPr="00010F83">
        <w:rPr>
          <w:rFonts w:ascii="Arial" w:hAnsi="Arial" w:cs="Arial"/>
          <w:bCs/>
          <w:sz w:val="22"/>
          <w:szCs w:val="22"/>
          <w:lang w:val="nl-NL"/>
        </w:rPr>
        <w:t>hệ</w:t>
      </w:r>
      <w:r w:rsidRPr="00010F83">
        <w:rPr>
          <w:rFonts w:ascii="Arial" w:hAnsi="Arial" w:cs="Arial"/>
          <w:bCs/>
          <w:sz w:val="22"/>
          <w:szCs w:val="22"/>
          <w:lang w:val="nl-NL"/>
        </w:rPr>
        <w:t xml:space="preserve"> quả của hợp nhất kinh doanh, có thể </w:t>
      </w:r>
      <w:r w:rsidR="006805F0" w:rsidRPr="00010F83">
        <w:rPr>
          <w:rFonts w:ascii="Arial" w:hAnsi="Arial" w:cs="Arial"/>
          <w:bCs/>
          <w:sz w:val="22"/>
          <w:szCs w:val="22"/>
          <w:lang w:val="nl-NL"/>
        </w:rPr>
        <w:t xml:space="preserve">tài sản </w:t>
      </w:r>
      <w:r w:rsidR="00731917" w:rsidRPr="00010F83">
        <w:rPr>
          <w:rFonts w:ascii="Arial" w:hAnsi="Arial" w:cs="Arial"/>
          <w:bCs/>
          <w:sz w:val="22"/>
          <w:szCs w:val="22"/>
          <w:lang w:val="nl-NL"/>
        </w:rPr>
        <w:t>thuế TNDN</w:t>
      </w:r>
      <w:r w:rsidR="006805F0" w:rsidRPr="00010F83">
        <w:rPr>
          <w:rFonts w:ascii="Arial" w:hAnsi="Arial" w:cs="Arial"/>
          <w:bCs/>
          <w:sz w:val="22"/>
          <w:szCs w:val="22"/>
          <w:lang w:val="nl-NL"/>
        </w:rPr>
        <w:t xml:space="preserve"> hoãn lại</w:t>
      </w:r>
      <w:r w:rsidRPr="00010F83">
        <w:rPr>
          <w:rFonts w:ascii="Arial" w:hAnsi="Arial" w:cs="Arial"/>
          <w:bCs/>
          <w:sz w:val="22"/>
          <w:szCs w:val="22"/>
          <w:lang w:val="nl-NL"/>
        </w:rPr>
        <w:t xml:space="preserve"> không </w:t>
      </w:r>
      <w:r w:rsidR="001C7E25" w:rsidRPr="00010F83">
        <w:rPr>
          <w:rFonts w:ascii="Arial" w:hAnsi="Arial" w:cs="Arial"/>
          <w:bCs/>
          <w:sz w:val="22"/>
          <w:szCs w:val="22"/>
          <w:lang w:val="nl-NL"/>
        </w:rPr>
        <w:t>còn khả năng</w:t>
      </w:r>
      <w:r w:rsidRPr="00010F83">
        <w:rPr>
          <w:rFonts w:ascii="Arial" w:hAnsi="Arial" w:cs="Arial"/>
          <w:bCs/>
          <w:sz w:val="22"/>
          <w:szCs w:val="22"/>
          <w:lang w:val="nl-NL"/>
        </w:rPr>
        <w:t xml:space="preserve"> thu hồi bởi </w:t>
      </w:r>
      <w:r w:rsidR="00B57983" w:rsidRPr="00010F83">
        <w:rPr>
          <w:rFonts w:ascii="Arial" w:hAnsi="Arial" w:cs="Arial"/>
          <w:bCs/>
          <w:sz w:val="22"/>
          <w:szCs w:val="22"/>
          <w:lang w:val="nl-NL"/>
        </w:rPr>
        <w:t xml:space="preserve">ảnh hưởng của </w:t>
      </w:r>
      <w:r w:rsidRPr="00010F83">
        <w:rPr>
          <w:rFonts w:ascii="Arial" w:hAnsi="Arial" w:cs="Arial"/>
          <w:bCs/>
          <w:sz w:val="22"/>
          <w:szCs w:val="22"/>
          <w:lang w:val="nl-NL"/>
        </w:rPr>
        <w:t>lợi nhuận tính thuế trong tương lai</w:t>
      </w:r>
      <w:r w:rsidR="00B57983" w:rsidRPr="00010F83">
        <w:rPr>
          <w:rFonts w:ascii="Arial" w:hAnsi="Arial" w:cs="Arial"/>
          <w:bCs/>
          <w:sz w:val="22"/>
          <w:szCs w:val="22"/>
          <w:lang w:val="nl-NL"/>
        </w:rPr>
        <w:t xml:space="preserve"> không đủ để hoàn nhập tài sản thuế thu nhập hoãn lại</w:t>
      </w:r>
      <w:r w:rsidRPr="00010F83">
        <w:rPr>
          <w:rFonts w:ascii="Arial" w:hAnsi="Arial" w:cs="Arial"/>
          <w:bCs/>
          <w:sz w:val="22"/>
          <w:szCs w:val="22"/>
          <w:lang w:val="nl-NL"/>
        </w:rPr>
        <w:t xml:space="preserve">.  Trong các trường hợp này, đơn vị mua ghi nhận thay đổi </w:t>
      </w:r>
      <w:r w:rsidR="001C7E25" w:rsidRPr="00010F83">
        <w:rPr>
          <w:rFonts w:ascii="Arial" w:hAnsi="Arial" w:cs="Arial"/>
          <w:bCs/>
          <w:sz w:val="22"/>
          <w:szCs w:val="22"/>
          <w:lang w:val="nl-NL"/>
        </w:rPr>
        <w:t>giá trị ghi sổ của</w:t>
      </w:r>
      <w:r w:rsidRPr="00010F83">
        <w:rPr>
          <w:rFonts w:ascii="Arial" w:hAnsi="Arial" w:cs="Arial"/>
          <w:bCs/>
          <w:sz w:val="22"/>
          <w:szCs w:val="22"/>
          <w:lang w:val="nl-NL"/>
        </w:rPr>
        <w:t xml:space="preserve"> </w:t>
      </w:r>
      <w:r w:rsidR="006805F0" w:rsidRPr="00010F83">
        <w:rPr>
          <w:rFonts w:ascii="Arial" w:hAnsi="Arial" w:cs="Arial"/>
          <w:bCs/>
          <w:sz w:val="22"/>
          <w:szCs w:val="22"/>
          <w:lang w:val="nl-NL"/>
        </w:rPr>
        <w:t xml:space="preserve">tài sản </w:t>
      </w:r>
      <w:r w:rsidR="00731917" w:rsidRPr="00010F83">
        <w:rPr>
          <w:rFonts w:ascii="Arial" w:hAnsi="Arial" w:cs="Arial"/>
          <w:bCs/>
          <w:sz w:val="22"/>
          <w:szCs w:val="22"/>
          <w:lang w:val="nl-NL"/>
        </w:rPr>
        <w:t>thuế TNDN</w:t>
      </w:r>
      <w:r w:rsidR="006805F0" w:rsidRPr="00010F83">
        <w:rPr>
          <w:rFonts w:ascii="Arial" w:hAnsi="Arial" w:cs="Arial"/>
          <w:bCs/>
          <w:sz w:val="22"/>
          <w:szCs w:val="22"/>
          <w:lang w:val="nl-NL"/>
        </w:rPr>
        <w:t xml:space="preserve"> hoãn lại</w:t>
      </w:r>
      <w:r w:rsidRPr="00010F83">
        <w:rPr>
          <w:rFonts w:ascii="Arial" w:hAnsi="Arial" w:cs="Arial"/>
          <w:bCs/>
          <w:sz w:val="22"/>
          <w:szCs w:val="22"/>
          <w:lang w:val="nl-NL"/>
        </w:rPr>
        <w:t xml:space="preserve"> trong kỳ diễn ra giao dịch hợp nhất kinh doanh, nhưng không </w:t>
      </w:r>
      <w:r w:rsidR="001C7E25" w:rsidRPr="00010F83">
        <w:rPr>
          <w:rFonts w:ascii="Arial" w:hAnsi="Arial" w:cs="Arial"/>
          <w:bCs/>
          <w:sz w:val="22"/>
          <w:szCs w:val="22"/>
          <w:lang w:val="nl-NL"/>
        </w:rPr>
        <w:t xml:space="preserve">tính thay đổi đó </w:t>
      </w:r>
      <w:r w:rsidR="00B57983" w:rsidRPr="00010F83">
        <w:rPr>
          <w:rFonts w:ascii="Arial" w:hAnsi="Arial" w:cs="Arial"/>
          <w:bCs/>
          <w:sz w:val="22"/>
          <w:szCs w:val="22"/>
          <w:lang w:val="nl-NL"/>
        </w:rPr>
        <w:t xml:space="preserve">khi </w:t>
      </w:r>
      <w:r w:rsidR="001C7E25" w:rsidRPr="00010F83">
        <w:rPr>
          <w:rFonts w:ascii="Arial" w:hAnsi="Arial" w:cs="Arial"/>
          <w:bCs/>
          <w:sz w:val="22"/>
          <w:szCs w:val="22"/>
          <w:lang w:val="nl-NL"/>
        </w:rPr>
        <w:t>hạch toán</w:t>
      </w:r>
      <w:r w:rsidRPr="00010F83">
        <w:rPr>
          <w:rFonts w:ascii="Arial" w:hAnsi="Arial" w:cs="Arial"/>
          <w:bCs/>
          <w:sz w:val="22"/>
          <w:szCs w:val="22"/>
          <w:lang w:val="nl-NL"/>
        </w:rPr>
        <w:t xml:space="preserve"> hợp nhất kinh doanh. </w:t>
      </w:r>
      <w:r w:rsidR="001C7E25" w:rsidRPr="00010F83">
        <w:rPr>
          <w:rFonts w:ascii="Arial" w:hAnsi="Arial" w:cs="Arial"/>
          <w:bCs/>
          <w:sz w:val="22"/>
          <w:szCs w:val="22"/>
          <w:lang w:val="nl-NL"/>
        </w:rPr>
        <w:t>Tức là</w:t>
      </w:r>
      <w:r w:rsidRPr="00010F83">
        <w:rPr>
          <w:rFonts w:ascii="Arial" w:hAnsi="Arial" w:cs="Arial"/>
          <w:bCs/>
          <w:sz w:val="22"/>
          <w:szCs w:val="22"/>
          <w:lang w:val="nl-NL"/>
        </w:rPr>
        <w:t xml:space="preserve">, đơn vị mua không </w:t>
      </w:r>
      <w:r w:rsidR="001C7E25" w:rsidRPr="00010F83">
        <w:rPr>
          <w:rFonts w:ascii="Arial" w:hAnsi="Arial" w:cs="Arial"/>
          <w:bCs/>
          <w:sz w:val="22"/>
          <w:szCs w:val="22"/>
          <w:lang w:val="nl-NL"/>
        </w:rPr>
        <w:t>tính</w:t>
      </w:r>
      <w:r w:rsidRPr="00010F83">
        <w:rPr>
          <w:rFonts w:ascii="Arial" w:hAnsi="Arial" w:cs="Arial"/>
          <w:bCs/>
          <w:sz w:val="22"/>
          <w:szCs w:val="22"/>
          <w:lang w:val="nl-NL"/>
        </w:rPr>
        <w:t xml:space="preserve"> thay đổi của </w:t>
      </w:r>
      <w:r w:rsidR="006805F0" w:rsidRPr="00010F83">
        <w:rPr>
          <w:rFonts w:ascii="Arial" w:hAnsi="Arial" w:cs="Arial"/>
          <w:bCs/>
          <w:sz w:val="22"/>
          <w:szCs w:val="22"/>
          <w:lang w:val="nl-NL"/>
        </w:rPr>
        <w:t xml:space="preserve">tài sản </w:t>
      </w:r>
      <w:r w:rsidR="00731917" w:rsidRPr="00010F83">
        <w:rPr>
          <w:rFonts w:ascii="Arial" w:hAnsi="Arial" w:cs="Arial"/>
          <w:bCs/>
          <w:sz w:val="22"/>
          <w:szCs w:val="22"/>
          <w:lang w:val="nl-NL"/>
        </w:rPr>
        <w:t>thuế TNDN</w:t>
      </w:r>
      <w:r w:rsidR="006805F0" w:rsidRPr="00010F83">
        <w:rPr>
          <w:rFonts w:ascii="Arial" w:hAnsi="Arial" w:cs="Arial"/>
          <w:bCs/>
          <w:sz w:val="22"/>
          <w:szCs w:val="22"/>
          <w:lang w:val="nl-NL"/>
        </w:rPr>
        <w:t xml:space="preserve"> hoãn lại</w:t>
      </w:r>
      <w:r w:rsidRPr="00010F83">
        <w:rPr>
          <w:rFonts w:ascii="Arial" w:hAnsi="Arial" w:cs="Arial"/>
          <w:bCs/>
          <w:sz w:val="22"/>
          <w:szCs w:val="22"/>
          <w:lang w:val="nl-NL"/>
        </w:rPr>
        <w:t xml:space="preserve"> </w:t>
      </w:r>
      <w:r w:rsidR="00E43FDE" w:rsidRPr="00010F83">
        <w:rPr>
          <w:rFonts w:ascii="Arial" w:hAnsi="Arial" w:cs="Arial"/>
          <w:bCs/>
          <w:sz w:val="22"/>
          <w:szCs w:val="22"/>
          <w:lang w:val="nl-NL"/>
        </w:rPr>
        <w:t xml:space="preserve">của họ </w:t>
      </w:r>
      <w:r w:rsidRPr="00010F83">
        <w:rPr>
          <w:rFonts w:ascii="Arial" w:hAnsi="Arial" w:cs="Arial"/>
          <w:bCs/>
          <w:sz w:val="22"/>
          <w:szCs w:val="22"/>
          <w:lang w:val="nl-NL"/>
        </w:rPr>
        <w:t xml:space="preserve">trong việc xác định giá trị của lợi thế thương mại hay lãi do mua </w:t>
      </w:r>
      <w:r w:rsidR="00B57983" w:rsidRPr="00010F83">
        <w:rPr>
          <w:rFonts w:ascii="Arial" w:hAnsi="Arial" w:cs="Arial"/>
          <w:bCs/>
          <w:sz w:val="22"/>
          <w:szCs w:val="22"/>
          <w:lang w:val="nl-NL"/>
        </w:rPr>
        <w:t xml:space="preserve">với giá tốt </w:t>
      </w:r>
      <w:r w:rsidRPr="00010F83">
        <w:rPr>
          <w:rFonts w:ascii="Arial" w:hAnsi="Arial" w:cs="Arial"/>
          <w:bCs/>
          <w:sz w:val="22"/>
          <w:szCs w:val="22"/>
          <w:lang w:val="nl-NL"/>
        </w:rPr>
        <w:t>trong</w:t>
      </w:r>
      <w:r w:rsidR="00E43FDE" w:rsidRPr="00010F83">
        <w:rPr>
          <w:rFonts w:ascii="Arial" w:hAnsi="Arial" w:cs="Arial"/>
          <w:bCs/>
          <w:sz w:val="22"/>
          <w:szCs w:val="22"/>
          <w:lang w:val="nl-NL"/>
        </w:rPr>
        <w:t xml:space="preserve"> hạch toán</w:t>
      </w:r>
      <w:r w:rsidRPr="00010F83">
        <w:rPr>
          <w:rFonts w:ascii="Arial" w:hAnsi="Arial" w:cs="Arial"/>
          <w:bCs/>
          <w:sz w:val="22"/>
          <w:szCs w:val="22"/>
          <w:lang w:val="nl-NL"/>
        </w:rPr>
        <w:t xml:space="preserve"> hợp nhất kinh doanh.</w:t>
      </w:r>
    </w:p>
    <w:p w:rsidR="00756CB6" w:rsidRPr="00010F83" w:rsidRDefault="00756CB6" w:rsidP="00590853">
      <w:pPr>
        <w:pStyle w:val="BodyTextIndent"/>
        <w:spacing w:before="0" w:after="120" w:line="240" w:lineRule="auto"/>
        <w:ind w:left="720" w:hanging="720"/>
        <w:rPr>
          <w:rFonts w:ascii="Arial" w:hAnsi="Arial" w:cs="Arial"/>
          <w:bCs/>
          <w:sz w:val="22"/>
          <w:szCs w:val="22"/>
          <w:lang w:val="nl-NL"/>
        </w:rPr>
      </w:pPr>
      <w:r w:rsidRPr="00010F83">
        <w:rPr>
          <w:rFonts w:ascii="Arial" w:hAnsi="Arial" w:cs="Arial"/>
          <w:bCs/>
          <w:sz w:val="22"/>
          <w:szCs w:val="22"/>
          <w:lang w:val="nl-NL"/>
        </w:rPr>
        <w:t xml:space="preserve">68      </w:t>
      </w:r>
      <w:r w:rsidRPr="00010F83">
        <w:rPr>
          <w:rFonts w:ascii="Arial" w:hAnsi="Arial" w:cs="Arial"/>
          <w:bCs/>
          <w:sz w:val="22"/>
          <w:szCs w:val="22"/>
          <w:lang w:val="nl-NL"/>
        </w:rPr>
        <w:tab/>
        <w:t xml:space="preserve">Lợi ích tiềm năng của lỗ tính thuế </w:t>
      </w:r>
      <w:r w:rsidR="00B57983" w:rsidRPr="00010F83">
        <w:rPr>
          <w:rFonts w:ascii="Arial" w:hAnsi="Arial" w:cs="Arial"/>
          <w:bCs/>
          <w:sz w:val="22"/>
          <w:szCs w:val="22"/>
          <w:lang w:val="nl-NL"/>
        </w:rPr>
        <w:t xml:space="preserve">chuyển </w:t>
      </w:r>
      <w:r w:rsidRPr="00010F83">
        <w:rPr>
          <w:rFonts w:ascii="Arial" w:hAnsi="Arial" w:cs="Arial"/>
          <w:bCs/>
          <w:sz w:val="22"/>
          <w:szCs w:val="22"/>
          <w:lang w:val="nl-NL"/>
        </w:rPr>
        <w:t xml:space="preserve">sang từ đơn vị </w:t>
      </w:r>
      <w:r w:rsidR="00E43FDE" w:rsidRPr="00010F83">
        <w:rPr>
          <w:rFonts w:ascii="Arial" w:hAnsi="Arial" w:cs="Arial"/>
          <w:bCs/>
          <w:sz w:val="22"/>
          <w:szCs w:val="22"/>
          <w:lang w:val="nl-NL"/>
        </w:rPr>
        <w:t>được</w:t>
      </w:r>
      <w:r w:rsidRPr="00010F83">
        <w:rPr>
          <w:rFonts w:ascii="Arial" w:hAnsi="Arial" w:cs="Arial"/>
          <w:bCs/>
          <w:sz w:val="22"/>
          <w:szCs w:val="22"/>
          <w:lang w:val="nl-NL"/>
        </w:rPr>
        <w:t xml:space="preserve"> mua hoặc </w:t>
      </w:r>
      <w:r w:rsidR="006805F0" w:rsidRPr="00010F83">
        <w:rPr>
          <w:rFonts w:ascii="Arial" w:hAnsi="Arial" w:cs="Arial"/>
          <w:bCs/>
          <w:sz w:val="22"/>
          <w:szCs w:val="22"/>
          <w:lang w:val="nl-NL"/>
        </w:rPr>
        <w:t xml:space="preserve">tài sản </w:t>
      </w:r>
      <w:r w:rsidR="00731917" w:rsidRPr="00010F83">
        <w:rPr>
          <w:rFonts w:ascii="Arial" w:hAnsi="Arial" w:cs="Arial"/>
          <w:bCs/>
          <w:sz w:val="22"/>
          <w:szCs w:val="22"/>
          <w:lang w:val="nl-NL"/>
        </w:rPr>
        <w:t>thuế TNDN</w:t>
      </w:r>
      <w:r w:rsidR="006805F0" w:rsidRPr="00010F83">
        <w:rPr>
          <w:rFonts w:ascii="Arial" w:hAnsi="Arial" w:cs="Arial"/>
          <w:bCs/>
          <w:sz w:val="22"/>
          <w:szCs w:val="22"/>
          <w:lang w:val="nl-NL"/>
        </w:rPr>
        <w:t xml:space="preserve"> hoãn lại</w:t>
      </w:r>
      <w:r w:rsidRPr="00010F83">
        <w:rPr>
          <w:rFonts w:ascii="Arial" w:hAnsi="Arial" w:cs="Arial"/>
          <w:bCs/>
          <w:sz w:val="22"/>
          <w:szCs w:val="22"/>
          <w:lang w:val="nl-NL"/>
        </w:rPr>
        <w:t xml:space="preserve"> khác có thể không đáp ứng các tiêu c</w:t>
      </w:r>
      <w:r w:rsidR="00E43FDE" w:rsidRPr="00010F83">
        <w:rPr>
          <w:rFonts w:ascii="Arial" w:hAnsi="Arial" w:cs="Arial"/>
          <w:bCs/>
          <w:sz w:val="22"/>
          <w:szCs w:val="22"/>
          <w:lang w:val="nl-NL"/>
        </w:rPr>
        <w:t>huẩn để được ghi nhận</w:t>
      </w:r>
      <w:r w:rsidR="00B57983" w:rsidRPr="00010F83">
        <w:rPr>
          <w:rFonts w:ascii="Arial" w:hAnsi="Arial" w:cs="Arial"/>
          <w:bCs/>
          <w:sz w:val="22"/>
          <w:szCs w:val="22"/>
          <w:lang w:val="nl-NL"/>
        </w:rPr>
        <w:t xml:space="preserve"> riêng</w:t>
      </w:r>
      <w:r w:rsidRPr="00010F83">
        <w:rPr>
          <w:rFonts w:ascii="Arial" w:hAnsi="Arial" w:cs="Arial"/>
          <w:bCs/>
          <w:sz w:val="22"/>
          <w:szCs w:val="22"/>
          <w:lang w:val="nl-NL"/>
        </w:rPr>
        <w:t xml:space="preserve"> khi giao dịch hợp nhất được </w:t>
      </w:r>
      <w:r w:rsidR="00E43FDE" w:rsidRPr="00010F83">
        <w:rPr>
          <w:rFonts w:ascii="Arial" w:hAnsi="Arial" w:cs="Arial"/>
          <w:bCs/>
          <w:sz w:val="22"/>
          <w:szCs w:val="22"/>
          <w:lang w:val="nl-NL"/>
        </w:rPr>
        <w:t>hạch toán</w:t>
      </w:r>
      <w:r w:rsidRPr="00010F83">
        <w:rPr>
          <w:rFonts w:ascii="Arial" w:hAnsi="Arial" w:cs="Arial"/>
          <w:bCs/>
          <w:sz w:val="22"/>
          <w:szCs w:val="22"/>
          <w:lang w:val="nl-NL"/>
        </w:rPr>
        <w:t xml:space="preserve"> ban đầu</w:t>
      </w:r>
      <w:r w:rsidR="00E43FDE" w:rsidRPr="00010F83">
        <w:rPr>
          <w:rFonts w:ascii="Arial" w:hAnsi="Arial" w:cs="Arial"/>
          <w:bCs/>
          <w:sz w:val="22"/>
          <w:szCs w:val="22"/>
          <w:lang w:val="nl-NL"/>
        </w:rPr>
        <w:t>,</w:t>
      </w:r>
      <w:r w:rsidRPr="00010F83">
        <w:rPr>
          <w:rFonts w:ascii="Arial" w:hAnsi="Arial" w:cs="Arial"/>
          <w:bCs/>
          <w:sz w:val="22"/>
          <w:szCs w:val="22"/>
          <w:lang w:val="nl-NL"/>
        </w:rPr>
        <w:t xml:space="preserve"> nhưng có thể sẽ được thu </w:t>
      </w:r>
      <w:r w:rsidR="00E43FDE" w:rsidRPr="00010F83">
        <w:rPr>
          <w:rFonts w:ascii="Arial" w:hAnsi="Arial" w:cs="Arial"/>
          <w:bCs/>
          <w:sz w:val="22"/>
          <w:szCs w:val="22"/>
          <w:lang w:val="nl-NL"/>
        </w:rPr>
        <w:t>hồi sau thời điểm hợp nhất kinh doanh</w:t>
      </w:r>
      <w:r w:rsidRPr="00010F83">
        <w:rPr>
          <w:rFonts w:ascii="Arial" w:hAnsi="Arial" w:cs="Arial"/>
          <w:bCs/>
          <w:sz w:val="22"/>
          <w:szCs w:val="22"/>
          <w:lang w:val="nl-NL"/>
        </w:rPr>
        <w:t xml:space="preserve">. Đơn vị phải ghi nhận lợi ích </w:t>
      </w:r>
      <w:r w:rsidR="00E43FDE" w:rsidRPr="00010F83">
        <w:rPr>
          <w:rFonts w:ascii="Arial" w:hAnsi="Arial" w:cs="Arial"/>
          <w:bCs/>
          <w:sz w:val="22"/>
          <w:szCs w:val="22"/>
          <w:lang w:val="nl-NL"/>
        </w:rPr>
        <w:t xml:space="preserve">của tài sản </w:t>
      </w:r>
      <w:r w:rsidR="00731917" w:rsidRPr="00010F83">
        <w:rPr>
          <w:rFonts w:ascii="Arial" w:hAnsi="Arial" w:cs="Arial"/>
          <w:bCs/>
          <w:sz w:val="22"/>
          <w:szCs w:val="22"/>
          <w:lang w:val="nl-NL"/>
        </w:rPr>
        <w:t>thuế TNDN</w:t>
      </w:r>
      <w:r w:rsidR="00E43FDE" w:rsidRPr="00010F83">
        <w:rPr>
          <w:rFonts w:ascii="Arial" w:hAnsi="Arial" w:cs="Arial"/>
          <w:bCs/>
          <w:sz w:val="22"/>
          <w:szCs w:val="22"/>
          <w:lang w:val="nl-NL"/>
        </w:rPr>
        <w:t xml:space="preserve"> </w:t>
      </w:r>
      <w:r w:rsidRPr="00010F83">
        <w:rPr>
          <w:rFonts w:ascii="Arial" w:hAnsi="Arial" w:cs="Arial"/>
          <w:bCs/>
          <w:sz w:val="22"/>
          <w:szCs w:val="22"/>
          <w:lang w:val="nl-NL"/>
        </w:rPr>
        <w:t xml:space="preserve">hoãn lại có được từ </w:t>
      </w:r>
      <w:r w:rsidR="00E43FDE" w:rsidRPr="00010F83">
        <w:rPr>
          <w:rFonts w:ascii="Arial" w:hAnsi="Arial" w:cs="Arial"/>
          <w:bCs/>
          <w:sz w:val="22"/>
          <w:szCs w:val="22"/>
          <w:lang w:val="nl-NL"/>
        </w:rPr>
        <w:t>giao dịch hợp nhất kinh doanh và</w:t>
      </w:r>
      <w:r w:rsidRPr="00010F83">
        <w:rPr>
          <w:rFonts w:ascii="Arial" w:hAnsi="Arial" w:cs="Arial"/>
          <w:bCs/>
          <w:sz w:val="22"/>
          <w:szCs w:val="22"/>
          <w:lang w:val="nl-NL"/>
        </w:rPr>
        <w:t xml:space="preserve"> </w:t>
      </w:r>
      <w:r w:rsidR="00E43FDE" w:rsidRPr="00010F83">
        <w:rPr>
          <w:rFonts w:ascii="Arial" w:hAnsi="Arial" w:cs="Arial"/>
          <w:bCs/>
          <w:sz w:val="22"/>
          <w:szCs w:val="22"/>
          <w:lang w:val="nl-NL"/>
        </w:rPr>
        <w:t xml:space="preserve">thu </w:t>
      </w:r>
      <w:r w:rsidR="00B57983" w:rsidRPr="00010F83">
        <w:rPr>
          <w:rFonts w:ascii="Arial" w:hAnsi="Arial" w:cs="Arial"/>
          <w:bCs/>
          <w:sz w:val="22"/>
          <w:szCs w:val="22"/>
          <w:lang w:val="nl-NL"/>
        </w:rPr>
        <w:t xml:space="preserve">hồi </w:t>
      </w:r>
      <w:r w:rsidR="00E43FDE" w:rsidRPr="00010F83">
        <w:rPr>
          <w:rFonts w:ascii="Arial" w:hAnsi="Arial" w:cs="Arial"/>
          <w:bCs/>
          <w:sz w:val="22"/>
          <w:szCs w:val="22"/>
          <w:lang w:val="nl-NL"/>
        </w:rPr>
        <w:t>sau thời điểm này</w:t>
      </w:r>
      <w:r w:rsidRPr="00010F83">
        <w:rPr>
          <w:rFonts w:ascii="Arial" w:hAnsi="Arial" w:cs="Arial"/>
          <w:bCs/>
          <w:sz w:val="22"/>
          <w:szCs w:val="22"/>
          <w:lang w:val="nl-NL"/>
        </w:rPr>
        <w:t xml:space="preserve"> như sau:</w:t>
      </w:r>
    </w:p>
    <w:p w:rsidR="00B36011" w:rsidRPr="00010F83" w:rsidRDefault="00756CB6" w:rsidP="00766B0E">
      <w:pPr>
        <w:pStyle w:val="ListParagraph"/>
        <w:numPr>
          <w:ilvl w:val="0"/>
          <w:numId w:val="34"/>
        </w:numPr>
        <w:autoSpaceDE w:val="0"/>
        <w:autoSpaceDN w:val="0"/>
        <w:adjustRightInd w:val="0"/>
        <w:spacing w:after="120"/>
        <w:jc w:val="both"/>
        <w:rPr>
          <w:rFonts w:ascii="Arial" w:hAnsi="Arial" w:cs="Arial"/>
          <w:bCs/>
          <w:sz w:val="22"/>
          <w:szCs w:val="22"/>
          <w:lang w:val="nl-NL"/>
        </w:rPr>
      </w:pPr>
      <w:r w:rsidRPr="00010F83">
        <w:rPr>
          <w:rFonts w:ascii="Arial" w:hAnsi="Arial" w:cs="Arial"/>
          <w:bCs/>
          <w:sz w:val="22"/>
          <w:szCs w:val="22"/>
          <w:lang w:val="nl-NL"/>
        </w:rPr>
        <w:t xml:space="preserve">Lợi ích thuế </w:t>
      </w:r>
      <w:r w:rsidR="00B57983" w:rsidRPr="00010F83">
        <w:rPr>
          <w:rFonts w:ascii="Arial" w:hAnsi="Arial" w:cs="Arial"/>
          <w:bCs/>
          <w:sz w:val="22"/>
          <w:szCs w:val="22"/>
          <w:lang w:val="nl-NL"/>
        </w:rPr>
        <w:t xml:space="preserve">thu nhập </w:t>
      </w:r>
      <w:r w:rsidR="00E43FDE" w:rsidRPr="00010F83">
        <w:rPr>
          <w:rFonts w:ascii="Arial" w:hAnsi="Arial" w:cs="Arial"/>
          <w:bCs/>
          <w:sz w:val="22"/>
          <w:szCs w:val="22"/>
          <w:lang w:val="nl-NL"/>
        </w:rPr>
        <w:t>hoãn lại có được từ hợp nhất kinh doanh,</w:t>
      </w:r>
      <w:r w:rsidRPr="00010F83">
        <w:rPr>
          <w:rFonts w:ascii="Arial" w:hAnsi="Arial" w:cs="Arial"/>
          <w:bCs/>
          <w:sz w:val="22"/>
          <w:szCs w:val="22"/>
          <w:lang w:val="nl-NL"/>
        </w:rPr>
        <w:t xml:space="preserve"> được ghi</w:t>
      </w:r>
      <w:r w:rsidR="00E43FDE" w:rsidRPr="00010F83">
        <w:rPr>
          <w:rFonts w:ascii="Arial" w:hAnsi="Arial" w:cs="Arial"/>
          <w:bCs/>
          <w:sz w:val="22"/>
          <w:szCs w:val="22"/>
          <w:lang w:val="nl-NL"/>
        </w:rPr>
        <w:t xml:space="preserve"> nhận trong khoảng thời gian cho phép xác định lại giá trị hợp nhất kinh doanh</w:t>
      </w:r>
      <w:r w:rsidRPr="00010F83">
        <w:rPr>
          <w:rFonts w:ascii="Arial" w:hAnsi="Arial" w:cs="Arial"/>
          <w:bCs/>
          <w:sz w:val="22"/>
          <w:szCs w:val="22"/>
          <w:lang w:val="nl-NL"/>
        </w:rPr>
        <w:t xml:space="preserve"> do kết quả từ các thông tin mới về các sự kiện và tình huống tồn tại tại ngày mua</w:t>
      </w:r>
      <w:r w:rsidR="00E43FDE" w:rsidRPr="00010F83">
        <w:rPr>
          <w:rFonts w:ascii="Arial" w:hAnsi="Arial" w:cs="Arial"/>
          <w:bCs/>
          <w:sz w:val="22"/>
          <w:szCs w:val="22"/>
          <w:lang w:val="nl-NL"/>
        </w:rPr>
        <w:t>,</w:t>
      </w:r>
      <w:r w:rsidRPr="00010F83">
        <w:rPr>
          <w:rFonts w:ascii="Arial" w:hAnsi="Arial" w:cs="Arial"/>
          <w:bCs/>
          <w:sz w:val="22"/>
          <w:szCs w:val="22"/>
          <w:lang w:val="nl-NL"/>
        </w:rPr>
        <w:t xml:space="preserve"> sẽ </w:t>
      </w:r>
      <w:r w:rsidR="00E43FDE" w:rsidRPr="00010F83">
        <w:rPr>
          <w:rFonts w:ascii="Arial" w:hAnsi="Arial" w:cs="Arial"/>
          <w:bCs/>
          <w:sz w:val="22"/>
          <w:szCs w:val="22"/>
          <w:lang w:val="nl-NL"/>
        </w:rPr>
        <w:t>được</w:t>
      </w:r>
      <w:r w:rsidRPr="00010F83">
        <w:rPr>
          <w:rFonts w:ascii="Arial" w:hAnsi="Arial" w:cs="Arial"/>
          <w:bCs/>
          <w:sz w:val="22"/>
          <w:szCs w:val="22"/>
          <w:lang w:val="nl-NL"/>
        </w:rPr>
        <w:t xml:space="preserve"> điều chỉnh giảm giá trị còn lại của lợi thế thương mại liên quan đến </w:t>
      </w:r>
      <w:r w:rsidR="00E43FDE" w:rsidRPr="00010F83">
        <w:rPr>
          <w:rFonts w:ascii="Arial" w:hAnsi="Arial" w:cs="Arial"/>
          <w:bCs/>
          <w:sz w:val="22"/>
          <w:szCs w:val="22"/>
          <w:lang w:val="nl-NL"/>
        </w:rPr>
        <w:t>hợp nhất kinh doanh</w:t>
      </w:r>
      <w:r w:rsidRPr="00010F83">
        <w:rPr>
          <w:rFonts w:ascii="Arial" w:hAnsi="Arial" w:cs="Arial"/>
          <w:bCs/>
          <w:sz w:val="22"/>
          <w:szCs w:val="22"/>
          <w:lang w:val="nl-NL"/>
        </w:rPr>
        <w:t xml:space="preserve">. Nếu giá trị còn lại </w:t>
      </w:r>
      <w:r w:rsidR="00286D15" w:rsidRPr="00010F83">
        <w:rPr>
          <w:rFonts w:ascii="Arial" w:hAnsi="Arial" w:cs="Arial"/>
          <w:bCs/>
          <w:sz w:val="22"/>
          <w:szCs w:val="22"/>
          <w:lang w:val="nl-NL"/>
        </w:rPr>
        <w:t xml:space="preserve">của </w:t>
      </w:r>
      <w:r w:rsidRPr="00010F83">
        <w:rPr>
          <w:rFonts w:ascii="Arial" w:hAnsi="Arial" w:cs="Arial"/>
          <w:bCs/>
          <w:sz w:val="22"/>
          <w:szCs w:val="22"/>
          <w:lang w:val="nl-NL"/>
        </w:rPr>
        <w:t>lợi thế thương mại là bằng khôn</w:t>
      </w:r>
      <w:r w:rsidR="00E43FDE" w:rsidRPr="00010F83">
        <w:rPr>
          <w:rFonts w:ascii="Arial" w:hAnsi="Arial" w:cs="Arial"/>
          <w:bCs/>
          <w:sz w:val="22"/>
          <w:szCs w:val="22"/>
          <w:lang w:val="nl-NL"/>
        </w:rPr>
        <w:t xml:space="preserve">g thì giá trị </w:t>
      </w:r>
      <w:r w:rsidRPr="00010F83">
        <w:rPr>
          <w:rFonts w:ascii="Arial" w:hAnsi="Arial" w:cs="Arial"/>
          <w:bCs/>
          <w:sz w:val="22"/>
          <w:szCs w:val="22"/>
          <w:lang w:val="nl-NL"/>
        </w:rPr>
        <w:t xml:space="preserve">của lợi ích thuế hoãn lại sẽ được ghi nhận vào </w:t>
      </w:r>
      <w:r w:rsidR="007B64CF" w:rsidRPr="00010F83">
        <w:rPr>
          <w:rFonts w:ascii="Arial" w:hAnsi="Arial" w:cs="Arial"/>
          <w:bCs/>
          <w:sz w:val="22"/>
          <w:szCs w:val="22"/>
          <w:lang w:val="nl-NL"/>
        </w:rPr>
        <w:t>Báo cáo kết quả hoạt động kinh doanh.</w:t>
      </w:r>
    </w:p>
    <w:p w:rsidR="00756CB6" w:rsidRPr="00010F83" w:rsidRDefault="007B64CF" w:rsidP="00766B0E">
      <w:pPr>
        <w:pStyle w:val="ListParagraph"/>
        <w:numPr>
          <w:ilvl w:val="0"/>
          <w:numId w:val="34"/>
        </w:numPr>
        <w:autoSpaceDE w:val="0"/>
        <w:autoSpaceDN w:val="0"/>
        <w:adjustRightInd w:val="0"/>
        <w:spacing w:after="120"/>
        <w:jc w:val="both"/>
        <w:rPr>
          <w:rFonts w:ascii="Arial" w:hAnsi="Arial" w:cs="Arial"/>
          <w:bCs/>
          <w:sz w:val="22"/>
          <w:szCs w:val="22"/>
          <w:lang w:val="nl-NL"/>
        </w:rPr>
      </w:pPr>
      <w:r w:rsidRPr="00010F83">
        <w:rPr>
          <w:rFonts w:ascii="Arial" w:hAnsi="Arial" w:cs="Arial"/>
          <w:bCs/>
          <w:sz w:val="22"/>
          <w:szCs w:val="22"/>
          <w:lang w:val="nl-NL"/>
        </w:rPr>
        <w:t>Tất cả lợi ích thuế hoãn lại khác có được từ hợp nhất kinh doanh phải được ghi nhận vào Báo cáo kết quả hoạt động kinh doanh (hoặc ngoài Báo cáo kết quả hoạt động kinh doanh</w:t>
      </w:r>
      <w:r w:rsidR="00E43FDE" w:rsidRPr="00010F83">
        <w:rPr>
          <w:rFonts w:ascii="Arial" w:hAnsi="Arial" w:cs="Arial"/>
          <w:bCs/>
          <w:sz w:val="22"/>
          <w:szCs w:val="22"/>
          <w:lang w:val="nl-NL"/>
        </w:rPr>
        <w:t>, tùy</w:t>
      </w:r>
      <w:r w:rsidR="00756CB6" w:rsidRPr="00010F83">
        <w:rPr>
          <w:rFonts w:ascii="Arial" w:hAnsi="Arial" w:cs="Arial"/>
          <w:bCs/>
          <w:sz w:val="22"/>
          <w:szCs w:val="22"/>
          <w:lang w:val="nl-NL"/>
        </w:rPr>
        <w:t xml:space="preserve"> </w:t>
      </w:r>
      <w:r w:rsidR="00E43FDE" w:rsidRPr="00010F83">
        <w:rPr>
          <w:rFonts w:ascii="Arial" w:hAnsi="Arial" w:cs="Arial"/>
          <w:bCs/>
          <w:sz w:val="22"/>
          <w:szCs w:val="22"/>
          <w:lang w:val="nl-NL"/>
        </w:rPr>
        <w:t>theo yêu cầu cụ thể của chuẩn mực này</w:t>
      </w:r>
      <w:r w:rsidR="00756CB6" w:rsidRPr="00010F83">
        <w:rPr>
          <w:rFonts w:ascii="Arial" w:hAnsi="Arial" w:cs="Arial"/>
          <w:bCs/>
          <w:sz w:val="22"/>
          <w:szCs w:val="22"/>
          <w:lang w:val="nl-NL"/>
        </w:rPr>
        <w:t>).</w:t>
      </w:r>
    </w:p>
    <w:p w:rsidR="00756CB6" w:rsidRPr="00010F83" w:rsidRDefault="00756CB6" w:rsidP="00766B0E">
      <w:pPr>
        <w:pStyle w:val="BodyTextIndent"/>
        <w:spacing w:before="240" w:after="120" w:line="240" w:lineRule="auto"/>
        <w:ind w:left="720" w:firstLine="0"/>
        <w:rPr>
          <w:rFonts w:ascii="Arial" w:hAnsi="Arial" w:cs="Arial"/>
          <w:b/>
          <w:bCs/>
          <w:sz w:val="22"/>
          <w:szCs w:val="22"/>
          <w:lang w:val="nl-NL"/>
        </w:rPr>
      </w:pPr>
      <w:r w:rsidRPr="00010F83">
        <w:rPr>
          <w:rFonts w:ascii="Arial" w:hAnsi="Arial" w:cs="Arial"/>
          <w:b/>
          <w:bCs/>
          <w:sz w:val="22"/>
          <w:szCs w:val="22"/>
          <w:lang w:val="nl-NL"/>
        </w:rPr>
        <w:t xml:space="preserve">Thuế </w:t>
      </w:r>
      <w:r w:rsidR="00286D15" w:rsidRPr="00010F83">
        <w:rPr>
          <w:rFonts w:ascii="Arial" w:hAnsi="Arial" w:cs="Arial"/>
          <w:b/>
          <w:bCs/>
          <w:sz w:val="22"/>
          <w:szCs w:val="22"/>
          <w:lang w:val="nl-NL"/>
        </w:rPr>
        <w:t xml:space="preserve">thu nhập </w:t>
      </w:r>
      <w:r w:rsidRPr="00010F83">
        <w:rPr>
          <w:rFonts w:ascii="Arial" w:hAnsi="Arial" w:cs="Arial"/>
          <w:b/>
          <w:bCs/>
          <w:sz w:val="22"/>
          <w:szCs w:val="22"/>
          <w:lang w:val="nl-NL"/>
        </w:rPr>
        <w:t xml:space="preserve">hiện hành và thuế </w:t>
      </w:r>
      <w:r w:rsidR="00286D15" w:rsidRPr="00010F83">
        <w:rPr>
          <w:rFonts w:ascii="Arial" w:hAnsi="Arial" w:cs="Arial"/>
          <w:b/>
          <w:bCs/>
          <w:sz w:val="22"/>
          <w:szCs w:val="22"/>
          <w:lang w:val="nl-NL"/>
        </w:rPr>
        <w:t xml:space="preserve">thu nhập </w:t>
      </w:r>
      <w:r w:rsidRPr="00010F83">
        <w:rPr>
          <w:rFonts w:ascii="Arial" w:hAnsi="Arial" w:cs="Arial"/>
          <w:b/>
          <w:bCs/>
          <w:sz w:val="22"/>
          <w:szCs w:val="22"/>
          <w:lang w:val="nl-NL"/>
        </w:rPr>
        <w:t xml:space="preserve">hoãn lại phát sinh từ các giao dịch thanh toán trên </w:t>
      </w:r>
      <w:r w:rsidR="00041CA5" w:rsidRPr="00010F83">
        <w:rPr>
          <w:rFonts w:ascii="Arial" w:hAnsi="Arial" w:cs="Arial"/>
          <w:b/>
          <w:bCs/>
          <w:sz w:val="22"/>
          <w:szCs w:val="22"/>
          <w:lang w:val="nl-NL"/>
        </w:rPr>
        <w:t xml:space="preserve">cơ sở </w:t>
      </w:r>
      <w:r w:rsidRPr="00010F83">
        <w:rPr>
          <w:rFonts w:ascii="Arial" w:hAnsi="Arial" w:cs="Arial"/>
          <w:b/>
          <w:bCs/>
          <w:sz w:val="22"/>
          <w:szCs w:val="22"/>
          <w:lang w:val="nl-NL"/>
        </w:rPr>
        <w:t>cổ phiếu</w:t>
      </w:r>
    </w:p>
    <w:p w:rsidR="00756CB6" w:rsidRPr="00010F83" w:rsidRDefault="00756CB6" w:rsidP="00590853">
      <w:pPr>
        <w:pStyle w:val="BodyTextIndent"/>
        <w:spacing w:before="0" w:after="120" w:line="240" w:lineRule="auto"/>
        <w:ind w:left="720" w:hanging="720"/>
        <w:rPr>
          <w:rFonts w:ascii="Arial" w:hAnsi="Arial" w:cs="Arial"/>
          <w:bCs/>
          <w:sz w:val="22"/>
          <w:szCs w:val="22"/>
          <w:lang w:val="nl-NL"/>
        </w:rPr>
      </w:pPr>
      <w:r w:rsidRPr="00010F83">
        <w:rPr>
          <w:rFonts w:ascii="Arial" w:hAnsi="Arial" w:cs="Arial"/>
          <w:bCs/>
          <w:sz w:val="22"/>
          <w:szCs w:val="22"/>
          <w:lang w:val="nl-NL"/>
        </w:rPr>
        <w:t xml:space="preserve">68A    </w:t>
      </w:r>
      <w:r w:rsidRPr="00010F83">
        <w:rPr>
          <w:rFonts w:ascii="Arial" w:hAnsi="Arial" w:cs="Arial"/>
          <w:bCs/>
          <w:sz w:val="22"/>
          <w:szCs w:val="22"/>
          <w:lang w:val="nl-NL"/>
        </w:rPr>
        <w:tab/>
      </w:r>
      <w:r w:rsidR="00286D15" w:rsidRPr="00010F83">
        <w:rPr>
          <w:rFonts w:ascii="Arial" w:hAnsi="Arial" w:cs="Arial"/>
          <w:bCs/>
          <w:sz w:val="22"/>
          <w:szCs w:val="22"/>
          <w:lang w:val="nl-NL"/>
        </w:rPr>
        <w:t xml:space="preserve">Ở </w:t>
      </w:r>
      <w:r w:rsidRPr="00010F83">
        <w:rPr>
          <w:rFonts w:ascii="Arial" w:hAnsi="Arial" w:cs="Arial"/>
          <w:bCs/>
          <w:sz w:val="22"/>
          <w:szCs w:val="22"/>
          <w:lang w:val="nl-NL"/>
        </w:rPr>
        <w:t xml:space="preserve">một số </w:t>
      </w:r>
      <w:r w:rsidR="009F62AC" w:rsidRPr="00010F83">
        <w:rPr>
          <w:rFonts w:ascii="Arial" w:hAnsi="Arial" w:cs="Arial"/>
          <w:bCs/>
          <w:sz w:val="22"/>
          <w:szCs w:val="22"/>
          <w:lang w:val="nl-NL"/>
        </w:rPr>
        <w:t>khu vực</w:t>
      </w:r>
      <w:r w:rsidRPr="00010F83">
        <w:rPr>
          <w:rFonts w:ascii="Arial" w:hAnsi="Arial" w:cs="Arial"/>
          <w:bCs/>
          <w:sz w:val="22"/>
          <w:szCs w:val="22"/>
          <w:lang w:val="nl-NL"/>
        </w:rPr>
        <w:t xml:space="preserve">, một đơn vị sẽ được </w:t>
      </w:r>
      <w:r w:rsidR="00286D15" w:rsidRPr="00010F83">
        <w:rPr>
          <w:rFonts w:ascii="Arial" w:hAnsi="Arial" w:cs="Arial"/>
          <w:bCs/>
          <w:sz w:val="22"/>
          <w:szCs w:val="22"/>
          <w:lang w:val="nl-NL"/>
        </w:rPr>
        <w:t xml:space="preserve">chấp </w:t>
      </w:r>
      <w:r w:rsidRPr="00010F83">
        <w:rPr>
          <w:rFonts w:ascii="Arial" w:hAnsi="Arial" w:cs="Arial"/>
          <w:bCs/>
          <w:sz w:val="22"/>
          <w:szCs w:val="22"/>
          <w:lang w:val="nl-NL"/>
        </w:rPr>
        <w:t>nhận một khoản khấu trừ thuế (</w:t>
      </w:r>
      <w:r w:rsidR="009F62AC" w:rsidRPr="00010F83">
        <w:rPr>
          <w:rFonts w:ascii="Arial" w:hAnsi="Arial" w:cs="Arial"/>
          <w:bCs/>
          <w:sz w:val="22"/>
          <w:szCs w:val="22"/>
          <w:lang w:val="nl-NL"/>
        </w:rPr>
        <w:t>tức là</w:t>
      </w:r>
      <w:r w:rsidRPr="00010F83">
        <w:rPr>
          <w:rFonts w:ascii="Arial" w:hAnsi="Arial" w:cs="Arial"/>
          <w:bCs/>
          <w:sz w:val="22"/>
          <w:szCs w:val="22"/>
          <w:lang w:val="nl-NL"/>
        </w:rPr>
        <w:t xml:space="preserve"> khoản được giảm trừ khi xác định lợi nhuận tính thuế) </w:t>
      </w:r>
      <w:r w:rsidR="00286D15" w:rsidRPr="00010F83">
        <w:rPr>
          <w:rFonts w:ascii="Arial" w:hAnsi="Arial" w:cs="Arial"/>
          <w:bCs/>
          <w:sz w:val="22"/>
          <w:szCs w:val="22"/>
          <w:lang w:val="nl-NL"/>
        </w:rPr>
        <w:t xml:space="preserve">liên quan đến </w:t>
      </w:r>
      <w:r w:rsidRPr="00010F83">
        <w:rPr>
          <w:rFonts w:ascii="Arial" w:hAnsi="Arial" w:cs="Arial"/>
          <w:bCs/>
          <w:sz w:val="22"/>
          <w:szCs w:val="22"/>
          <w:lang w:val="nl-NL"/>
        </w:rPr>
        <w:t xml:space="preserve">tiền thù lao trả bằng cổ phiếu, quyền chọn mua cổ phiếu, hoặc các công cụ vốn chủ </w:t>
      </w:r>
      <w:r w:rsidR="00286D15" w:rsidRPr="00010F83">
        <w:rPr>
          <w:rFonts w:ascii="Arial" w:hAnsi="Arial" w:cs="Arial"/>
          <w:bCs/>
          <w:sz w:val="22"/>
          <w:szCs w:val="22"/>
          <w:lang w:val="nl-NL"/>
        </w:rPr>
        <w:t xml:space="preserve">sỡ hữu </w:t>
      </w:r>
      <w:r w:rsidRPr="00010F83">
        <w:rPr>
          <w:rFonts w:ascii="Arial" w:hAnsi="Arial" w:cs="Arial"/>
          <w:bCs/>
          <w:sz w:val="22"/>
          <w:szCs w:val="22"/>
          <w:lang w:val="nl-NL"/>
        </w:rPr>
        <w:t xml:space="preserve">khác của đơn vị. </w:t>
      </w:r>
      <w:r w:rsidR="009F62AC" w:rsidRPr="00010F83">
        <w:rPr>
          <w:rFonts w:ascii="Arial" w:hAnsi="Arial" w:cs="Arial"/>
          <w:bCs/>
          <w:sz w:val="22"/>
          <w:szCs w:val="22"/>
          <w:lang w:val="nl-NL"/>
        </w:rPr>
        <w:t>K</w:t>
      </w:r>
      <w:r w:rsidRPr="00010F83">
        <w:rPr>
          <w:rFonts w:ascii="Arial" w:hAnsi="Arial" w:cs="Arial"/>
          <w:bCs/>
          <w:sz w:val="22"/>
          <w:szCs w:val="22"/>
          <w:lang w:val="nl-NL"/>
        </w:rPr>
        <w:t xml:space="preserve">hoản khấu trừ thuế có thể khác so với chi phí </w:t>
      </w:r>
      <w:r w:rsidR="009F62AC" w:rsidRPr="00010F83">
        <w:rPr>
          <w:rFonts w:ascii="Arial" w:hAnsi="Arial" w:cs="Arial"/>
          <w:bCs/>
          <w:sz w:val="22"/>
          <w:szCs w:val="22"/>
          <w:lang w:val="nl-NL"/>
        </w:rPr>
        <w:t xml:space="preserve">lương, </w:t>
      </w:r>
      <w:r w:rsidRPr="00010F83">
        <w:rPr>
          <w:rFonts w:ascii="Arial" w:hAnsi="Arial" w:cs="Arial"/>
          <w:bCs/>
          <w:sz w:val="22"/>
          <w:szCs w:val="22"/>
          <w:lang w:val="nl-NL"/>
        </w:rPr>
        <w:t>thù lao lũy kế liên quan</w:t>
      </w:r>
      <w:r w:rsidR="009F62AC" w:rsidRPr="00010F83">
        <w:rPr>
          <w:rFonts w:ascii="Arial" w:hAnsi="Arial" w:cs="Arial"/>
          <w:bCs/>
          <w:sz w:val="22"/>
          <w:szCs w:val="22"/>
          <w:lang w:val="nl-NL"/>
        </w:rPr>
        <w:t>,</w:t>
      </w:r>
      <w:r w:rsidRPr="00010F83">
        <w:rPr>
          <w:rFonts w:ascii="Arial" w:hAnsi="Arial" w:cs="Arial"/>
          <w:bCs/>
          <w:sz w:val="22"/>
          <w:szCs w:val="22"/>
          <w:lang w:val="nl-NL"/>
        </w:rPr>
        <w:t xml:space="preserve"> và có thể ph</w:t>
      </w:r>
      <w:r w:rsidR="009F62AC" w:rsidRPr="00010F83">
        <w:rPr>
          <w:rFonts w:ascii="Arial" w:hAnsi="Arial" w:cs="Arial"/>
          <w:bCs/>
          <w:sz w:val="22"/>
          <w:szCs w:val="22"/>
          <w:lang w:val="nl-NL"/>
        </w:rPr>
        <w:t>át sinh trong kỳ kế toán sau</w:t>
      </w:r>
      <w:r w:rsidRPr="00010F83">
        <w:rPr>
          <w:rFonts w:ascii="Arial" w:hAnsi="Arial" w:cs="Arial"/>
          <w:bCs/>
          <w:sz w:val="22"/>
          <w:szCs w:val="22"/>
          <w:lang w:val="nl-NL"/>
        </w:rPr>
        <w:t>. Ví dụ, một đ</w:t>
      </w:r>
      <w:r w:rsidR="009F62AC" w:rsidRPr="00010F83">
        <w:rPr>
          <w:rFonts w:ascii="Arial" w:hAnsi="Arial" w:cs="Arial"/>
          <w:bCs/>
          <w:sz w:val="22"/>
          <w:szCs w:val="22"/>
          <w:lang w:val="nl-NL"/>
        </w:rPr>
        <w:t>ơn vị có thể ghi nhận quyền chọn mua cổ phiếu mà đơn vị đã cấp</w:t>
      </w:r>
      <w:r w:rsidR="00286D15" w:rsidRPr="00010F83">
        <w:rPr>
          <w:rFonts w:ascii="Arial" w:hAnsi="Arial" w:cs="Arial"/>
          <w:bCs/>
          <w:sz w:val="22"/>
          <w:szCs w:val="22"/>
          <w:lang w:val="nl-NL"/>
        </w:rPr>
        <w:t xml:space="preserve"> cho</w:t>
      </w:r>
      <w:r w:rsidR="009F62AC" w:rsidRPr="00010F83">
        <w:rPr>
          <w:rFonts w:ascii="Arial" w:hAnsi="Arial" w:cs="Arial"/>
          <w:bCs/>
          <w:sz w:val="22"/>
          <w:szCs w:val="22"/>
          <w:lang w:val="nl-NL"/>
        </w:rPr>
        <w:t xml:space="preserve"> </w:t>
      </w:r>
      <w:r w:rsidRPr="00010F83">
        <w:rPr>
          <w:rFonts w:ascii="Arial" w:hAnsi="Arial" w:cs="Arial"/>
          <w:bCs/>
          <w:sz w:val="22"/>
          <w:szCs w:val="22"/>
          <w:lang w:val="nl-NL"/>
        </w:rPr>
        <w:t xml:space="preserve">nhân viên </w:t>
      </w:r>
      <w:r w:rsidR="009F62AC" w:rsidRPr="00010F83">
        <w:rPr>
          <w:rFonts w:ascii="Arial" w:hAnsi="Arial" w:cs="Arial"/>
          <w:bCs/>
          <w:sz w:val="22"/>
          <w:szCs w:val="22"/>
          <w:lang w:val="nl-NL"/>
        </w:rPr>
        <w:t>là chi phí tại thời điểm cấp quyền chọn mua</w:t>
      </w:r>
      <w:r w:rsidRPr="00010F83">
        <w:rPr>
          <w:rFonts w:ascii="Arial" w:hAnsi="Arial" w:cs="Arial"/>
          <w:bCs/>
          <w:sz w:val="22"/>
          <w:szCs w:val="22"/>
          <w:lang w:val="nl-NL"/>
        </w:rPr>
        <w:t xml:space="preserve">, theo IFRS 2 </w:t>
      </w:r>
      <w:r w:rsidRPr="00010F83">
        <w:rPr>
          <w:rFonts w:ascii="Arial" w:hAnsi="Arial" w:cs="Arial"/>
          <w:bCs/>
          <w:i/>
          <w:sz w:val="22"/>
          <w:szCs w:val="22"/>
          <w:lang w:val="nl-NL"/>
        </w:rPr>
        <w:t xml:space="preserve">Thanh toán trên </w:t>
      </w:r>
      <w:r w:rsidR="00041CA5" w:rsidRPr="00010F83">
        <w:rPr>
          <w:rFonts w:ascii="Arial" w:hAnsi="Arial" w:cs="Arial"/>
          <w:bCs/>
          <w:i/>
          <w:sz w:val="22"/>
          <w:szCs w:val="22"/>
          <w:lang w:val="nl-NL"/>
        </w:rPr>
        <w:t xml:space="preserve">cơ sở </w:t>
      </w:r>
      <w:r w:rsidRPr="00010F83">
        <w:rPr>
          <w:rFonts w:ascii="Arial" w:hAnsi="Arial" w:cs="Arial"/>
          <w:bCs/>
          <w:i/>
          <w:sz w:val="22"/>
          <w:szCs w:val="22"/>
          <w:lang w:val="nl-NL"/>
        </w:rPr>
        <w:t>cổ phiếu</w:t>
      </w:r>
      <w:r w:rsidR="009F62AC" w:rsidRPr="00010F83">
        <w:rPr>
          <w:rFonts w:ascii="Arial" w:hAnsi="Arial" w:cs="Arial"/>
          <w:bCs/>
          <w:sz w:val="22"/>
          <w:szCs w:val="22"/>
          <w:lang w:val="nl-NL"/>
        </w:rPr>
        <w:t>;</w:t>
      </w:r>
      <w:r w:rsidRPr="00010F83">
        <w:rPr>
          <w:rFonts w:ascii="Arial" w:hAnsi="Arial" w:cs="Arial"/>
          <w:bCs/>
          <w:sz w:val="22"/>
          <w:szCs w:val="22"/>
          <w:lang w:val="nl-NL"/>
        </w:rPr>
        <w:t xml:space="preserve"> </w:t>
      </w:r>
      <w:r w:rsidR="009F62AC" w:rsidRPr="00010F83">
        <w:rPr>
          <w:rFonts w:ascii="Arial" w:hAnsi="Arial" w:cs="Arial"/>
          <w:bCs/>
          <w:sz w:val="22"/>
          <w:szCs w:val="22"/>
          <w:lang w:val="nl-NL"/>
        </w:rPr>
        <w:t>tuy nhiên, quyền chọn mua cổ phiếu này chỉ được</w:t>
      </w:r>
      <w:r w:rsidRPr="00010F83">
        <w:rPr>
          <w:rFonts w:ascii="Arial" w:hAnsi="Arial" w:cs="Arial"/>
          <w:bCs/>
          <w:sz w:val="22"/>
          <w:szCs w:val="22"/>
          <w:lang w:val="nl-NL"/>
        </w:rPr>
        <w:t xml:space="preserve"> khấu trừ thuế khi </w:t>
      </w:r>
      <w:r w:rsidR="00286D15" w:rsidRPr="00010F83">
        <w:rPr>
          <w:rFonts w:ascii="Arial" w:hAnsi="Arial" w:cs="Arial"/>
          <w:bCs/>
          <w:sz w:val="22"/>
          <w:szCs w:val="22"/>
          <w:lang w:val="nl-NL"/>
        </w:rPr>
        <w:t xml:space="preserve">nhân viên thực hiện </w:t>
      </w:r>
      <w:r w:rsidRPr="00010F83">
        <w:rPr>
          <w:rFonts w:ascii="Arial" w:hAnsi="Arial" w:cs="Arial"/>
          <w:bCs/>
          <w:sz w:val="22"/>
          <w:szCs w:val="22"/>
          <w:lang w:val="nl-NL"/>
        </w:rPr>
        <w:t>các quyền chọn mua cổ phiếu, và khoản khấu trừ thuế được xác định dựa theo giá cổ phiếu tại ngày thực hiện quyền chọn mua.</w:t>
      </w:r>
    </w:p>
    <w:p w:rsidR="00CF5231" w:rsidRPr="00010F83" w:rsidRDefault="00152E17" w:rsidP="00590853">
      <w:pPr>
        <w:pStyle w:val="BodyTextIndent"/>
        <w:spacing w:before="0" w:after="120" w:line="240" w:lineRule="auto"/>
        <w:ind w:left="720" w:hanging="720"/>
        <w:rPr>
          <w:rFonts w:ascii="Arial" w:hAnsi="Arial" w:cs="Arial"/>
          <w:bCs/>
          <w:sz w:val="22"/>
          <w:szCs w:val="22"/>
          <w:lang w:val="nl-NL"/>
        </w:rPr>
      </w:pPr>
      <w:r w:rsidRPr="00010F83">
        <w:rPr>
          <w:rFonts w:ascii="Arial" w:hAnsi="Arial" w:cs="Arial"/>
          <w:bCs/>
          <w:sz w:val="22"/>
          <w:szCs w:val="22"/>
          <w:lang w:val="nl-NL"/>
        </w:rPr>
        <w:t xml:space="preserve">68B     </w:t>
      </w:r>
      <w:r w:rsidRPr="00010F83">
        <w:rPr>
          <w:rFonts w:ascii="Arial" w:hAnsi="Arial" w:cs="Arial"/>
          <w:bCs/>
          <w:sz w:val="22"/>
          <w:szCs w:val="22"/>
          <w:lang w:val="nl-NL"/>
        </w:rPr>
        <w:tab/>
        <w:t xml:space="preserve">Đối với chi phí nghiên cứu được thảo luận trong đoạn 9 và 26 (b) của chuẩn mực này, chênh lệch giữa cơ sở tính thuế </w:t>
      </w:r>
      <w:r w:rsidR="00BC235E" w:rsidRPr="00010F83">
        <w:rPr>
          <w:rFonts w:ascii="Arial" w:hAnsi="Arial" w:cs="Arial"/>
          <w:bCs/>
          <w:sz w:val="22"/>
          <w:szCs w:val="22"/>
          <w:lang w:val="nl-NL"/>
        </w:rPr>
        <w:t>của chi phí</w:t>
      </w:r>
      <w:r w:rsidRPr="00010F83">
        <w:rPr>
          <w:rFonts w:ascii="Arial" w:hAnsi="Arial" w:cs="Arial"/>
          <w:bCs/>
          <w:sz w:val="22"/>
          <w:szCs w:val="22"/>
          <w:lang w:val="nl-NL"/>
        </w:rPr>
        <w:t xml:space="preserve"> nhân viên </w:t>
      </w:r>
      <w:r w:rsidR="00BC235E" w:rsidRPr="00010F83">
        <w:rPr>
          <w:rFonts w:ascii="Arial" w:hAnsi="Arial" w:cs="Arial"/>
          <w:bCs/>
          <w:sz w:val="22"/>
          <w:szCs w:val="22"/>
          <w:lang w:val="nl-NL"/>
        </w:rPr>
        <w:t>bộ phận nghiên cứu</w:t>
      </w:r>
      <w:r w:rsidRPr="00010F83">
        <w:rPr>
          <w:rFonts w:ascii="Arial" w:hAnsi="Arial" w:cs="Arial"/>
          <w:bCs/>
          <w:sz w:val="22"/>
          <w:szCs w:val="22"/>
          <w:lang w:val="nl-NL"/>
        </w:rPr>
        <w:t xml:space="preserve"> (là khoản mà cơ quan thuế cho phép khấu trừ thuế trong tương lai) và giá trị ghi sổ bằng không</w:t>
      </w:r>
      <w:r w:rsidR="00BC235E" w:rsidRPr="00010F83">
        <w:rPr>
          <w:rFonts w:ascii="Arial" w:hAnsi="Arial" w:cs="Arial"/>
          <w:bCs/>
          <w:sz w:val="22"/>
          <w:szCs w:val="22"/>
          <w:lang w:val="nl-NL"/>
        </w:rPr>
        <w:t xml:space="preserve"> của chi phí nghiên cứu</w:t>
      </w:r>
      <w:r w:rsidRPr="00010F83">
        <w:rPr>
          <w:rFonts w:ascii="Arial" w:hAnsi="Arial" w:cs="Arial"/>
          <w:bCs/>
          <w:sz w:val="22"/>
          <w:szCs w:val="22"/>
          <w:lang w:val="nl-NL"/>
        </w:rPr>
        <w:t xml:space="preserve"> là một chênh lệch tạm thời được </w:t>
      </w:r>
      <w:r w:rsidR="00BC235E" w:rsidRPr="00010F83">
        <w:rPr>
          <w:rFonts w:ascii="Arial" w:hAnsi="Arial" w:cs="Arial"/>
          <w:bCs/>
          <w:sz w:val="22"/>
          <w:szCs w:val="22"/>
          <w:lang w:val="nl-NL"/>
        </w:rPr>
        <w:t>khấu</w:t>
      </w:r>
      <w:r w:rsidRPr="00010F83">
        <w:rPr>
          <w:rFonts w:ascii="Arial" w:hAnsi="Arial" w:cs="Arial"/>
          <w:bCs/>
          <w:sz w:val="22"/>
          <w:szCs w:val="22"/>
          <w:lang w:val="nl-NL"/>
        </w:rPr>
        <w:t xml:space="preserve"> trừ làm phát </w:t>
      </w:r>
      <w:r w:rsidR="008A366E" w:rsidRPr="00010F83">
        <w:rPr>
          <w:rFonts w:ascii="Arial" w:hAnsi="Arial" w:cs="Arial"/>
          <w:bCs/>
          <w:sz w:val="22"/>
          <w:szCs w:val="22"/>
          <w:lang w:val="nl-NL"/>
        </w:rPr>
        <w:t xml:space="preserve">sinh </w:t>
      </w:r>
      <w:r w:rsidR="006805F0" w:rsidRPr="00010F83">
        <w:rPr>
          <w:rFonts w:ascii="Arial" w:hAnsi="Arial" w:cs="Arial"/>
          <w:bCs/>
          <w:sz w:val="22"/>
          <w:szCs w:val="22"/>
          <w:lang w:val="nl-NL"/>
        </w:rPr>
        <w:t xml:space="preserve">tài sản </w:t>
      </w:r>
      <w:r w:rsidR="00731917" w:rsidRPr="00010F83">
        <w:rPr>
          <w:rFonts w:ascii="Arial" w:hAnsi="Arial" w:cs="Arial"/>
          <w:bCs/>
          <w:sz w:val="22"/>
          <w:szCs w:val="22"/>
          <w:lang w:val="nl-NL"/>
        </w:rPr>
        <w:t>thuế TNDN</w:t>
      </w:r>
      <w:r w:rsidR="006805F0" w:rsidRPr="00010F83">
        <w:rPr>
          <w:rFonts w:ascii="Arial" w:hAnsi="Arial" w:cs="Arial"/>
          <w:bCs/>
          <w:sz w:val="22"/>
          <w:szCs w:val="22"/>
          <w:lang w:val="nl-NL"/>
        </w:rPr>
        <w:t xml:space="preserve"> hoãn lại</w:t>
      </w:r>
      <w:r w:rsidR="008A366E" w:rsidRPr="00010F83">
        <w:rPr>
          <w:rFonts w:ascii="Arial" w:hAnsi="Arial" w:cs="Arial"/>
          <w:bCs/>
          <w:sz w:val="22"/>
          <w:szCs w:val="22"/>
          <w:lang w:val="nl-NL"/>
        </w:rPr>
        <w:t xml:space="preserve">. </w:t>
      </w:r>
      <w:r w:rsidRPr="00010F83">
        <w:rPr>
          <w:rFonts w:ascii="Arial" w:hAnsi="Arial" w:cs="Arial"/>
          <w:bCs/>
          <w:sz w:val="22"/>
          <w:szCs w:val="22"/>
          <w:lang w:val="nl-NL"/>
        </w:rPr>
        <w:t>Nếu tại thời điểm kết thúc kỳ kế toán giá trị mà cơ quan thuế cho phép khấu trừ trong tương lai</w:t>
      </w:r>
      <w:r w:rsidR="00BC235E" w:rsidRPr="00010F83">
        <w:rPr>
          <w:rFonts w:ascii="Arial" w:hAnsi="Arial" w:cs="Arial"/>
          <w:bCs/>
          <w:sz w:val="22"/>
          <w:szCs w:val="22"/>
          <w:lang w:val="nl-NL"/>
        </w:rPr>
        <w:t xml:space="preserve"> không xác định được</w:t>
      </w:r>
      <w:r w:rsidRPr="00010F83">
        <w:rPr>
          <w:rFonts w:ascii="Arial" w:hAnsi="Arial" w:cs="Arial"/>
          <w:bCs/>
          <w:sz w:val="22"/>
          <w:szCs w:val="22"/>
          <w:lang w:val="nl-NL"/>
        </w:rPr>
        <w:t>, thì đơn vị phải ước tính dựa vào thông tin có sẵn tại ngày kết thúc kỳ kế toán. Ví dụ, nếu khoản mà cơ quan thuế cho phép khấu trừ trong tương lai phụ thuộc vào giá cổ phiếu của đơn vị tại một ngày nào đó trong tương lai, thì việc xác định chênh lệch tạm thời được khấu trừ được dựa trên giá cổ phiế</w:t>
      </w:r>
      <w:r w:rsidR="008A366E" w:rsidRPr="00010F83">
        <w:rPr>
          <w:rFonts w:ascii="Arial" w:hAnsi="Arial" w:cs="Arial"/>
          <w:bCs/>
          <w:sz w:val="22"/>
          <w:szCs w:val="22"/>
          <w:lang w:val="nl-NL"/>
        </w:rPr>
        <w:t>u tại ngày kết thúc kỳ kế toán.</w:t>
      </w:r>
    </w:p>
    <w:p w:rsidR="00766B0E" w:rsidRPr="00010F83" w:rsidRDefault="00766B0E">
      <w:pPr>
        <w:rPr>
          <w:rFonts w:ascii="Arial" w:eastAsia="Times New Roman" w:hAnsi="Arial" w:cs="Arial"/>
          <w:bCs/>
          <w:lang w:val="nl-NL"/>
        </w:rPr>
      </w:pPr>
      <w:r w:rsidRPr="00010F83">
        <w:rPr>
          <w:rFonts w:ascii="Arial" w:hAnsi="Arial" w:cs="Arial"/>
          <w:bCs/>
          <w:lang w:val="nl-NL"/>
        </w:rPr>
        <w:br w:type="page"/>
      </w:r>
    </w:p>
    <w:p w:rsidR="00863AB9" w:rsidRPr="00010F83" w:rsidRDefault="00863AB9" w:rsidP="00766B0E">
      <w:pPr>
        <w:pStyle w:val="BodyTextIndent"/>
        <w:spacing w:before="0" w:after="120" w:line="240" w:lineRule="auto"/>
        <w:ind w:left="900" w:hanging="900"/>
        <w:rPr>
          <w:rFonts w:ascii="Arial" w:hAnsi="Arial" w:cs="Arial"/>
          <w:bCs/>
          <w:sz w:val="22"/>
          <w:szCs w:val="22"/>
          <w:lang w:val="nl-NL"/>
        </w:rPr>
      </w:pPr>
      <w:r w:rsidRPr="00010F83">
        <w:rPr>
          <w:rFonts w:ascii="Arial" w:hAnsi="Arial" w:cs="Arial"/>
          <w:bCs/>
          <w:sz w:val="22"/>
          <w:szCs w:val="22"/>
          <w:lang w:val="nl-NL"/>
        </w:rPr>
        <w:t xml:space="preserve">68C    </w:t>
      </w:r>
      <w:r w:rsidR="00766B0E" w:rsidRPr="00010F83">
        <w:rPr>
          <w:rFonts w:ascii="Arial" w:hAnsi="Arial" w:cs="Arial"/>
          <w:bCs/>
          <w:sz w:val="22"/>
          <w:szCs w:val="22"/>
          <w:lang w:val="nl-NL"/>
        </w:rPr>
        <w:tab/>
      </w:r>
      <w:r w:rsidRPr="00010F83">
        <w:rPr>
          <w:rFonts w:ascii="Arial" w:hAnsi="Arial" w:cs="Arial"/>
          <w:bCs/>
          <w:sz w:val="22"/>
          <w:szCs w:val="22"/>
          <w:lang w:val="nl-NL"/>
        </w:rPr>
        <w:t>Như đã trình bày ở đoạn 68A, giá trị khoản được khấu trừ thuế (hoặc khoản ước tín</w:t>
      </w:r>
      <w:r w:rsidR="00BC235E" w:rsidRPr="00010F83">
        <w:rPr>
          <w:rFonts w:ascii="Arial" w:hAnsi="Arial" w:cs="Arial"/>
          <w:bCs/>
          <w:sz w:val="22"/>
          <w:szCs w:val="22"/>
          <w:lang w:val="nl-NL"/>
        </w:rPr>
        <w:t>h được khấu trừ trong tương lai</w:t>
      </w:r>
      <w:r w:rsidRPr="00010F83">
        <w:rPr>
          <w:rFonts w:ascii="Arial" w:hAnsi="Arial" w:cs="Arial"/>
          <w:bCs/>
          <w:sz w:val="22"/>
          <w:szCs w:val="22"/>
          <w:lang w:val="nl-NL"/>
        </w:rPr>
        <w:t xml:space="preserve"> được xác định theo đoạn 68B) có thể khác so với chi phí thù lao lũy kế liên quan. Đoạn 58 của chuẩn mực này yêu cầu chi phí thuế hiện hành và thuế hoãn lại phải được ghi nhận như là thu nhập hoặc chi phí thuế </w:t>
      </w:r>
      <w:r w:rsidR="00BC235E" w:rsidRPr="00010F83">
        <w:rPr>
          <w:rFonts w:ascii="Arial" w:hAnsi="Arial" w:cs="Arial"/>
          <w:bCs/>
          <w:sz w:val="22"/>
          <w:szCs w:val="22"/>
          <w:lang w:val="nl-NL"/>
        </w:rPr>
        <w:t>trong</w:t>
      </w:r>
      <w:r w:rsidRPr="00010F83">
        <w:rPr>
          <w:rFonts w:ascii="Arial" w:hAnsi="Arial" w:cs="Arial"/>
          <w:bCs/>
          <w:sz w:val="22"/>
          <w:szCs w:val="22"/>
          <w:lang w:val="nl-NL"/>
        </w:rPr>
        <w:t xml:space="preserve"> </w:t>
      </w:r>
      <w:r w:rsidR="007B64CF" w:rsidRPr="00010F83">
        <w:rPr>
          <w:rFonts w:ascii="Arial" w:hAnsi="Arial" w:cs="Arial"/>
          <w:bCs/>
          <w:sz w:val="22"/>
          <w:szCs w:val="22"/>
          <w:lang w:val="nl-NL"/>
        </w:rPr>
        <w:t>Báo cáo kết quả hoạt động kinh doanh trong kỳ, ngoại trừ thuế phát sinh từ (a) một giao dịch hoặc sự kiện được ghi nhận trực tiếp vào vốn chủ sở hữu hoặc vào thu nhập toàn diện khác trong cùng kỳ hay một kỳ khác, hoặc (b) giao dịch hợp nhất kinh doanh (không phải là giao dịch trong đó một đơn vị đầu tư mua một công ty con và sẽ hạch toán khoản đầu tư này theo giá trị hợp lý thông qua Báo cáo kết quả hoạt động kinh doanh).</w:t>
      </w:r>
      <w:r w:rsidRPr="00010F83">
        <w:rPr>
          <w:rFonts w:ascii="Arial" w:hAnsi="Arial" w:cs="Arial"/>
          <w:bCs/>
          <w:sz w:val="22"/>
          <w:szCs w:val="22"/>
          <w:lang w:val="nl-NL"/>
        </w:rPr>
        <w:t xml:space="preserve"> Nếu khoản được khấu trừ thuế (hoặc khoản ước tính được khấu trừ trong tương lai) vượt quá khoản chi phí thù lao lũy kế liên quan, </w:t>
      </w:r>
      <w:r w:rsidR="00286D15" w:rsidRPr="00010F83">
        <w:rPr>
          <w:rFonts w:ascii="Arial" w:hAnsi="Arial" w:cs="Arial"/>
          <w:bCs/>
          <w:sz w:val="22"/>
          <w:szCs w:val="22"/>
          <w:lang w:val="nl-NL"/>
        </w:rPr>
        <w:t xml:space="preserve">điều này có thể hàm </w:t>
      </w:r>
      <w:r w:rsidR="00F1489A" w:rsidRPr="00010F83">
        <w:rPr>
          <w:rFonts w:ascii="Arial" w:hAnsi="Arial" w:cs="Arial"/>
          <w:bCs/>
          <w:sz w:val="22"/>
          <w:szCs w:val="22"/>
          <w:lang w:val="nl-NL"/>
        </w:rPr>
        <w:t>nghĩa là</w:t>
      </w:r>
      <w:r w:rsidRPr="00010F83">
        <w:rPr>
          <w:rFonts w:ascii="Arial" w:hAnsi="Arial" w:cs="Arial"/>
          <w:bCs/>
          <w:sz w:val="22"/>
          <w:szCs w:val="22"/>
          <w:lang w:val="nl-NL"/>
        </w:rPr>
        <w:t xml:space="preserve"> khoản được khấu trừ thuế không chỉ liên quan đến chi phí thù lao mà còn liên quan đến một khoản mục vốn chủ sở hữu. Tro</w:t>
      </w:r>
      <w:r w:rsidR="00EC4158" w:rsidRPr="00010F83">
        <w:rPr>
          <w:rFonts w:ascii="Arial" w:hAnsi="Arial" w:cs="Arial"/>
          <w:bCs/>
          <w:sz w:val="22"/>
          <w:szCs w:val="22"/>
          <w:lang w:val="nl-NL"/>
        </w:rPr>
        <w:t xml:space="preserve">ng trường hợp này, phần </w:t>
      </w:r>
      <w:r w:rsidR="00286D15" w:rsidRPr="00010F83">
        <w:rPr>
          <w:rFonts w:ascii="Arial" w:hAnsi="Arial" w:cs="Arial"/>
          <w:bCs/>
          <w:sz w:val="22"/>
          <w:szCs w:val="22"/>
          <w:lang w:val="nl-NL"/>
        </w:rPr>
        <w:t xml:space="preserve">thặng dư </w:t>
      </w:r>
      <w:r w:rsidRPr="00010F83">
        <w:rPr>
          <w:rFonts w:ascii="Arial" w:hAnsi="Arial" w:cs="Arial"/>
          <w:bCs/>
          <w:sz w:val="22"/>
          <w:szCs w:val="22"/>
          <w:lang w:val="nl-NL"/>
        </w:rPr>
        <w:t>của chi phí thuế hiện hành hoặc thuế hoãn lại liên quan phải được ghi nhận thẳng vào vốn chủ sở hữu.</w:t>
      </w:r>
    </w:p>
    <w:p w:rsidR="00766B0E" w:rsidRPr="00010F83" w:rsidRDefault="00766B0E" w:rsidP="00590853">
      <w:pPr>
        <w:pStyle w:val="BodyTextIndent"/>
        <w:spacing w:before="0" w:after="120" w:line="240" w:lineRule="auto"/>
        <w:ind w:left="720" w:hanging="720"/>
        <w:rPr>
          <w:rFonts w:ascii="Arial" w:hAnsi="Arial" w:cs="Arial"/>
          <w:bCs/>
          <w:sz w:val="22"/>
          <w:szCs w:val="22"/>
          <w:lang w:val="nl-NL"/>
        </w:rPr>
      </w:pPr>
    </w:p>
    <w:p w:rsidR="00BD43AF" w:rsidRPr="00010F83" w:rsidRDefault="00BD43AF" w:rsidP="00590853">
      <w:pPr>
        <w:pStyle w:val="BodyTextIndent"/>
        <w:spacing w:before="0" w:after="120" w:line="240" w:lineRule="auto"/>
        <w:rPr>
          <w:rFonts w:ascii="Arial" w:hAnsi="Arial" w:cs="Arial"/>
          <w:b/>
          <w:bCs/>
          <w:sz w:val="24"/>
          <w:lang w:val="nl-NL"/>
        </w:rPr>
      </w:pPr>
      <w:r w:rsidRPr="00010F83">
        <w:rPr>
          <w:rFonts w:ascii="Arial" w:hAnsi="Arial" w:cs="Arial"/>
          <w:b/>
          <w:bCs/>
          <w:sz w:val="24"/>
          <w:lang w:val="nl-NL"/>
        </w:rPr>
        <w:t>Trình bày</w:t>
      </w:r>
    </w:p>
    <w:p w:rsidR="00BD43AF" w:rsidRPr="00010F83" w:rsidRDefault="007B64CF" w:rsidP="0055128B">
      <w:pPr>
        <w:pStyle w:val="BodyTextIndent"/>
        <w:spacing w:before="360" w:after="120" w:line="240" w:lineRule="auto"/>
        <w:ind w:left="900" w:firstLine="0"/>
        <w:rPr>
          <w:rFonts w:ascii="Arial" w:hAnsi="Arial" w:cs="Arial"/>
          <w:b/>
          <w:bCs/>
          <w:sz w:val="22"/>
          <w:szCs w:val="22"/>
          <w:lang w:val="nl-NL"/>
        </w:rPr>
      </w:pPr>
      <w:r w:rsidRPr="00010F83">
        <w:rPr>
          <w:rFonts w:ascii="Arial" w:hAnsi="Arial" w:cs="Arial"/>
          <w:b/>
          <w:bCs/>
          <w:noProof/>
        </w:rPr>
        <w:pict>
          <v:line id="Straight Connector 9" o:spid="_x0000_s1034" style="position:absolute;left:0;text-align:left;z-index:251676672;visibility:visible;mso-wrap-style:square;mso-wrap-distance-left:9pt;mso-wrap-distance-top:0;mso-wrap-distance-right:9pt;mso-wrap-distance-bottom:0;mso-position-horizontal:absolute;mso-position-horizontal-relative:text;mso-position-vertical:absolute;mso-position-vertical-relative:text" from="0,-.05pt" to="46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" strokecolor="black [3200]" strokeweight=".5pt">
            <v:stroke joinstyle="miter"/>
          </v:line>
        </w:pict>
      </w:r>
      <w:r w:rsidR="006805F0" w:rsidRPr="00010F83">
        <w:rPr>
          <w:rFonts w:ascii="Arial" w:hAnsi="Arial" w:cs="Arial"/>
          <w:b/>
          <w:bCs/>
          <w:sz w:val="22"/>
          <w:szCs w:val="22"/>
          <w:lang w:val="nl-NL"/>
        </w:rPr>
        <w:t xml:space="preserve">Tài sản </w:t>
      </w:r>
      <w:r w:rsidR="00731917" w:rsidRPr="00010F83">
        <w:rPr>
          <w:rFonts w:ascii="Arial" w:hAnsi="Arial" w:cs="Arial"/>
          <w:b/>
          <w:bCs/>
          <w:sz w:val="22"/>
          <w:szCs w:val="22"/>
          <w:lang w:val="nl-NL"/>
        </w:rPr>
        <w:t>thuế TNDN</w:t>
      </w:r>
      <w:r w:rsidR="006805F0" w:rsidRPr="00010F83">
        <w:rPr>
          <w:rFonts w:ascii="Arial" w:hAnsi="Arial" w:cs="Arial"/>
          <w:b/>
          <w:bCs/>
          <w:sz w:val="22"/>
          <w:szCs w:val="22"/>
          <w:lang w:val="nl-NL"/>
        </w:rPr>
        <w:t xml:space="preserve"> </w:t>
      </w:r>
      <w:r w:rsidR="00BD43AF" w:rsidRPr="00010F83">
        <w:rPr>
          <w:rFonts w:ascii="Arial" w:hAnsi="Arial" w:cs="Arial"/>
          <w:b/>
          <w:bCs/>
          <w:sz w:val="22"/>
          <w:szCs w:val="22"/>
          <w:lang w:val="nl-NL"/>
        </w:rPr>
        <w:t xml:space="preserve">và nợ </w:t>
      </w:r>
      <w:r w:rsidR="00731917" w:rsidRPr="00010F83">
        <w:rPr>
          <w:rFonts w:ascii="Arial" w:hAnsi="Arial" w:cs="Arial"/>
          <w:b/>
          <w:bCs/>
          <w:sz w:val="22"/>
          <w:szCs w:val="22"/>
          <w:lang w:val="nl-NL"/>
        </w:rPr>
        <w:t>thuế TNDN</w:t>
      </w:r>
      <w:r w:rsidR="006805F0" w:rsidRPr="00010F83">
        <w:rPr>
          <w:rFonts w:ascii="Arial" w:hAnsi="Arial" w:cs="Arial"/>
          <w:b/>
          <w:bCs/>
          <w:sz w:val="22"/>
          <w:szCs w:val="22"/>
          <w:lang w:val="nl-NL"/>
        </w:rPr>
        <w:t xml:space="preserve"> </w:t>
      </w:r>
    </w:p>
    <w:p w:rsidR="00BD43AF" w:rsidRPr="00010F83" w:rsidRDefault="00BD43AF" w:rsidP="00766B0E">
      <w:pPr>
        <w:pStyle w:val="BodyTextIndent"/>
        <w:spacing w:before="0" w:after="120" w:line="240" w:lineRule="auto"/>
        <w:ind w:left="900" w:hanging="900"/>
        <w:rPr>
          <w:rFonts w:ascii="Arial" w:hAnsi="Arial" w:cs="Arial"/>
          <w:bCs/>
          <w:sz w:val="22"/>
          <w:szCs w:val="22"/>
          <w:lang w:val="nl-NL"/>
        </w:rPr>
      </w:pPr>
      <w:r w:rsidRPr="00010F83">
        <w:rPr>
          <w:rFonts w:ascii="Arial" w:hAnsi="Arial" w:cs="Arial"/>
          <w:bCs/>
          <w:sz w:val="22"/>
          <w:szCs w:val="22"/>
          <w:lang w:val="nl-NL"/>
        </w:rPr>
        <w:t xml:space="preserve">69–70   </w:t>
      </w:r>
      <w:r w:rsidR="00766B0E" w:rsidRPr="00010F83">
        <w:rPr>
          <w:rFonts w:ascii="Arial" w:hAnsi="Arial" w:cs="Arial"/>
          <w:bCs/>
          <w:sz w:val="22"/>
          <w:szCs w:val="22"/>
          <w:lang w:val="nl-NL"/>
        </w:rPr>
        <w:tab/>
      </w:r>
      <w:r w:rsidR="00F1489A" w:rsidRPr="00010F83">
        <w:rPr>
          <w:rFonts w:ascii="Arial" w:hAnsi="Arial" w:cs="Arial"/>
          <w:bCs/>
          <w:sz w:val="22"/>
          <w:szCs w:val="22"/>
          <w:lang w:val="nl-NL"/>
        </w:rPr>
        <w:t>[</w:t>
      </w:r>
      <w:r w:rsidR="008A366E" w:rsidRPr="00010F83">
        <w:rPr>
          <w:rFonts w:ascii="Arial" w:hAnsi="Arial" w:cs="Arial"/>
          <w:bCs/>
          <w:sz w:val="22"/>
          <w:szCs w:val="22"/>
          <w:lang w:val="nl-NL"/>
        </w:rPr>
        <w:t>Bỏ đoạn này</w:t>
      </w:r>
      <w:r w:rsidR="00F1489A" w:rsidRPr="00010F83">
        <w:rPr>
          <w:rFonts w:ascii="Arial" w:hAnsi="Arial" w:cs="Arial"/>
          <w:bCs/>
          <w:sz w:val="22"/>
          <w:szCs w:val="22"/>
          <w:lang w:val="nl-NL"/>
        </w:rPr>
        <w:t>]</w:t>
      </w:r>
    </w:p>
    <w:p w:rsidR="00BD43AF" w:rsidRPr="00010F83" w:rsidRDefault="00BD43AF" w:rsidP="00766B0E">
      <w:pPr>
        <w:pStyle w:val="BodyTextIndent"/>
        <w:spacing w:before="0" w:after="120" w:line="240" w:lineRule="auto"/>
        <w:ind w:left="900" w:firstLine="0"/>
        <w:rPr>
          <w:rFonts w:ascii="Arial" w:hAnsi="Arial" w:cs="Arial"/>
          <w:b/>
          <w:bCs/>
          <w:sz w:val="22"/>
          <w:szCs w:val="22"/>
          <w:lang w:val="nl-NL"/>
        </w:rPr>
      </w:pPr>
      <w:r w:rsidRPr="00010F83">
        <w:rPr>
          <w:rFonts w:ascii="Arial" w:hAnsi="Arial" w:cs="Arial"/>
          <w:b/>
          <w:bCs/>
          <w:sz w:val="22"/>
          <w:szCs w:val="22"/>
          <w:lang w:val="nl-NL"/>
        </w:rPr>
        <w:t>Bù trừ</w:t>
      </w:r>
    </w:p>
    <w:p w:rsidR="00BD43AF" w:rsidRPr="00010F83" w:rsidRDefault="00BD43AF" w:rsidP="00766B0E">
      <w:pPr>
        <w:pStyle w:val="BodyTextIndent"/>
        <w:numPr>
          <w:ilvl w:val="1"/>
          <w:numId w:val="32"/>
        </w:numPr>
        <w:spacing w:before="0" w:after="120" w:line="240" w:lineRule="auto"/>
        <w:ind w:left="900" w:hanging="900"/>
        <w:rPr>
          <w:rFonts w:ascii="Arial" w:hAnsi="Arial" w:cs="Arial"/>
          <w:b/>
          <w:sz w:val="22"/>
          <w:szCs w:val="22"/>
          <w:lang w:val="nl-NL"/>
        </w:rPr>
      </w:pPr>
      <w:r w:rsidRPr="00010F83">
        <w:rPr>
          <w:rFonts w:ascii="Arial" w:hAnsi="Arial" w:cs="Arial"/>
          <w:b/>
          <w:sz w:val="22"/>
          <w:szCs w:val="22"/>
          <w:lang w:val="nl-NL"/>
        </w:rPr>
        <w:t xml:space="preserve">Đơn vị chỉ được bù trừ các tài sản </w:t>
      </w:r>
      <w:r w:rsidR="00731917" w:rsidRPr="00010F83">
        <w:rPr>
          <w:rFonts w:ascii="Arial" w:hAnsi="Arial" w:cs="Arial"/>
          <w:b/>
          <w:sz w:val="22"/>
          <w:szCs w:val="22"/>
          <w:lang w:val="nl-NL"/>
        </w:rPr>
        <w:t>thuế TNDN</w:t>
      </w:r>
      <w:r w:rsidR="00F1489A" w:rsidRPr="00010F83">
        <w:rPr>
          <w:rFonts w:ascii="Arial" w:hAnsi="Arial" w:cs="Arial"/>
          <w:b/>
          <w:sz w:val="22"/>
          <w:szCs w:val="22"/>
          <w:lang w:val="nl-NL"/>
        </w:rPr>
        <w:t xml:space="preserve"> </w:t>
      </w:r>
      <w:r w:rsidRPr="00010F83">
        <w:rPr>
          <w:rFonts w:ascii="Arial" w:hAnsi="Arial" w:cs="Arial"/>
          <w:b/>
          <w:sz w:val="22"/>
          <w:szCs w:val="22"/>
          <w:lang w:val="nl-NL"/>
        </w:rPr>
        <w:t xml:space="preserve">hiện hành và </w:t>
      </w:r>
      <w:r w:rsidR="00731917" w:rsidRPr="00010F83">
        <w:rPr>
          <w:rFonts w:ascii="Arial" w:hAnsi="Arial" w:cs="Arial"/>
          <w:b/>
          <w:sz w:val="22"/>
          <w:szCs w:val="22"/>
          <w:lang w:val="nl-NL"/>
        </w:rPr>
        <w:t>thuế TNDN</w:t>
      </w:r>
      <w:r w:rsidR="00F1489A" w:rsidRPr="00010F83">
        <w:rPr>
          <w:rFonts w:ascii="Arial" w:hAnsi="Arial" w:cs="Arial"/>
          <w:b/>
          <w:sz w:val="22"/>
          <w:szCs w:val="22"/>
          <w:lang w:val="nl-NL"/>
        </w:rPr>
        <w:t xml:space="preserve"> </w:t>
      </w:r>
      <w:r w:rsidRPr="00010F83">
        <w:rPr>
          <w:rFonts w:ascii="Arial" w:hAnsi="Arial" w:cs="Arial"/>
          <w:b/>
          <w:sz w:val="22"/>
          <w:szCs w:val="22"/>
          <w:lang w:val="nl-NL"/>
        </w:rPr>
        <w:t xml:space="preserve">hiện hành </w:t>
      </w:r>
      <w:r w:rsidR="00041CA5" w:rsidRPr="00010F83">
        <w:rPr>
          <w:rFonts w:ascii="Arial" w:hAnsi="Arial" w:cs="Arial"/>
          <w:b/>
          <w:sz w:val="22"/>
          <w:szCs w:val="22"/>
          <w:lang w:val="nl-NL"/>
        </w:rPr>
        <w:t xml:space="preserve">phải nộp </w:t>
      </w:r>
      <w:r w:rsidRPr="00010F83">
        <w:rPr>
          <w:rFonts w:ascii="Arial" w:hAnsi="Arial" w:cs="Arial"/>
          <w:b/>
          <w:sz w:val="22"/>
          <w:szCs w:val="22"/>
          <w:lang w:val="nl-NL"/>
        </w:rPr>
        <w:t>khi và chỉ khi đơn vị:</w:t>
      </w:r>
    </w:p>
    <w:p w:rsidR="008A366E" w:rsidRPr="00010F83" w:rsidRDefault="00BA2891" w:rsidP="00766B0E">
      <w:pPr>
        <w:pStyle w:val="ListParagraph"/>
        <w:numPr>
          <w:ilvl w:val="0"/>
          <w:numId w:val="35"/>
        </w:numPr>
        <w:autoSpaceDE w:val="0"/>
        <w:autoSpaceDN w:val="0"/>
        <w:adjustRightInd w:val="0"/>
        <w:spacing w:after="120"/>
        <w:ind w:left="1260"/>
        <w:jc w:val="both"/>
        <w:rPr>
          <w:rFonts w:ascii="Arial" w:hAnsi="Arial" w:cs="Arial"/>
          <w:b/>
          <w:bCs/>
          <w:sz w:val="22"/>
          <w:szCs w:val="22"/>
          <w:lang w:val="nl-NL"/>
        </w:rPr>
      </w:pPr>
      <w:r w:rsidRPr="00010F83">
        <w:rPr>
          <w:rFonts w:ascii="Arial" w:hAnsi="Arial" w:cs="Arial"/>
          <w:b/>
          <w:bCs/>
          <w:sz w:val="22"/>
          <w:szCs w:val="22"/>
          <w:lang w:val="nl-NL"/>
        </w:rPr>
        <w:t>Có quyền hợp pháp</w:t>
      </w:r>
      <w:r w:rsidR="00BD43AF" w:rsidRPr="00010F83">
        <w:rPr>
          <w:rFonts w:ascii="Arial" w:hAnsi="Arial" w:cs="Arial"/>
          <w:b/>
          <w:bCs/>
          <w:sz w:val="22"/>
          <w:szCs w:val="22"/>
          <w:lang w:val="nl-NL"/>
        </w:rPr>
        <w:t xml:space="preserve"> bù trừ các khoản đã ghi nhận; và</w:t>
      </w:r>
    </w:p>
    <w:p w:rsidR="00BD43AF" w:rsidRPr="00010F83" w:rsidRDefault="00BD43AF" w:rsidP="00766B0E">
      <w:pPr>
        <w:pStyle w:val="ListParagraph"/>
        <w:numPr>
          <w:ilvl w:val="0"/>
          <w:numId w:val="35"/>
        </w:numPr>
        <w:autoSpaceDE w:val="0"/>
        <w:autoSpaceDN w:val="0"/>
        <w:adjustRightInd w:val="0"/>
        <w:spacing w:after="120"/>
        <w:ind w:left="1260"/>
        <w:jc w:val="both"/>
        <w:rPr>
          <w:rFonts w:ascii="Arial" w:hAnsi="Arial" w:cs="Arial"/>
          <w:b/>
          <w:bCs/>
          <w:sz w:val="22"/>
          <w:szCs w:val="22"/>
          <w:lang w:val="nl-NL"/>
        </w:rPr>
      </w:pPr>
      <w:r w:rsidRPr="00010F83">
        <w:rPr>
          <w:rFonts w:ascii="Arial" w:hAnsi="Arial" w:cs="Arial"/>
          <w:b/>
          <w:bCs/>
          <w:sz w:val="22"/>
          <w:szCs w:val="22"/>
          <w:lang w:val="nl-NL"/>
        </w:rPr>
        <w:t>Dự định thanh toán trên cơ sở thuần hoặc sẽ thu hồi tài sản đồng thời với thanh toán nợ phải trả.</w:t>
      </w:r>
    </w:p>
    <w:p w:rsidR="00BD43AF" w:rsidRPr="00010F83" w:rsidRDefault="00BD43AF" w:rsidP="00766B0E">
      <w:pPr>
        <w:pStyle w:val="BodyTextIndent"/>
        <w:spacing w:before="0" w:after="120" w:line="240" w:lineRule="auto"/>
        <w:ind w:left="900" w:hanging="900"/>
        <w:rPr>
          <w:rFonts w:ascii="Arial" w:hAnsi="Arial" w:cs="Arial"/>
          <w:bCs/>
          <w:sz w:val="22"/>
          <w:szCs w:val="22"/>
          <w:lang w:val="nl-NL"/>
        </w:rPr>
      </w:pPr>
      <w:r w:rsidRPr="00010F83">
        <w:rPr>
          <w:rFonts w:ascii="Arial" w:hAnsi="Arial" w:cs="Arial"/>
          <w:bCs/>
          <w:sz w:val="22"/>
          <w:szCs w:val="22"/>
          <w:lang w:val="nl-NL"/>
        </w:rPr>
        <w:t xml:space="preserve">72 </w:t>
      </w:r>
      <w:r w:rsidRPr="00010F83">
        <w:rPr>
          <w:rFonts w:ascii="Arial" w:hAnsi="Arial" w:cs="Arial"/>
          <w:bCs/>
          <w:sz w:val="22"/>
          <w:szCs w:val="22"/>
          <w:lang w:val="nl-NL"/>
        </w:rPr>
        <w:tab/>
        <w:t xml:space="preserve">Mặc dù tài sản thuế </w:t>
      </w:r>
      <w:r w:rsidR="000B1EC8" w:rsidRPr="00010F83">
        <w:rPr>
          <w:rFonts w:ascii="Arial" w:hAnsi="Arial" w:cs="Arial"/>
          <w:bCs/>
          <w:sz w:val="22"/>
          <w:szCs w:val="22"/>
          <w:lang w:val="nl-NL"/>
        </w:rPr>
        <w:t xml:space="preserve">TNDN </w:t>
      </w:r>
      <w:r w:rsidRPr="00010F83">
        <w:rPr>
          <w:rFonts w:ascii="Arial" w:hAnsi="Arial" w:cs="Arial"/>
          <w:bCs/>
          <w:sz w:val="22"/>
          <w:szCs w:val="22"/>
          <w:lang w:val="nl-NL"/>
        </w:rPr>
        <w:t>hiện</w:t>
      </w:r>
      <w:r w:rsidR="00F1489A" w:rsidRPr="00010F83">
        <w:rPr>
          <w:rFonts w:ascii="Arial" w:hAnsi="Arial" w:cs="Arial"/>
          <w:sz w:val="22"/>
          <w:szCs w:val="22"/>
          <w:lang w:val="nl-NL"/>
        </w:rPr>
        <w:t xml:space="preserve"> </w:t>
      </w:r>
      <w:r w:rsidR="00F1489A" w:rsidRPr="00010F83">
        <w:rPr>
          <w:rFonts w:ascii="Arial" w:hAnsi="Arial" w:cs="Arial"/>
          <w:bCs/>
          <w:sz w:val="22"/>
          <w:szCs w:val="22"/>
          <w:lang w:val="nl-NL"/>
        </w:rPr>
        <w:t xml:space="preserve">hành và </w:t>
      </w:r>
      <w:r w:rsidR="00731917" w:rsidRPr="00010F83">
        <w:rPr>
          <w:rFonts w:ascii="Arial" w:hAnsi="Arial" w:cs="Arial"/>
          <w:bCs/>
          <w:sz w:val="22"/>
          <w:szCs w:val="22"/>
          <w:lang w:val="nl-NL"/>
        </w:rPr>
        <w:t>thuế TNDN</w:t>
      </w:r>
      <w:r w:rsidRPr="00010F83">
        <w:rPr>
          <w:rFonts w:ascii="Arial" w:hAnsi="Arial" w:cs="Arial"/>
          <w:bCs/>
          <w:sz w:val="22"/>
          <w:szCs w:val="22"/>
          <w:lang w:val="nl-NL"/>
        </w:rPr>
        <w:t xml:space="preserve"> hiện hành </w:t>
      </w:r>
      <w:r w:rsidR="000B1EC8" w:rsidRPr="00010F83">
        <w:rPr>
          <w:rFonts w:ascii="Arial" w:hAnsi="Arial" w:cs="Arial"/>
          <w:bCs/>
          <w:sz w:val="22"/>
          <w:szCs w:val="22"/>
          <w:lang w:val="nl-NL"/>
        </w:rPr>
        <w:t xml:space="preserve">phải nộp </w:t>
      </w:r>
      <w:r w:rsidRPr="00010F83">
        <w:rPr>
          <w:rFonts w:ascii="Arial" w:hAnsi="Arial" w:cs="Arial"/>
          <w:bCs/>
          <w:sz w:val="22"/>
          <w:szCs w:val="22"/>
          <w:lang w:val="nl-NL"/>
        </w:rPr>
        <w:t xml:space="preserve">được ghi nhận và xác định giá trị riêng rẽ, chúng </w:t>
      </w:r>
      <w:r w:rsidR="00286D15" w:rsidRPr="00010F83">
        <w:rPr>
          <w:rFonts w:ascii="Arial" w:hAnsi="Arial" w:cs="Arial"/>
          <w:bCs/>
          <w:sz w:val="22"/>
          <w:szCs w:val="22"/>
          <w:lang w:val="nl-NL"/>
        </w:rPr>
        <w:t xml:space="preserve">có thể được bù trừ lẫn nhau </w:t>
      </w:r>
      <w:r w:rsidR="007B64CF" w:rsidRPr="00010F83">
        <w:rPr>
          <w:rFonts w:ascii="Arial" w:hAnsi="Arial" w:cs="Arial"/>
          <w:bCs/>
          <w:sz w:val="22"/>
          <w:szCs w:val="22"/>
          <w:lang w:val="nl-NL"/>
        </w:rPr>
        <w:t>khi</w:t>
      </w:r>
      <w:r w:rsidR="00286D15" w:rsidRPr="00010F83">
        <w:rPr>
          <w:rFonts w:ascii="Arial" w:hAnsi="Arial" w:cs="Arial"/>
          <w:bCs/>
          <w:sz w:val="22"/>
          <w:szCs w:val="22"/>
          <w:lang w:val="nl-NL"/>
        </w:rPr>
        <w:t xml:space="preserve"> trình bày trong Bảng cân đối kế toán </w:t>
      </w:r>
      <w:r w:rsidR="00F1489A" w:rsidRPr="00010F83">
        <w:rPr>
          <w:rFonts w:ascii="Arial" w:hAnsi="Arial" w:cs="Arial"/>
          <w:bCs/>
          <w:sz w:val="22"/>
          <w:szCs w:val="22"/>
          <w:lang w:val="nl-NL"/>
        </w:rPr>
        <w:t>nếu thỏa mãn</w:t>
      </w:r>
      <w:r w:rsidRPr="00010F83">
        <w:rPr>
          <w:rFonts w:ascii="Arial" w:hAnsi="Arial" w:cs="Arial"/>
          <w:bCs/>
          <w:sz w:val="22"/>
          <w:szCs w:val="22"/>
          <w:lang w:val="nl-NL"/>
        </w:rPr>
        <w:t xml:space="preserve"> các tiêu chí </w:t>
      </w:r>
      <w:r w:rsidR="00F1489A" w:rsidRPr="00010F83">
        <w:rPr>
          <w:rFonts w:ascii="Arial" w:hAnsi="Arial" w:cs="Arial"/>
          <w:bCs/>
          <w:sz w:val="22"/>
          <w:szCs w:val="22"/>
          <w:lang w:val="nl-NL"/>
        </w:rPr>
        <w:t>bù trừ áp dụng cho</w:t>
      </w:r>
      <w:r w:rsidRPr="00010F83">
        <w:rPr>
          <w:rFonts w:ascii="Arial" w:hAnsi="Arial" w:cs="Arial"/>
          <w:bCs/>
          <w:sz w:val="22"/>
          <w:szCs w:val="22"/>
          <w:lang w:val="nl-NL"/>
        </w:rPr>
        <w:t xml:space="preserve"> công cụ tài chính </w:t>
      </w:r>
      <w:r w:rsidR="00F1489A" w:rsidRPr="00010F83">
        <w:rPr>
          <w:rFonts w:ascii="Arial" w:hAnsi="Arial" w:cs="Arial"/>
          <w:bCs/>
          <w:sz w:val="22"/>
          <w:szCs w:val="22"/>
          <w:lang w:val="nl-NL"/>
        </w:rPr>
        <w:t>trong IAS 32. Đơn vị</w:t>
      </w:r>
      <w:r w:rsidRPr="00010F83">
        <w:rPr>
          <w:rFonts w:ascii="Arial" w:hAnsi="Arial" w:cs="Arial"/>
          <w:bCs/>
          <w:sz w:val="22"/>
          <w:szCs w:val="22"/>
          <w:lang w:val="nl-NL"/>
        </w:rPr>
        <w:t xml:space="preserve"> thường có quyền hợp pháp được bù trừ tài sản </w:t>
      </w:r>
      <w:r w:rsidR="00731917" w:rsidRPr="00010F83">
        <w:rPr>
          <w:rFonts w:ascii="Arial" w:hAnsi="Arial" w:cs="Arial"/>
          <w:bCs/>
          <w:sz w:val="22"/>
          <w:szCs w:val="22"/>
          <w:lang w:val="nl-NL"/>
        </w:rPr>
        <w:t>thuế TNDN</w:t>
      </w:r>
      <w:r w:rsidR="00F1489A" w:rsidRPr="00010F83">
        <w:rPr>
          <w:rFonts w:ascii="Arial" w:hAnsi="Arial" w:cs="Arial"/>
          <w:bCs/>
          <w:sz w:val="22"/>
          <w:szCs w:val="22"/>
          <w:lang w:val="nl-NL"/>
        </w:rPr>
        <w:t xml:space="preserve"> </w:t>
      </w:r>
      <w:r w:rsidRPr="00010F83">
        <w:rPr>
          <w:rFonts w:ascii="Arial" w:hAnsi="Arial" w:cs="Arial"/>
          <w:bCs/>
          <w:sz w:val="22"/>
          <w:szCs w:val="22"/>
          <w:lang w:val="nl-NL"/>
        </w:rPr>
        <w:t xml:space="preserve">hiện hành và </w:t>
      </w:r>
      <w:r w:rsidR="00731917" w:rsidRPr="00010F83">
        <w:rPr>
          <w:rFonts w:ascii="Arial" w:hAnsi="Arial" w:cs="Arial"/>
          <w:bCs/>
          <w:sz w:val="22"/>
          <w:szCs w:val="22"/>
          <w:lang w:val="nl-NL"/>
        </w:rPr>
        <w:t>thuế TNDN</w:t>
      </w:r>
      <w:r w:rsidR="00F1489A" w:rsidRPr="00010F83">
        <w:rPr>
          <w:rFonts w:ascii="Arial" w:hAnsi="Arial" w:cs="Arial"/>
          <w:bCs/>
          <w:sz w:val="22"/>
          <w:szCs w:val="22"/>
          <w:lang w:val="nl-NL"/>
        </w:rPr>
        <w:t xml:space="preserve"> </w:t>
      </w:r>
      <w:r w:rsidRPr="00010F83">
        <w:rPr>
          <w:rFonts w:ascii="Arial" w:hAnsi="Arial" w:cs="Arial"/>
          <w:bCs/>
          <w:sz w:val="22"/>
          <w:szCs w:val="22"/>
          <w:lang w:val="nl-NL"/>
        </w:rPr>
        <w:t xml:space="preserve">hiện hành </w:t>
      </w:r>
      <w:r w:rsidR="000B1EC8" w:rsidRPr="00010F83">
        <w:rPr>
          <w:rFonts w:ascii="Arial" w:hAnsi="Arial" w:cs="Arial"/>
          <w:bCs/>
          <w:sz w:val="22"/>
          <w:szCs w:val="22"/>
          <w:lang w:val="nl-NL"/>
        </w:rPr>
        <w:t xml:space="preserve">phải nộp </w:t>
      </w:r>
      <w:r w:rsidRPr="00010F83">
        <w:rPr>
          <w:rFonts w:ascii="Arial" w:hAnsi="Arial" w:cs="Arial"/>
          <w:bCs/>
          <w:sz w:val="22"/>
          <w:szCs w:val="22"/>
          <w:lang w:val="nl-NL"/>
        </w:rPr>
        <w:t xml:space="preserve">khi </w:t>
      </w:r>
      <w:r w:rsidR="00F1489A" w:rsidRPr="00010F83">
        <w:rPr>
          <w:rFonts w:ascii="Arial" w:hAnsi="Arial" w:cs="Arial"/>
          <w:bCs/>
          <w:sz w:val="22"/>
          <w:szCs w:val="22"/>
          <w:lang w:val="nl-NL"/>
        </w:rPr>
        <w:t>cả hai khoản</w:t>
      </w:r>
      <w:r w:rsidRPr="00010F83">
        <w:rPr>
          <w:rFonts w:ascii="Arial" w:hAnsi="Arial" w:cs="Arial"/>
          <w:bCs/>
          <w:sz w:val="22"/>
          <w:szCs w:val="22"/>
          <w:lang w:val="nl-NL"/>
        </w:rPr>
        <w:t xml:space="preserve"> </w:t>
      </w:r>
      <w:r w:rsidR="00731917" w:rsidRPr="00010F83">
        <w:rPr>
          <w:rFonts w:ascii="Arial" w:hAnsi="Arial" w:cs="Arial"/>
          <w:bCs/>
          <w:sz w:val="22"/>
          <w:szCs w:val="22"/>
          <w:lang w:val="nl-NL"/>
        </w:rPr>
        <w:t>thuế TNDN</w:t>
      </w:r>
      <w:r w:rsidRPr="00010F83">
        <w:rPr>
          <w:rFonts w:ascii="Arial" w:hAnsi="Arial" w:cs="Arial"/>
          <w:bCs/>
          <w:sz w:val="22"/>
          <w:szCs w:val="22"/>
          <w:lang w:val="nl-NL"/>
        </w:rPr>
        <w:t xml:space="preserve"> được quản lý bởi cùng một cơ quan thuế</w:t>
      </w:r>
      <w:r w:rsidRPr="00010F83">
        <w:rPr>
          <w:rFonts w:ascii="Arial" w:hAnsi="Arial" w:cs="Arial"/>
          <w:b/>
          <w:bCs/>
          <w:i/>
          <w:sz w:val="22"/>
          <w:szCs w:val="22"/>
          <w:lang w:val="nl-NL"/>
        </w:rPr>
        <w:t xml:space="preserve"> </w:t>
      </w:r>
      <w:r w:rsidRPr="00010F83">
        <w:rPr>
          <w:rFonts w:ascii="Arial" w:hAnsi="Arial" w:cs="Arial"/>
          <w:bCs/>
          <w:sz w:val="22"/>
          <w:szCs w:val="22"/>
          <w:lang w:val="nl-NL"/>
        </w:rPr>
        <w:t xml:space="preserve">và cơ quan thuế cho phép đơn vị nộp hoặc nhận </w:t>
      </w:r>
      <w:r w:rsidR="00F1489A" w:rsidRPr="00010F83">
        <w:rPr>
          <w:rFonts w:ascii="Arial" w:hAnsi="Arial" w:cs="Arial"/>
          <w:bCs/>
          <w:sz w:val="22"/>
          <w:szCs w:val="22"/>
          <w:lang w:val="nl-NL"/>
        </w:rPr>
        <w:t xml:space="preserve">lại thuế trên cơ sở </w:t>
      </w:r>
      <w:r w:rsidR="00286D15" w:rsidRPr="00010F83">
        <w:rPr>
          <w:rFonts w:ascii="Arial" w:hAnsi="Arial" w:cs="Arial"/>
          <w:bCs/>
          <w:sz w:val="22"/>
          <w:szCs w:val="22"/>
          <w:lang w:val="nl-NL"/>
        </w:rPr>
        <w:t>bù trừ</w:t>
      </w:r>
      <w:r w:rsidRPr="00010F83">
        <w:rPr>
          <w:rFonts w:ascii="Arial" w:hAnsi="Arial" w:cs="Arial"/>
          <w:bCs/>
          <w:sz w:val="22"/>
          <w:szCs w:val="22"/>
          <w:lang w:val="nl-NL"/>
        </w:rPr>
        <w:t>.</w:t>
      </w:r>
    </w:p>
    <w:p w:rsidR="002E372A" w:rsidRPr="00010F83" w:rsidRDefault="002E372A" w:rsidP="00766B0E">
      <w:pPr>
        <w:pStyle w:val="BodyTextIndent"/>
        <w:spacing w:before="0" w:after="120" w:line="240" w:lineRule="auto"/>
        <w:ind w:left="900" w:hanging="900"/>
        <w:rPr>
          <w:rFonts w:ascii="Arial" w:hAnsi="Arial" w:cs="Arial"/>
          <w:bCs/>
          <w:sz w:val="22"/>
          <w:szCs w:val="22"/>
          <w:lang w:val="nl-NL"/>
        </w:rPr>
      </w:pPr>
      <w:r w:rsidRPr="00010F83">
        <w:rPr>
          <w:rFonts w:ascii="Arial" w:hAnsi="Arial" w:cs="Arial"/>
          <w:bCs/>
          <w:sz w:val="22"/>
          <w:szCs w:val="22"/>
          <w:lang w:val="nl-NL"/>
        </w:rPr>
        <w:t xml:space="preserve">73     </w:t>
      </w:r>
      <w:r w:rsidRPr="00010F83">
        <w:rPr>
          <w:rFonts w:ascii="Arial" w:hAnsi="Arial" w:cs="Arial"/>
          <w:bCs/>
          <w:sz w:val="22"/>
          <w:szCs w:val="22"/>
          <w:lang w:val="nl-NL"/>
        </w:rPr>
        <w:tab/>
        <w:t xml:space="preserve">Trong báo cáo tài chính hợp nhất, tài sản thuế hiện hành của một đơn vị trong tập đoàn được bù trừ với </w:t>
      </w:r>
      <w:r w:rsidR="00731917" w:rsidRPr="00010F83">
        <w:rPr>
          <w:rFonts w:ascii="Arial" w:hAnsi="Arial" w:cs="Arial"/>
          <w:bCs/>
          <w:sz w:val="22"/>
          <w:szCs w:val="22"/>
          <w:lang w:val="nl-NL"/>
        </w:rPr>
        <w:t>thuế TNDN</w:t>
      </w:r>
      <w:r w:rsidR="006805F0" w:rsidRPr="00010F83">
        <w:rPr>
          <w:rFonts w:ascii="Arial" w:hAnsi="Arial" w:cs="Arial"/>
          <w:bCs/>
          <w:sz w:val="22"/>
          <w:szCs w:val="22"/>
          <w:lang w:val="nl-NL"/>
        </w:rPr>
        <w:t xml:space="preserve"> </w:t>
      </w:r>
      <w:r w:rsidR="00BA2891" w:rsidRPr="00010F83">
        <w:rPr>
          <w:rFonts w:ascii="Arial" w:hAnsi="Arial" w:cs="Arial"/>
          <w:bCs/>
          <w:sz w:val="22"/>
          <w:szCs w:val="22"/>
          <w:lang w:val="nl-NL"/>
        </w:rPr>
        <w:t>hiện hành</w:t>
      </w:r>
      <w:r w:rsidR="000B1EC8" w:rsidRPr="00010F83">
        <w:rPr>
          <w:rFonts w:ascii="Arial" w:hAnsi="Arial" w:cs="Arial"/>
          <w:bCs/>
          <w:sz w:val="22"/>
          <w:szCs w:val="22"/>
          <w:lang w:val="nl-NL"/>
        </w:rPr>
        <w:t xml:space="preserve"> phải nộp</w:t>
      </w:r>
      <w:r w:rsidRPr="00010F83">
        <w:rPr>
          <w:rFonts w:ascii="Arial" w:hAnsi="Arial" w:cs="Arial"/>
          <w:bCs/>
          <w:sz w:val="22"/>
          <w:szCs w:val="22"/>
          <w:lang w:val="nl-NL"/>
        </w:rPr>
        <w:t xml:space="preserve"> của một đơn vị khác trong cùng tập đoàn khi và chỉ khi các đơn vị </w:t>
      </w:r>
      <w:r w:rsidR="00BA2891" w:rsidRPr="00010F83">
        <w:rPr>
          <w:rFonts w:ascii="Arial" w:hAnsi="Arial" w:cs="Arial"/>
          <w:bCs/>
          <w:sz w:val="22"/>
          <w:szCs w:val="22"/>
          <w:lang w:val="nl-NL"/>
        </w:rPr>
        <w:t>đó</w:t>
      </w:r>
      <w:r w:rsidRPr="00010F83">
        <w:rPr>
          <w:rFonts w:ascii="Arial" w:hAnsi="Arial" w:cs="Arial"/>
          <w:bCs/>
          <w:sz w:val="22"/>
          <w:szCs w:val="22"/>
          <w:lang w:val="nl-NL"/>
        </w:rPr>
        <w:t xml:space="preserve"> có quyền</w:t>
      </w:r>
      <w:r w:rsidR="00BA2891" w:rsidRPr="00010F83">
        <w:rPr>
          <w:rFonts w:ascii="Arial" w:hAnsi="Arial" w:cs="Arial"/>
          <w:bCs/>
          <w:sz w:val="22"/>
          <w:szCs w:val="22"/>
          <w:lang w:val="nl-NL"/>
        </w:rPr>
        <w:t xml:space="preserve"> hợp pháp được nộp hoặc nhận</w:t>
      </w:r>
      <w:r w:rsidRPr="00010F83">
        <w:rPr>
          <w:rFonts w:ascii="Arial" w:hAnsi="Arial" w:cs="Arial"/>
          <w:bCs/>
          <w:sz w:val="22"/>
          <w:szCs w:val="22"/>
          <w:lang w:val="nl-NL"/>
        </w:rPr>
        <w:t xml:space="preserve"> khoản thanh toán thuần duy nhất và các đơn vị đó có dự định nộp hoặc nhận khoản thanh toán thuần duy nhất đó</w:t>
      </w:r>
      <w:r w:rsidR="00BA2891" w:rsidRPr="00010F83">
        <w:rPr>
          <w:rFonts w:ascii="Arial" w:hAnsi="Arial" w:cs="Arial"/>
          <w:bCs/>
          <w:sz w:val="22"/>
          <w:szCs w:val="22"/>
          <w:lang w:val="nl-NL"/>
        </w:rPr>
        <w:t>,</w:t>
      </w:r>
      <w:r w:rsidRPr="00010F83">
        <w:rPr>
          <w:rFonts w:ascii="Arial" w:hAnsi="Arial" w:cs="Arial"/>
          <w:bCs/>
          <w:sz w:val="22"/>
          <w:szCs w:val="22"/>
          <w:lang w:val="nl-NL"/>
        </w:rPr>
        <w:t xml:space="preserve"> hoặc thu hồi tài sản đồng thời với thanh toán nợ phải trả.</w:t>
      </w:r>
    </w:p>
    <w:p w:rsidR="000D0CA9" w:rsidRPr="00010F83" w:rsidRDefault="00BA2891" w:rsidP="00766B0E">
      <w:pPr>
        <w:pStyle w:val="BodyTextIndent"/>
        <w:numPr>
          <w:ilvl w:val="1"/>
          <w:numId w:val="31"/>
        </w:numPr>
        <w:spacing w:before="0" w:after="120" w:line="240" w:lineRule="auto"/>
        <w:ind w:left="900" w:hanging="900"/>
        <w:rPr>
          <w:rFonts w:ascii="Arial" w:hAnsi="Arial" w:cs="Arial"/>
          <w:b/>
          <w:bCs/>
          <w:sz w:val="22"/>
          <w:szCs w:val="22"/>
          <w:lang w:val="nl-NL"/>
        </w:rPr>
      </w:pPr>
      <w:r w:rsidRPr="00010F83">
        <w:rPr>
          <w:rFonts w:ascii="Arial" w:hAnsi="Arial" w:cs="Arial"/>
          <w:b/>
          <w:bCs/>
          <w:sz w:val="22"/>
          <w:szCs w:val="22"/>
          <w:lang w:val="nl-NL"/>
        </w:rPr>
        <w:t xml:space="preserve">Đơn vị chỉ được bù trừ </w:t>
      </w:r>
      <w:r w:rsidR="006805F0" w:rsidRPr="00010F83">
        <w:rPr>
          <w:rFonts w:ascii="Arial" w:hAnsi="Arial" w:cs="Arial"/>
          <w:b/>
          <w:bCs/>
          <w:sz w:val="22"/>
          <w:szCs w:val="22"/>
          <w:lang w:val="nl-NL"/>
        </w:rPr>
        <w:t xml:space="preserve">tài sản </w:t>
      </w:r>
      <w:r w:rsidR="00731917" w:rsidRPr="00010F83">
        <w:rPr>
          <w:rFonts w:ascii="Arial" w:hAnsi="Arial" w:cs="Arial"/>
          <w:b/>
          <w:bCs/>
          <w:sz w:val="22"/>
          <w:szCs w:val="22"/>
          <w:lang w:val="nl-NL"/>
        </w:rPr>
        <w:t>thuế TNDN</w:t>
      </w:r>
      <w:r w:rsidR="006805F0" w:rsidRPr="00010F83">
        <w:rPr>
          <w:rFonts w:ascii="Arial" w:hAnsi="Arial" w:cs="Arial"/>
          <w:b/>
          <w:bCs/>
          <w:sz w:val="22"/>
          <w:szCs w:val="22"/>
          <w:lang w:val="nl-NL"/>
        </w:rPr>
        <w:t xml:space="preserve"> hoãn lại</w:t>
      </w:r>
      <w:r w:rsidR="000D0CA9" w:rsidRPr="00010F83">
        <w:rPr>
          <w:rFonts w:ascii="Arial" w:hAnsi="Arial" w:cs="Arial"/>
          <w:b/>
          <w:bCs/>
          <w:sz w:val="22"/>
          <w:szCs w:val="22"/>
          <w:lang w:val="nl-NL"/>
        </w:rPr>
        <w:t xml:space="preserve"> và </w:t>
      </w:r>
      <w:r w:rsidR="00731917" w:rsidRPr="00010F83">
        <w:rPr>
          <w:rFonts w:ascii="Arial" w:hAnsi="Arial" w:cs="Arial"/>
          <w:b/>
          <w:bCs/>
          <w:sz w:val="22"/>
          <w:szCs w:val="22"/>
          <w:lang w:val="nl-NL"/>
        </w:rPr>
        <w:t>thuế TNDN</w:t>
      </w:r>
      <w:r w:rsidR="006805F0" w:rsidRPr="00010F83">
        <w:rPr>
          <w:rFonts w:ascii="Arial" w:hAnsi="Arial" w:cs="Arial"/>
          <w:b/>
          <w:bCs/>
          <w:sz w:val="22"/>
          <w:szCs w:val="22"/>
          <w:lang w:val="nl-NL"/>
        </w:rPr>
        <w:t xml:space="preserve"> hoãn lại phải trả</w:t>
      </w:r>
      <w:r w:rsidR="000D0CA9" w:rsidRPr="00010F83">
        <w:rPr>
          <w:rFonts w:ascii="Arial" w:hAnsi="Arial" w:cs="Arial"/>
          <w:b/>
          <w:bCs/>
          <w:sz w:val="22"/>
          <w:szCs w:val="22"/>
          <w:lang w:val="nl-NL"/>
        </w:rPr>
        <w:t xml:space="preserve"> khi</w:t>
      </w:r>
      <w:r w:rsidRPr="00010F83">
        <w:rPr>
          <w:rFonts w:ascii="Arial" w:hAnsi="Arial" w:cs="Arial"/>
          <w:b/>
          <w:bCs/>
          <w:sz w:val="22"/>
          <w:szCs w:val="22"/>
          <w:lang w:val="nl-NL"/>
        </w:rPr>
        <w:t xml:space="preserve"> và chỉ khi</w:t>
      </w:r>
      <w:r w:rsidR="000D0CA9" w:rsidRPr="00010F83">
        <w:rPr>
          <w:rFonts w:ascii="Arial" w:hAnsi="Arial" w:cs="Arial"/>
          <w:b/>
          <w:bCs/>
          <w:sz w:val="22"/>
          <w:szCs w:val="22"/>
          <w:lang w:val="nl-NL"/>
        </w:rPr>
        <w:t>:</w:t>
      </w:r>
    </w:p>
    <w:p w:rsidR="008A366E" w:rsidRPr="00010F83" w:rsidRDefault="000D0CA9" w:rsidP="000B1EC8">
      <w:pPr>
        <w:pStyle w:val="ListParagraph"/>
        <w:numPr>
          <w:ilvl w:val="0"/>
          <w:numId w:val="36"/>
        </w:numPr>
        <w:autoSpaceDE w:val="0"/>
        <w:autoSpaceDN w:val="0"/>
        <w:adjustRightInd w:val="0"/>
        <w:spacing w:after="120"/>
        <w:ind w:left="1260"/>
        <w:jc w:val="both"/>
        <w:rPr>
          <w:rFonts w:ascii="Arial" w:hAnsi="Arial" w:cs="Arial"/>
          <w:b/>
          <w:bCs/>
          <w:sz w:val="22"/>
          <w:szCs w:val="22"/>
          <w:lang w:val="nl-NL"/>
        </w:rPr>
      </w:pPr>
      <w:r w:rsidRPr="00010F83">
        <w:rPr>
          <w:rFonts w:ascii="Arial" w:hAnsi="Arial" w:cs="Arial"/>
          <w:b/>
          <w:bCs/>
          <w:sz w:val="22"/>
          <w:szCs w:val="22"/>
          <w:lang w:val="nl-NL"/>
        </w:rPr>
        <w:t>đơn</w:t>
      </w:r>
      <w:r w:rsidR="00BA2891" w:rsidRPr="00010F83">
        <w:rPr>
          <w:rFonts w:ascii="Arial" w:hAnsi="Arial" w:cs="Arial"/>
          <w:b/>
          <w:bCs/>
          <w:sz w:val="22"/>
          <w:szCs w:val="22"/>
          <w:lang w:val="nl-NL"/>
        </w:rPr>
        <w:t xml:space="preserve"> vị có quyền hợp pháp bù trừ </w:t>
      </w:r>
      <w:r w:rsidRPr="00010F83">
        <w:rPr>
          <w:rFonts w:ascii="Arial" w:hAnsi="Arial" w:cs="Arial"/>
          <w:b/>
          <w:bCs/>
          <w:sz w:val="22"/>
          <w:szCs w:val="22"/>
          <w:lang w:val="nl-NL"/>
        </w:rPr>
        <w:t xml:space="preserve">tài sản </w:t>
      </w:r>
      <w:r w:rsidR="00731917" w:rsidRPr="00010F83">
        <w:rPr>
          <w:rFonts w:ascii="Arial" w:hAnsi="Arial" w:cs="Arial"/>
          <w:b/>
          <w:bCs/>
          <w:sz w:val="22"/>
          <w:szCs w:val="22"/>
          <w:lang w:val="nl-NL"/>
        </w:rPr>
        <w:t>thuế TNDN</w:t>
      </w:r>
      <w:r w:rsidR="00BA2891" w:rsidRPr="00010F83">
        <w:rPr>
          <w:rFonts w:ascii="Arial" w:hAnsi="Arial" w:cs="Arial"/>
          <w:b/>
          <w:bCs/>
          <w:sz w:val="22"/>
          <w:szCs w:val="22"/>
          <w:lang w:val="nl-NL"/>
        </w:rPr>
        <w:t xml:space="preserve"> </w:t>
      </w:r>
      <w:r w:rsidRPr="00010F83">
        <w:rPr>
          <w:rFonts w:ascii="Arial" w:hAnsi="Arial" w:cs="Arial"/>
          <w:b/>
          <w:bCs/>
          <w:sz w:val="22"/>
          <w:szCs w:val="22"/>
          <w:lang w:val="nl-NL"/>
        </w:rPr>
        <w:t xml:space="preserve">hiện hành với </w:t>
      </w:r>
      <w:r w:rsidR="00731917" w:rsidRPr="00010F83">
        <w:rPr>
          <w:rFonts w:ascii="Arial" w:hAnsi="Arial" w:cs="Arial"/>
          <w:b/>
          <w:bCs/>
          <w:sz w:val="22"/>
          <w:szCs w:val="22"/>
          <w:lang w:val="nl-NL"/>
        </w:rPr>
        <w:t>thuế TNDN</w:t>
      </w:r>
      <w:r w:rsidR="00BA2891" w:rsidRPr="00010F83">
        <w:rPr>
          <w:rFonts w:ascii="Arial" w:hAnsi="Arial" w:cs="Arial"/>
          <w:b/>
          <w:bCs/>
          <w:sz w:val="22"/>
          <w:szCs w:val="22"/>
          <w:lang w:val="nl-NL"/>
        </w:rPr>
        <w:t xml:space="preserve"> </w:t>
      </w:r>
      <w:r w:rsidRPr="00010F83">
        <w:rPr>
          <w:rFonts w:ascii="Arial" w:hAnsi="Arial" w:cs="Arial"/>
          <w:b/>
          <w:bCs/>
          <w:sz w:val="22"/>
          <w:szCs w:val="22"/>
          <w:lang w:val="nl-NL"/>
        </w:rPr>
        <w:t>hiện hành</w:t>
      </w:r>
      <w:r w:rsidR="00041CA5" w:rsidRPr="00010F83">
        <w:rPr>
          <w:rFonts w:ascii="Arial" w:hAnsi="Arial" w:cs="Arial"/>
          <w:b/>
          <w:bCs/>
          <w:sz w:val="22"/>
          <w:szCs w:val="22"/>
          <w:lang w:val="nl-NL"/>
        </w:rPr>
        <w:t xml:space="preserve"> phải nộp</w:t>
      </w:r>
      <w:r w:rsidRPr="00010F83">
        <w:rPr>
          <w:rFonts w:ascii="Arial" w:hAnsi="Arial" w:cs="Arial"/>
          <w:b/>
          <w:bCs/>
          <w:sz w:val="22"/>
          <w:szCs w:val="22"/>
          <w:lang w:val="nl-NL"/>
        </w:rPr>
        <w:t>; và</w:t>
      </w:r>
    </w:p>
    <w:p w:rsidR="005117B2" w:rsidRPr="00010F83" w:rsidRDefault="005117B2">
      <w:pPr>
        <w:rPr>
          <w:rFonts w:ascii="Arial" w:eastAsia="Times New Roman" w:hAnsi="Arial" w:cs="Arial"/>
          <w:bCs/>
          <w:lang w:val="nl-NL"/>
        </w:rPr>
      </w:pPr>
      <w:r w:rsidRPr="00010F83">
        <w:rPr>
          <w:rFonts w:ascii="Arial" w:hAnsi="Arial" w:cs="Arial"/>
          <w:bCs/>
          <w:lang w:val="nl-NL"/>
        </w:rPr>
        <w:br w:type="page"/>
      </w:r>
    </w:p>
    <w:p w:rsidR="000D0CA9" w:rsidRPr="00010F83" w:rsidRDefault="006805F0" w:rsidP="00766B0E">
      <w:pPr>
        <w:pStyle w:val="ListParagraph"/>
        <w:numPr>
          <w:ilvl w:val="0"/>
          <w:numId w:val="36"/>
        </w:numPr>
        <w:autoSpaceDE w:val="0"/>
        <w:autoSpaceDN w:val="0"/>
        <w:adjustRightInd w:val="0"/>
        <w:spacing w:after="120"/>
        <w:jc w:val="both"/>
        <w:rPr>
          <w:rFonts w:ascii="Arial" w:hAnsi="Arial" w:cs="Arial"/>
          <w:b/>
          <w:bCs/>
          <w:sz w:val="22"/>
          <w:szCs w:val="22"/>
          <w:lang w:val="nl-NL"/>
        </w:rPr>
      </w:pPr>
      <w:r w:rsidRPr="00010F83">
        <w:rPr>
          <w:rFonts w:ascii="Arial" w:hAnsi="Arial" w:cs="Arial"/>
          <w:b/>
          <w:bCs/>
          <w:sz w:val="22"/>
          <w:szCs w:val="22"/>
          <w:lang w:val="nl-NL"/>
        </w:rPr>
        <w:t xml:space="preserve">tài sản </w:t>
      </w:r>
      <w:r w:rsidR="00731917" w:rsidRPr="00010F83">
        <w:rPr>
          <w:rFonts w:ascii="Arial" w:hAnsi="Arial" w:cs="Arial"/>
          <w:b/>
          <w:bCs/>
          <w:sz w:val="22"/>
          <w:szCs w:val="22"/>
          <w:lang w:val="nl-NL"/>
        </w:rPr>
        <w:t>thuế TNDN</w:t>
      </w:r>
      <w:r w:rsidRPr="00010F83">
        <w:rPr>
          <w:rFonts w:ascii="Arial" w:hAnsi="Arial" w:cs="Arial"/>
          <w:b/>
          <w:bCs/>
          <w:sz w:val="22"/>
          <w:szCs w:val="22"/>
          <w:lang w:val="nl-NL"/>
        </w:rPr>
        <w:t xml:space="preserve"> hoãn lại</w:t>
      </w:r>
      <w:r w:rsidR="000D0CA9" w:rsidRPr="00010F83">
        <w:rPr>
          <w:rFonts w:ascii="Arial" w:hAnsi="Arial" w:cs="Arial"/>
          <w:b/>
          <w:bCs/>
          <w:sz w:val="22"/>
          <w:szCs w:val="22"/>
          <w:lang w:val="nl-NL"/>
        </w:rPr>
        <w:t xml:space="preserve"> và </w:t>
      </w:r>
      <w:r w:rsidR="00731917" w:rsidRPr="00010F83">
        <w:rPr>
          <w:rFonts w:ascii="Arial" w:hAnsi="Arial" w:cs="Arial"/>
          <w:b/>
          <w:bCs/>
          <w:sz w:val="22"/>
          <w:szCs w:val="22"/>
          <w:lang w:val="nl-NL"/>
        </w:rPr>
        <w:t>thuế TNDN</w:t>
      </w:r>
      <w:r w:rsidRPr="00010F83">
        <w:rPr>
          <w:rFonts w:ascii="Arial" w:hAnsi="Arial" w:cs="Arial"/>
          <w:b/>
          <w:bCs/>
          <w:sz w:val="22"/>
          <w:szCs w:val="22"/>
          <w:lang w:val="nl-NL"/>
        </w:rPr>
        <w:t xml:space="preserve"> hoãn lại phải trả</w:t>
      </w:r>
      <w:r w:rsidR="000D0CA9" w:rsidRPr="00010F83">
        <w:rPr>
          <w:rFonts w:ascii="Arial" w:hAnsi="Arial" w:cs="Arial"/>
          <w:b/>
          <w:bCs/>
          <w:sz w:val="22"/>
          <w:szCs w:val="22"/>
          <w:lang w:val="nl-NL"/>
        </w:rPr>
        <w:t xml:space="preserve"> liên quan tới </w:t>
      </w:r>
      <w:r w:rsidR="00731917" w:rsidRPr="00010F83">
        <w:rPr>
          <w:rFonts w:ascii="Arial" w:hAnsi="Arial" w:cs="Arial"/>
          <w:b/>
          <w:bCs/>
          <w:sz w:val="22"/>
          <w:szCs w:val="22"/>
          <w:lang w:val="nl-NL"/>
        </w:rPr>
        <w:t>thuế TNDN</w:t>
      </w:r>
      <w:r w:rsidR="000D0CA9" w:rsidRPr="00010F83">
        <w:rPr>
          <w:rFonts w:ascii="Arial" w:hAnsi="Arial" w:cs="Arial"/>
          <w:b/>
          <w:bCs/>
          <w:sz w:val="22"/>
          <w:szCs w:val="22"/>
          <w:lang w:val="nl-NL"/>
        </w:rPr>
        <w:t xml:space="preserve"> được quản lý bởi cùng một cơ quan thuế đối với:</w:t>
      </w:r>
    </w:p>
    <w:p w:rsidR="008A366E" w:rsidRPr="00010F83" w:rsidRDefault="000D0CA9" w:rsidP="005117B2">
      <w:pPr>
        <w:pStyle w:val="BodyTextIndent"/>
        <w:numPr>
          <w:ilvl w:val="0"/>
          <w:numId w:val="37"/>
        </w:numPr>
        <w:spacing w:before="0" w:after="120" w:line="240" w:lineRule="auto"/>
        <w:ind w:left="1440"/>
        <w:rPr>
          <w:rFonts w:ascii="Arial" w:hAnsi="Arial" w:cs="Arial"/>
          <w:b/>
          <w:bCs/>
          <w:sz w:val="22"/>
          <w:szCs w:val="22"/>
          <w:lang w:val="nl-NL"/>
        </w:rPr>
      </w:pPr>
      <w:r w:rsidRPr="00010F83">
        <w:rPr>
          <w:rFonts w:ascii="Arial" w:hAnsi="Arial" w:cs="Arial"/>
          <w:b/>
          <w:bCs/>
          <w:sz w:val="22"/>
          <w:szCs w:val="22"/>
          <w:lang w:val="nl-NL"/>
        </w:rPr>
        <w:t>cùng một đơn vị chịu thuế; hoặc</w:t>
      </w:r>
    </w:p>
    <w:p w:rsidR="000D0CA9" w:rsidRPr="00010F83" w:rsidRDefault="000D0CA9" w:rsidP="005117B2">
      <w:pPr>
        <w:pStyle w:val="BodyTextIndent"/>
        <w:numPr>
          <w:ilvl w:val="0"/>
          <w:numId w:val="37"/>
        </w:numPr>
        <w:spacing w:before="0" w:after="120" w:line="240" w:lineRule="auto"/>
        <w:ind w:left="1440"/>
        <w:rPr>
          <w:rFonts w:ascii="Arial" w:hAnsi="Arial" w:cs="Arial"/>
          <w:b/>
          <w:bCs/>
          <w:sz w:val="22"/>
          <w:szCs w:val="22"/>
          <w:lang w:val="nl-NL"/>
        </w:rPr>
      </w:pPr>
      <w:r w:rsidRPr="00010F83">
        <w:rPr>
          <w:rFonts w:ascii="Arial" w:hAnsi="Arial" w:cs="Arial"/>
          <w:b/>
          <w:bCs/>
          <w:sz w:val="22"/>
          <w:szCs w:val="22"/>
          <w:lang w:val="nl-NL"/>
        </w:rPr>
        <w:t xml:space="preserve">các đơn vị chịu thuế khác nhau có dự định thanh toán </w:t>
      </w:r>
      <w:r w:rsidR="00731917" w:rsidRPr="00010F83">
        <w:rPr>
          <w:rFonts w:ascii="Arial" w:hAnsi="Arial" w:cs="Arial"/>
          <w:b/>
          <w:bCs/>
          <w:sz w:val="22"/>
          <w:szCs w:val="22"/>
          <w:lang w:val="nl-NL"/>
        </w:rPr>
        <w:t>thuế TNDN</w:t>
      </w:r>
      <w:r w:rsidR="00C47629" w:rsidRPr="00010F83">
        <w:rPr>
          <w:rFonts w:ascii="Arial" w:hAnsi="Arial" w:cs="Arial"/>
          <w:b/>
          <w:bCs/>
          <w:sz w:val="22"/>
          <w:szCs w:val="22"/>
          <w:lang w:val="nl-NL"/>
        </w:rPr>
        <w:t xml:space="preserve"> hiện hành</w:t>
      </w:r>
      <w:r w:rsidRPr="00010F83">
        <w:rPr>
          <w:rFonts w:ascii="Arial" w:hAnsi="Arial" w:cs="Arial"/>
          <w:b/>
          <w:bCs/>
          <w:sz w:val="22"/>
          <w:szCs w:val="22"/>
          <w:lang w:val="nl-NL"/>
        </w:rPr>
        <w:t xml:space="preserve"> </w:t>
      </w:r>
      <w:r w:rsidR="000B1EC8" w:rsidRPr="00010F83">
        <w:rPr>
          <w:rFonts w:ascii="Arial" w:hAnsi="Arial" w:cs="Arial"/>
          <w:b/>
          <w:bCs/>
          <w:sz w:val="22"/>
          <w:szCs w:val="22"/>
          <w:lang w:val="nl-NL"/>
        </w:rPr>
        <w:t xml:space="preserve">phải nộp </w:t>
      </w:r>
      <w:r w:rsidRPr="00010F83">
        <w:rPr>
          <w:rFonts w:ascii="Arial" w:hAnsi="Arial" w:cs="Arial"/>
          <w:b/>
          <w:bCs/>
          <w:sz w:val="22"/>
          <w:szCs w:val="22"/>
          <w:lang w:val="nl-NL"/>
        </w:rPr>
        <w:t xml:space="preserve">và tài sản </w:t>
      </w:r>
      <w:r w:rsidR="00731917" w:rsidRPr="00010F83">
        <w:rPr>
          <w:rFonts w:ascii="Arial" w:hAnsi="Arial" w:cs="Arial"/>
          <w:b/>
          <w:bCs/>
          <w:sz w:val="22"/>
          <w:szCs w:val="22"/>
          <w:lang w:val="nl-NL"/>
        </w:rPr>
        <w:t>thuế TNDN</w:t>
      </w:r>
      <w:r w:rsidR="00C47629" w:rsidRPr="00010F83">
        <w:rPr>
          <w:rFonts w:ascii="Arial" w:hAnsi="Arial" w:cs="Arial"/>
          <w:b/>
          <w:bCs/>
          <w:sz w:val="22"/>
          <w:szCs w:val="22"/>
          <w:lang w:val="nl-NL"/>
        </w:rPr>
        <w:t xml:space="preserve"> </w:t>
      </w:r>
      <w:r w:rsidRPr="00010F83">
        <w:rPr>
          <w:rFonts w:ascii="Arial" w:hAnsi="Arial" w:cs="Arial"/>
          <w:b/>
          <w:bCs/>
          <w:sz w:val="22"/>
          <w:szCs w:val="22"/>
          <w:lang w:val="nl-NL"/>
        </w:rPr>
        <w:t xml:space="preserve">hiện hành trên cơ sở thuần hoặc thu hồi tài sản đồng thời với việc thanh toán nợ phải trả trong </w:t>
      </w:r>
      <w:r w:rsidR="00C47629" w:rsidRPr="00010F83">
        <w:rPr>
          <w:rFonts w:ascii="Arial" w:hAnsi="Arial" w:cs="Arial"/>
          <w:b/>
          <w:bCs/>
          <w:sz w:val="22"/>
          <w:szCs w:val="22"/>
          <w:lang w:val="nl-NL"/>
        </w:rPr>
        <w:t>mỗi</w:t>
      </w:r>
      <w:r w:rsidRPr="00010F83">
        <w:rPr>
          <w:rFonts w:ascii="Arial" w:hAnsi="Arial" w:cs="Arial"/>
          <w:b/>
          <w:bCs/>
          <w:sz w:val="22"/>
          <w:szCs w:val="22"/>
          <w:lang w:val="nl-NL"/>
        </w:rPr>
        <w:t xml:space="preserve"> kỳ tương lai khi các khoản</w:t>
      </w:r>
      <w:r w:rsidR="00C47629" w:rsidRPr="00010F83">
        <w:rPr>
          <w:rFonts w:ascii="Arial" w:hAnsi="Arial" w:cs="Arial"/>
          <w:b/>
          <w:bCs/>
          <w:sz w:val="22"/>
          <w:szCs w:val="22"/>
          <w:lang w:val="nl-NL"/>
        </w:rPr>
        <w:t xml:space="preserve"> </w:t>
      </w:r>
      <w:r w:rsidR="00731917" w:rsidRPr="00010F83">
        <w:rPr>
          <w:rFonts w:ascii="Arial" w:hAnsi="Arial" w:cs="Arial"/>
          <w:b/>
          <w:bCs/>
          <w:sz w:val="22"/>
          <w:szCs w:val="22"/>
          <w:lang w:val="nl-NL"/>
        </w:rPr>
        <w:t>thuế TNDN</w:t>
      </w:r>
      <w:r w:rsidR="006805F0" w:rsidRPr="00010F83">
        <w:rPr>
          <w:rFonts w:ascii="Arial" w:hAnsi="Arial" w:cs="Arial"/>
          <w:b/>
          <w:bCs/>
          <w:sz w:val="22"/>
          <w:szCs w:val="22"/>
          <w:lang w:val="nl-NL"/>
        </w:rPr>
        <w:t xml:space="preserve"> hoãn lại phải trả</w:t>
      </w:r>
      <w:r w:rsidRPr="00010F83">
        <w:rPr>
          <w:rFonts w:ascii="Arial" w:hAnsi="Arial" w:cs="Arial"/>
          <w:b/>
          <w:bCs/>
          <w:sz w:val="22"/>
          <w:szCs w:val="22"/>
          <w:lang w:val="nl-NL"/>
        </w:rPr>
        <w:t xml:space="preserve"> hoặc </w:t>
      </w:r>
      <w:r w:rsidR="006805F0" w:rsidRPr="00010F83">
        <w:rPr>
          <w:rFonts w:ascii="Arial" w:hAnsi="Arial" w:cs="Arial"/>
          <w:b/>
          <w:bCs/>
          <w:sz w:val="22"/>
          <w:szCs w:val="22"/>
          <w:lang w:val="nl-NL"/>
        </w:rPr>
        <w:t xml:space="preserve">tài sản </w:t>
      </w:r>
      <w:r w:rsidR="00731917" w:rsidRPr="00010F83">
        <w:rPr>
          <w:rFonts w:ascii="Arial" w:hAnsi="Arial" w:cs="Arial"/>
          <w:b/>
          <w:bCs/>
          <w:sz w:val="22"/>
          <w:szCs w:val="22"/>
          <w:lang w:val="nl-NL"/>
        </w:rPr>
        <w:t>thuế TNDN</w:t>
      </w:r>
      <w:r w:rsidR="006805F0" w:rsidRPr="00010F83">
        <w:rPr>
          <w:rFonts w:ascii="Arial" w:hAnsi="Arial" w:cs="Arial"/>
          <w:b/>
          <w:bCs/>
          <w:sz w:val="22"/>
          <w:szCs w:val="22"/>
          <w:lang w:val="nl-NL"/>
        </w:rPr>
        <w:t xml:space="preserve"> hoãn lại</w:t>
      </w:r>
      <w:r w:rsidRPr="00010F83">
        <w:rPr>
          <w:rFonts w:ascii="Arial" w:hAnsi="Arial" w:cs="Arial"/>
          <w:b/>
          <w:bCs/>
          <w:sz w:val="22"/>
          <w:szCs w:val="22"/>
          <w:lang w:val="nl-NL"/>
        </w:rPr>
        <w:t xml:space="preserve"> có giá trị đáng kể được thanh toán hoặc thu hồi.</w:t>
      </w:r>
    </w:p>
    <w:p w:rsidR="000D0CA9" w:rsidRPr="00010F83" w:rsidRDefault="000D0CA9" w:rsidP="00590853">
      <w:pPr>
        <w:pStyle w:val="BodyTextIndent"/>
        <w:spacing w:before="0" w:after="120" w:line="240" w:lineRule="auto"/>
        <w:ind w:left="720" w:hanging="720"/>
        <w:rPr>
          <w:rFonts w:ascii="Arial" w:hAnsi="Arial" w:cs="Arial"/>
          <w:sz w:val="22"/>
          <w:szCs w:val="22"/>
          <w:lang w:val="nl-NL"/>
        </w:rPr>
      </w:pPr>
      <w:r w:rsidRPr="00010F83">
        <w:rPr>
          <w:rFonts w:ascii="Arial" w:hAnsi="Arial" w:cs="Arial"/>
          <w:sz w:val="22"/>
          <w:szCs w:val="22"/>
          <w:lang w:val="nl-NL"/>
        </w:rPr>
        <w:t>75</w:t>
      </w:r>
      <w:r w:rsidRPr="00010F83">
        <w:rPr>
          <w:rFonts w:ascii="Arial" w:hAnsi="Arial" w:cs="Arial"/>
          <w:sz w:val="22"/>
          <w:szCs w:val="22"/>
          <w:lang w:val="nl-NL"/>
        </w:rPr>
        <w:tab/>
        <w:t xml:space="preserve">Để tránh phải lập </w:t>
      </w:r>
      <w:r w:rsidR="00286D15" w:rsidRPr="00010F83">
        <w:rPr>
          <w:rFonts w:ascii="Arial" w:hAnsi="Arial" w:cs="Arial"/>
          <w:sz w:val="22"/>
          <w:szCs w:val="22"/>
          <w:lang w:val="nl-NL"/>
        </w:rPr>
        <w:t>biểu</w:t>
      </w:r>
      <w:r w:rsidRPr="00010F83">
        <w:rPr>
          <w:rFonts w:ascii="Arial" w:hAnsi="Arial" w:cs="Arial"/>
          <w:sz w:val="22"/>
          <w:szCs w:val="22"/>
          <w:lang w:val="nl-NL"/>
        </w:rPr>
        <w:t xml:space="preserve"> chi tiết về thời gian hoàn nhập từng khoản chênh lệch tạm thời, Chuẩn mực này yêu cầu đơn vị bù trừ giữa </w:t>
      </w:r>
      <w:r w:rsidR="006805F0" w:rsidRPr="00010F83">
        <w:rPr>
          <w:rFonts w:ascii="Arial" w:hAnsi="Arial" w:cs="Arial"/>
          <w:sz w:val="22"/>
          <w:szCs w:val="22"/>
          <w:lang w:val="nl-NL"/>
        </w:rPr>
        <w:t xml:space="preserve">tài sản </w:t>
      </w:r>
      <w:r w:rsidR="00731917" w:rsidRPr="00010F83">
        <w:rPr>
          <w:rFonts w:ascii="Arial" w:hAnsi="Arial" w:cs="Arial"/>
          <w:sz w:val="22"/>
          <w:szCs w:val="22"/>
          <w:lang w:val="nl-NL"/>
        </w:rPr>
        <w:t>thuế TNDN</w:t>
      </w:r>
      <w:r w:rsidR="006805F0" w:rsidRPr="00010F83">
        <w:rPr>
          <w:rFonts w:ascii="Arial" w:hAnsi="Arial" w:cs="Arial"/>
          <w:sz w:val="22"/>
          <w:szCs w:val="22"/>
          <w:lang w:val="nl-NL"/>
        </w:rPr>
        <w:t xml:space="preserve"> hoãn lại</w:t>
      </w:r>
      <w:r w:rsidRPr="00010F83">
        <w:rPr>
          <w:rFonts w:ascii="Arial" w:hAnsi="Arial" w:cs="Arial"/>
          <w:sz w:val="22"/>
          <w:szCs w:val="22"/>
          <w:lang w:val="nl-NL"/>
        </w:rPr>
        <w:t xml:space="preserve"> </w:t>
      </w:r>
      <w:r w:rsidR="00286D15" w:rsidRPr="00010F83">
        <w:rPr>
          <w:rFonts w:ascii="Arial" w:hAnsi="Arial" w:cs="Arial"/>
          <w:sz w:val="22"/>
          <w:szCs w:val="22"/>
          <w:lang w:val="nl-NL"/>
        </w:rPr>
        <w:t xml:space="preserve">với </w:t>
      </w:r>
      <w:r w:rsidR="00731917" w:rsidRPr="00010F83">
        <w:rPr>
          <w:rFonts w:ascii="Arial" w:hAnsi="Arial" w:cs="Arial"/>
          <w:sz w:val="22"/>
          <w:szCs w:val="22"/>
          <w:lang w:val="nl-NL"/>
        </w:rPr>
        <w:t>thuế TNDN</w:t>
      </w:r>
      <w:r w:rsidR="006805F0" w:rsidRPr="00010F83">
        <w:rPr>
          <w:rFonts w:ascii="Arial" w:hAnsi="Arial" w:cs="Arial"/>
          <w:sz w:val="22"/>
          <w:szCs w:val="22"/>
          <w:lang w:val="nl-NL"/>
        </w:rPr>
        <w:t xml:space="preserve"> hoãn lại phải trả</w:t>
      </w:r>
      <w:r w:rsidRPr="00010F83">
        <w:rPr>
          <w:rFonts w:ascii="Arial" w:hAnsi="Arial" w:cs="Arial"/>
          <w:sz w:val="22"/>
          <w:szCs w:val="22"/>
          <w:lang w:val="nl-NL"/>
        </w:rPr>
        <w:t xml:space="preserve"> của cùng đơn vị chịu thuế khi và chỉ khi chúng liên quan tới thuế phải nộp tại cùng một cơ quan thu</w:t>
      </w:r>
      <w:r w:rsidR="00C47629" w:rsidRPr="00010F83">
        <w:rPr>
          <w:rFonts w:ascii="Arial" w:hAnsi="Arial" w:cs="Arial"/>
          <w:sz w:val="22"/>
          <w:szCs w:val="22"/>
          <w:lang w:val="nl-NL"/>
        </w:rPr>
        <w:t>ế và đơn vị có quyền hợp pháp</w:t>
      </w:r>
      <w:r w:rsidRPr="00010F83">
        <w:rPr>
          <w:rFonts w:ascii="Arial" w:hAnsi="Arial" w:cs="Arial"/>
          <w:sz w:val="22"/>
          <w:szCs w:val="22"/>
          <w:lang w:val="nl-NL"/>
        </w:rPr>
        <w:t xml:space="preserve"> bù trừ tài sản </w:t>
      </w:r>
      <w:r w:rsidR="00731917" w:rsidRPr="00010F83">
        <w:rPr>
          <w:rFonts w:ascii="Arial" w:hAnsi="Arial" w:cs="Arial"/>
          <w:sz w:val="22"/>
          <w:szCs w:val="22"/>
          <w:lang w:val="nl-NL"/>
        </w:rPr>
        <w:t>thuế TNDN</w:t>
      </w:r>
      <w:r w:rsidR="00C47629" w:rsidRPr="00010F83">
        <w:rPr>
          <w:rFonts w:ascii="Arial" w:hAnsi="Arial" w:cs="Arial"/>
          <w:sz w:val="22"/>
          <w:szCs w:val="22"/>
          <w:lang w:val="nl-NL"/>
        </w:rPr>
        <w:t xml:space="preserve"> </w:t>
      </w:r>
      <w:r w:rsidRPr="00010F83">
        <w:rPr>
          <w:rFonts w:ascii="Arial" w:hAnsi="Arial" w:cs="Arial"/>
          <w:sz w:val="22"/>
          <w:szCs w:val="22"/>
          <w:lang w:val="nl-NL"/>
        </w:rPr>
        <w:t xml:space="preserve">hiện hành với </w:t>
      </w:r>
      <w:r w:rsidR="00731917" w:rsidRPr="00010F83">
        <w:rPr>
          <w:rFonts w:ascii="Arial" w:hAnsi="Arial" w:cs="Arial"/>
          <w:sz w:val="22"/>
          <w:szCs w:val="22"/>
          <w:lang w:val="nl-NL"/>
        </w:rPr>
        <w:t>thuế TNDN</w:t>
      </w:r>
      <w:r w:rsidR="00C47629" w:rsidRPr="00010F83">
        <w:rPr>
          <w:rFonts w:ascii="Arial" w:hAnsi="Arial" w:cs="Arial"/>
          <w:sz w:val="22"/>
          <w:szCs w:val="22"/>
          <w:lang w:val="nl-NL"/>
        </w:rPr>
        <w:t xml:space="preserve"> hiện hành</w:t>
      </w:r>
      <w:r w:rsidR="000B1EC8" w:rsidRPr="00010F83">
        <w:rPr>
          <w:rFonts w:ascii="Arial" w:hAnsi="Arial" w:cs="Arial"/>
          <w:sz w:val="22"/>
          <w:szCs w:val="22"/>
          <w:lang w:val="nl-NL"/>
        </w:rPr>
        <w:t xml:space="preserve"> </w:t>
      </w:r>
      <w:r w:rsidR="000B1EC8" w:rsidRPr="00010F83">
        <w:rPr>
          <w:rFonts w:ascii="Arial" w:hAnsi="Arial" w:cs="Arial"/>
          <w:bCs/>
          <w:sz w:val="22"/>
          <w:szCs w:val="22"/>
          <w:lang w:val="nl-NL"/>
        </w:rPr>
        <w:t>phải nộp</w:t>
      </w:r>
      <w:r w:rsidRPr="00010F83">
        <w:rPr>
          <w:rFonts w:ascii="Arial" w:hAnsi="Arial" w:cs="Arial"/>
          <w:sz w:val="22"/>
          <w:szCs w:val="22"/>
          <w:lang w:val="nl-NL"/>
        </w:rPr>
        <w:t>.</w:t>
      </w:r>
    </w:p>
    <w:p w:rsidR="000D0CA9" w:rsidRPr="00010F83" w:rsidRDefault="000D0CA9" w:rsidP="00590853">
      <w:pPr>
        <w:pStyle w:val="BodyTextIndent"/>
        <w:spacing w:before="0" w:after="120" w:line="252" w:lineRule="auto"/>
        <w:ind w:left="720" w:hanging="720"/>
        <w:rPr>
          <w:rFonts w:ascii="Arial" w:hAnsi="Arial" w:cs="Arial"/>
          <w:sz w:val="22"/>
          <w:szCs w:val="22"/>
          <w:lang w:val="nl-NL"/>
        </w:rPr>
      </w:pPr>
      <w:r w:rsidRPr="00010F83">
        <w:rPr>
          <w:rFonts w:ascii="Arial" w:hAnsi="Arial" w:cs="Arial"/>
          <w:sz w:val="22"/>
          <w:szCs w:val="22"/>
          <w:lang w:val="nl-NL"/>
        </w:rPr>
        <w:t>76</w:t>
      </w:r>
      <w:r w:rsidRPr="00010F83">
        <w:rPr>
          <w:rFonts w:ascii="Arial" w:hAnsi="Arial" w:cs="Arial"/>
          <w:sz w:val="22"/>
          <w:szCs w:val="22"/>
          <w:lang w:val="nl-NL"/>
        </w:rPr>
        <w:tab/>
        <w:t>Trong một số trường hợp hãn hữu</w:t>
      </w:r>
      <w:r w:rsidR="00C47629" w:rsidRPr="00010F83">
        <w:rPr>
          <w:rFonts w:ascii="Arial" w:hAnsi="Arial" w:cs="Arial"/>
          <w:sz w:val="22"/>
          <w:szCs w:val="22"/>
          <w:lang w:val="nl-NL"/>
        </w:rPr>
        <w:t>, đơn vị có quyền hợp pháp</w:t>
      </w:r>
      <w:r w:rsidRPr="00010F83">
        <w:rPr>
          <w:rFonts w:ascii="Arial" w:hAnsi="Arial" w:cs="Arial"/>
          <w:sz w:val="22"/>
          <w:szCs w:val="22"/>
          <w:lang w:val="nl-NL"/>
        </w:rPr>
        <w:t xml:space="preserve"> bù trừ và có dự định thanh toán trên cơ sở thuần </w:t>
      </w:r>
      <w:r w:rsidR="00C47629" w:rsidRPr="00010F83">
        <w:rPr>
          <w:rFonts w:ascii="Arial" w:hAnsi="Arial" w:cs="Arial"/>
          <w:sz w:val="22"/>
          <w:szCs w:val="22"/>
          <w:lang w:val="nl-NL"/>
        </w:rPr>
        <w:t xml:space="preserve">tại </w:t>
      </w:r>
      <w:r w:rsidRPr="00010F83">
        <w:rPr>
          <w:rFonts w:ascii="Arial" w:hAnsi="Arial" w:cs="Arial"/>
          <w:sz w:val="22"/>
          <w:szCs w:val="22"/>
          <w:lang w:val="nl-NL"/>
        </w:rPr>
        <w:t>một số kỳ nhất định</w:t>
      </w:r>
      <w:r w:rsidR="00C47629" w:rsidRPr="00010F83">
        <w:rPr>
          <w:rFonts w:ascii="Arial" w:hAnsi="Arial" w:cs="Arial"/>
          <w:sz w:val="22"/>
          <w:szCs w:val="22"/>
          <w:lang w:val="nl-NL"/>
        </w:rPr>
        <w:t>, nhưng không thỏa điều kiện ở những kỳ khác</w:t>
      </w:r>
      <w:r w:rsidRPr="00010F83">
        <w:rPr>
          <w:rFonts w:ascii="Arial" w:hAnsi="Arial" w:cs="Arial"/>
          <w:sz w:val="22"/>
          <w:szCs w:val="22"/>
          <w:lang w:val="nl-NL"/>
        </w:rPr>
        <w:t xml:space="preserve">. Trường hợp này, đơn vị phải trình bày một </w:t>
      </w:r>
      <w:r w:rsidR="00286D15" w:rsidRPr="00010F83">
        <w:rPr>
          <w:rFonts w:ascii="Arial" w:hAnsi="Arial" w:cs="Arial"/>
          <w:sz w:val="22"/>
          <w:szCs w:val="22"/>
          <w:lang w:val="nl-NL"/>
        </w:rPr>
        <w:t>biểu</w:t>
      </w:r>
      <w:r w:rsidRPr="00010F83">
        <w:rPr>
          <w:rFonts w:ascii="Arial" w:hAnsi="Arial" w:cs="Arial"/>
          <w:sz w:val="22"/>
          <w:szCs w:val="22"/>
          <w:lang w:val="nl-NL"/>
        </w:rPr>
        <w:t xml:space="preserve"> chi tiết để </w:t>
      </w:r>
      <w:r w:rsidR="00C47629" w:rsidRPr="00010F83">
        <w:rPr>
          <w:rFonts w:ascii="Arial" w:hAnsi="Arial" w:cs="Arial"/>
          <w:sz w:val="22"/>
          <w:szCs w:val="22"/>
          <w:lang w:val="nl-NL"/>
        </w:rPr>
        <w:t>chỉ ra là</w:t>
      </w:r>
      <w:r w:rsidRPr="00010F83">
        <w:rPr>
          <w:rFonts w:ascii="Arial" w:hAnsi="Arial" w:cs="Arial"/>
          <w:sz w:val="22"/>
          <w:szCs w:val="22"/>
          <w:lang w:val="nl-NL"/>
        </w:rPr>
        <w:t xml:space="preserve"> </w:t>
      </w:r>
      <w:r w:rsidR="00731917" w:rsidRPr="00010F83">
        <w:rPr>
          <w:rFonts w:ascii="Arial" w:hAnsi="Arial" w:cs="Arial"/>
          <w:sz w:val="22"/>
          <w:szCs w:val="22"/>
          <w:lang w:val="nl-NL"/>
        </w:rPr>
        <w:t>thuế TNDN</w:t>
      </w:r>
      <w:r w:rsidR="006805F0" w:rsidRPr="00010F83">
        <w:rPr>
          <w:rFonts w:ascii="Arial" w:hAnsi="Arial" w:cs="Arial"/>
          <w:sz w:val="22"/>
          <w:szCs w:val="22"/>
          <w:lang w:val="nl-NL"/>
        </w:rPr>
        <w:t xml:space="preserve"> hoãn lại phải trả</w:t>
      </w:r>
      <w:r w:rsidRPr="00010F83">
        <w:rPr>
          <w:rFonts w:ascii="Arial" w:hAnsi="Arial" w:cs="Arial"/>
          <w:sz w:val="22"/>
          <w:szCs w:val="22"/>
          <w:lang w:val="nl-NL"/>
        </w:rPr>
        <w:t xml:space="preserve"> của một đơn vị chịu thuế có làm tăng khoản thanh toán thuế trong cùng một kỳ mà một </w:t>
      </w:r>
      <w:r w:rsidR="006805F0" w:rsidRPr="00010F83">
        <w:rPr>
          <w:rFonts w:ascii="Arial" w:hAnsi="Arial" w:cs="Arial"/>
          <w:sz w:val="22"/>
          <w:szCs w:val="22"/>
          <w:lang w:val="nl-NL"/>
        </w:rPr>
        <w:t xml:space="preserve">tài sản </w:t>
      </w:r>
      <w:r w:rsidR="00731917" w:rsidRPr="00010F83">
        <w:rPr>
          <w:rFonts w:ascii="Arial" w:hAnsi="Arial" w:cs="Arial"/>
          <w:sz w:val="22"/>
          <w:szCs w:val="22"/>
          <w:lang w:val="nl-NL"/>
        </w:rPr>
        <w:t>thuế TNDN</w:t>
      </w:r>
      <w:r w:rsidR="006805F0" w:rsidRPr="00010F83">
        <w:rPr>
          <w:rFonts w:ascii="Arial" w:hAnsi="Arial" w:cs="Arial"/>
          <w:sz w:val="22"/>
          <w:szCs w:val="22"/>
          <w:lang w:val="nl-NL"/>
        </w:rPr>
        <w:t xml:space="preserve"> hoãn lại</w:t>
      </w:r>
      <w:r w:rsidRPr="00010F83">
        <w:rPr>
          <w:rFonts w:ascii="Arial" w:hAnsi="Arial" w:cs="Arial"/>
          <w:sz w:val="22"/>
          <w:szCs w:val="22"/>
          <w:lang w:val="nl-NL"/>
        </w:rPr>
        <w:t xml:space="preserve"> của một đơn vị chịu thuế khác sẽ làm giảm các khoản thanh toán của đơn vị chịu thuế thứ hai.</w:t>
      </w:r>
    </w:p>
    <w:p w:rsidR="00D03905" w:rsidRPr="00010F83" w:rsidRDefault="00D03905" w:rsidP="005117B2">
      <w:pPr>
        <w:pStyle w:val="BodyTextIndent"/>
        <w:spacing w:before="240" w:after="120" w:line="240" w:lineRule="auto"/>
        <w:ind w:left="720" w:firstLine="0"/>
        <w:rPr>
          <w:rFonts w:ascii="Arial" w:hAnsi="Arial" w:cs="Arial"/>
          <w:b/>
          <w:bCs/>
          <w:sz w:val="24"/>
          <w:lang w:val="nl-NL"/>
        </w:rPr>
      </w:pPr>
      <w:r w:rsidRPr="00010F83">
        <w:rPr>
          <w:rFonts w:ascii="Arial" w:hAnsi="Arial" w:cs="Arial"/>
          <w:b/>
          <w:bCs/>
          <w:sz w:val="24"/>
          <w:lang w:val="nl-NL"/>
        </w:rPr>
        <w:t>Chi phí thuế</w:t>
      </w:r>
    </w:p>
    <w:p w:rsidR="00D03905" w:rsidRPr="00010F83" w:rsidRDefault="008A366E" w:rsidP="005117B2">
      <w:pPr>
        <w:pStyle w:val="BodyTextIndent"/>
        <w:spacing w:before="0" w:after="120" w:line="240" w:lineRule="auto"/>
        <w:ind w:left="720" w:firstLine="0"/>
        <w:rPr>
          <w:rFonts w:ascii="Arial" w:hAnsi="Arial" w:cs="Arial"/>
          <w:b/>
          <w:bCs/>
          <w:sz w:val="22"/>
          <w:szCs w:val="22"/>
          <w:lang w:val="nl-NL"/>
        </w:rPr>
      </w:pPr>
      <w:r w:rsidRPr="00010F83">
        <w:rPr>
          <w:rFonts w:ascii="Arial" w:hAnsi="Arial" w:cs="Arial"/>
          <w:b/>
          <w:bCs/>
          <w:sz w:val="22"/>
          <w:szCs w:val="22"/>
          <w:lang w:val="nl-NL"/>
        </w:rPr>
        <w:t xml:space="preserve">Chi phí </w:t>
      </w:r>
      <w:r w:rsidR="00731917" w:rsidRPr="00010F83">
        <w:rPr>
          <w:rFonts w:ascii="Arial" w:hAnsi="Arial" w:cs="Arial"/>
          <w:b/>
          <w:bCs/>
          <w:sz w:val="22"/>
          <w:szCs w:val="22"/>
          <w:lang w:val="nl-NL"/>
        </w:rPr>
        <w:t>thuế TNDN</w:t>
      </w:r>
      <w:r w:rsidRPr="00010F83">
        <w:rPr>
          <w:rFonts w:ascii="Arial" w:hAnsi="Arial" w:cs="Arial"/>
          <w:b/>
          <w:bCs/>
          <w:sz w:val="22"/>
          <w:szCs w:val="22"/>
          <w:lang w:val="nl-NL"/>
        </w:rPr>
        <w:t xml:space="preserve"> (thu nhập </w:t>
      </w:r>
      <w:r w:rsidR="00731917" w:rsidRPr="00010F83">
        <w:rPr>
          <w:rFonts w:ascii="Arial" w:hAnsi="Arial" w:cs="Arial"/>
          <w:b/>
          <w:bCs/>
          <w:sz w:val="22"/>
          <w:szCs w:val="22"/>
          <w:lang w:val="nl-NL"/>
        </w:rPr>
        <w:t>thuế TNDN</w:t>
      </w:r>
      <w:r w:rsidRPr="00010F83">
        <w:rPr>
          <w:rFonts w:ascii="Arial" w:hAnsi="Arial" w:cs="Arial"/>
          <w:b/>
          <w:bCs/>
          <w:sz w:val="22"/>
          <w:szCs w:val="22"/>
          <w:lang w:val="nl-NL"/>
        </w:rPr>
        <w:t>)</w:t>
      </w:r>
      <w:r w:rsidR="00D03905" w:rsidRPr="00010F83">
        <w:rPr>
          <w:rFonts w:ascii="Arial" w:hAnsi="Arial" w:cs="Arial"/>
          <w:b/>
          <w:bCs/>
          <w:sz w:val="22"/>
          <w:szCs w:val="22"/>
          <w:lang w:val="nl-NL"/>
        </w:rPr>
        <w:t xml:space="preserve"> liên quan đến lãi hoặc lỗ từ các hoạt động kinh doanh thông thường</w:t>
      </w:r>
    </w:p>
    <w:p w:rsidR="00D03905" w:rsidRPr="00010F83" w:rsidRDefault="00D03905" w:rsidP="00590853">
      <w:pPr>
        <w:pStyle w:val="BodyTextIndent"/>
        <w:spacing w:before="0" w:after="120" w:line="240" w:lineRule="auto"/>
        <w:ind w:left="720" w:hanging="720"/>
        <w:rPr>
          <w:rFonts w:ascii="Arial" w:hAnsi="Arial" w:cs="Arial"/>
          <w:b/>
          <w:bCs/>
          <w:sz w:val="22"/>
          <w:szCs w:val="22"/>
          <w:lang w:val="nl-NL"/>
        </w:rPr>
      </w:pPr>
      <w:r w:rsidRPr="00010F83">
        <w:rPr>
          <w:rFonts w:ascii="Arial" w:hAnsi="Arial" w:cs="Arial"/>
          <w:b/>
          <w:bCs/>
          <w:sz w:val="22"/>
          <w:szCs w:val="22"/>
          <w:lang w:val="nl-NL"/>
        </w:rPr>
        <w:t>77</w:t>
      </w:r>
      <w:r w:rsidRPr="00010F83">
        <w:rPr>
          <w:rFonts w:ascii="Arial" w:hAnsi="Arial" w:cs="Arial"/>
          <w:b/>
          <w:bCs/>
          <w:sz w:val="22"/>
          <w:szCs w:val="22"/>
          <w:lang w:val="nl-NL"/>
        </w:rPr>
        <w:tab/>
      </w:r>
      <w:r w:rsidR="008A366E" w:rsidRPr="00010F83">
        <w:rPr>
          <w:rFonts w:ascii="Arial" w:hAnsi="Arial" w:cs="Arial"/>
          <w:b/>
          <w:bCs/>
          <w:sz w:val="22"/>
          <w:szCs w:val="22"/>
          <w:lang w:val="nl-NL"/>
        </w:rPr>
        <w:t xml:space="preserve">Chi phí </w:t>
      </w:r>
      <w:r w:rsidR="00731917" w:rsidRPr="00010F83">
        <w:rPr>
          <w:rFonts w:ascii="Arial" w:hAnsi="Arial" w:cs="Arial"/>
          <w:b/>
          <w:bCs/>
          <w:sz w:val="22"/>
          <w:szCs w:val="22"/>
          <w:lang w:val="nl-NL"/>
        </w:rPr>
        <w:t>thuế TNDN</w:t>
      </w:r>
      <w:r w:rsidR="008A366E" w:rsidRPr="00010F83">
        <w:rPr>
          <w:rFonts w:ascii="Arial" w:hAnsi="Arial" w:cs="Arial"/>
          <w:b/>
          <w:bCs/>
          <w:sz w:val="22"/>
          <w:szCs w:val="22"/>
          <w:lang w:val="nl-NL"/>
        </w:rPr>
        <w:t xml:space="preserve"> (thu nhập </w:t>
      </w:r>
      <w:r w:rsidR="00731917" w:rsidRPr="00010F83">
        <w:rPr>
          <w:rFonts w:ascii="Arial" w:hAnsi="Arial" w:cs="Arial"/>
          <w:b/>
          <w:bCs/>
          <w:sz w:val="22"/>
          <w:szCs w:val="22"/>
          <w:lang w:val="nl-NL"/>
        </w:rPr>
        <w:t>thuế TNDN</w:t>
      </w:r>
      <w:r w:rsidR="008A366E" w:rsidRPr="00010F83">
        <w:rPr>
          <w:rFonts w:ascii="Arial" w:hAnsi="Arial" w:cs="Arial"/>
          <w:b/>
          <w:bCs/>
          <w:sz w:val="22"/>
          <w:szCs w:val="22"/>
          <w:lang w:val="nl-NL"/>
        </w:rPr>
        <w:t>)</w:t>
      </w:r>
      <w:r w:rsidRPr="00010F83">
        <w:rPr>
          <w:rFonts w:ascii="Arial" w:hAnsi="Arial" w:cs="Arial"/>
          <w:b/>
          <w:bCs/>
          <w:sz w:val="22"/>
          <w:szCs w:val="22"/>
          <w:lang w:val="nl-NL"/>
        </w:rPr>
        <w:t xml:space="preserve"> liên quan đến lãi hoặc lỗ từ các hoạt động kinh doanh thông thường phải được trình bày trong phần lãi </w:t>
      </w:r>
      <w:r w:rsidR="008A366E" w:rsidRPr="00010F83">
        <w:rPr>
          <w:rFonts w:ascii="Arial" w:hAnsi="Arial" w:cs="Arial"/>
          <w:b/>
          <w:bCs/>
          <w:sz w:val="22"/>
          <w:szCs w:val="22"/>
          <w:lang w:val="nl-NL"/>
        </w:rPr>
        <w:t xml:space="preserve">hoặc </w:t>
      </w:r>
      <w:r w:rsidRPr="00010F83">
        <w:rPr>
          <w:rFonts w:ascii="Arial" w:hAnsi="Arial" w:cs="Arial"/>
          <w:b/>
          <w:bCs/>
          <w:sz w:val="22"/>
          <w:szCs w:val="22"/>
          <w:lang w:val="nl-NL"/>
        </w:rPr>
        <w:t xml:space="preserve">lỗ trong Báo cáo </w:t>
      </w:r>
      <w:r w:rsidR="008A366E" w:rsidRPr="00010F83">
        <w:rPr>
          <w:rFonts w:ascii="Arial" w:hAnsi="Arial" w:cs="Arial"/>
          <w:b/>
          <w:bCs/>
          <w:sz w:val="22"/>
          <w:szCs w:val="22"/>
          <w:lang w:val="nl-NL"/>
        </w:rPr>
        <w:t>kết quả hoạt động kinh doanh</w:t>
      </w:r>
      <w:r w:rsidRPr="00010F83">
        <w:rPr>
          <w:rFonts w:ascii="Arial" w:hAnsi="Arial" w:cs="Arial"/>
          <w:b/>
          <w:bCs/>
          <w:sz w:val="22"/>
          <w:szCs w:val="22"/>
          <w:lang w:val="nl-NL"/>
        </w:rPr>
        <w:t xml:space="preserve"> và thu nhập toàn diện khác</w:t>
      </w:r>
      <w:r w:rsidRPr="00010F83">
        <w:rPr>
          <w:rFonts w:ascii="Arial" w:hAnsi="Arial" w:cs="Arial"/>
          <w:b/>
          <w:bCs/>
          <w:i/>
          <w:sz w:val="22"/>
          <w:szCs w:val="22"/>
          <w:lang w:val="nl-NL"/>
        </w:rPr>
        <w:t>.</w:t>
      </w:r>
    </w:p>
    <w:p w:rsidR="00D03905" w:rsidRPr="00010F83" w:rsidRDefault="00D03905" w:rsidP="00590853">
      <w:pPr>
        <w:pStyle w:val="BodyTextIndent"/>
        <w:spacing w:before="0" w:after="120" w:line="240" w:lineRule="auto"/>
        <w:ind w:left="720" w:hanging="720"/>
        <w:rPr>
          <w:rFonts w:ascii="Arial" w:hAnsi="Arial" w:cs="Arial"/>
          <w:bCs/>
          <w:sz w:val="22"/>
          <w:szCs w:val="22"/>
          <w:lang w:val="nl-NL"/>
        </w:rPr>
      </w:pPr>
      <w:r w:rsidRPr="00010F83">
        <w:rPr>
          <w:rFonts w:ascii="Arial" w:hAnsi="Arial" w:cs="Arial"/>
          <w:bCs/>
          <w:sz w:val="22"/>
          <w:szCs w:val="22"/>
          <w:lang w:val="nl-NL"/>
        </w:rPr>
        <w:t xml:space="preserve">77A  </w:t>
      </w:r>
      <w:r w:rsidRPr="00010F83">
        <w:rPr>
          <w:rFonts w:ascii="Arial" w:hAnsi="Arial" w:cs="Arial"/>
          <w:bCs/>
          <w:sz w:val="22"/>
          <w:szCs w:val="22"/>
          <w:lang w:val="nl-NL"/>
        </w:rPr>
        <w:tab/>
      </w:r>
      <w:r w:rsidR="00C47629" w:rsidRPr="00010F83">
        <w:rPr>
          <w:rFonts w:ascii="Arial" w:hAnsi="Arial" w:cs="Arial"/>
          <w:bCs/>
          <w:sz w:val="22"/>
          <w:szCs w:val="22"/>
          <w:lang w:val="nl-NL"/>
        </w:rPr>
        <w:t>[</w:t>
      </w:r>
      <w:r w:rsidR="008A366E" w:rsidRPr="00010F83">
        <w:rPr>
          <w:rFonts w:ascii="Arial" w:hAnsi="Arial" w:cs="Arial"/>
          <w:bCs/>
          <w:sz w:val="22"/>
          <w:szCs w:val="22"/>
          <w:lang w:val="nl-NL"/>
        </w:rPr>
        <w:t>Bỏ đoạn này</w:t>
      </w:r>
      <w:r w:rsidR="00C47629" w:rsidRPr="00010F83">
        <w:rPr>
          <w:rFonts w:ascii="Arial" w:hAnsi="Arial" w:cs="Arial"/>
          <w:bCs/>
          <w:sz w:val="22"/>
          <w:szCs w:val="22"/>
          <w:lang w:val="nl-NL"/>
        </w:rPr>
        <w:t>]</w:t>
      </w:r>
    </w:p>
    <w:p w:rsidR="002E7D34" w:rsidRPr="00010F83" w:rsidRDefault="002E7D34" w:rsidP="005117B2">
      <w:pPr>
        <w:pStyle w:val="BodyTextIndent"/>
        <w:spacing w:before="0" w:after="120" w:line="240" w:lineRule="auto"/>
        <w:ind w:left="720" w:firstLine="0"/>
        <w:rPr>
          <w:rFonts w:ascii="Arial" w:hAnsi="Arial" w:cs="Arial"/>
          <w:b/>
          <w:bCs/>
          <w:sz w:val="22"/>
          <w:szCs w:val="22"/>
          <w:lang w:val="nl-NL"/>
        </w:rPr>
      </w:pPr>
      <w:r w:rsidRPr="00010F83">
        <w:rPr>
          <w:rFonts w:ascii="Arial" w:hAnsi="Arial" w:cs="Arial"/>
          <w:b/>
          <w:bCs/>
          <w:sz w:val="22"/>
          <w:szCs w:val="22"/>
          <w:lang w:val="nl-NL"/>
        </w:rPr>
        <w:t xml:space="preserve">Chênh lệch </w:t>
      </w:r>
      <w:r w:rsidR="00F90B17" w:rsidRPr="00010F83">
        <w:rPr>
          <w:rFonts w:ascii="Arial" w:hAnsi="Arial" w:cs="Arial"/>
          <w:b/>
          <w:bCs/>
          <w:sz w:val="22"/>
          <w:szCs w:val="22"/>
          <w:lang w:val="nl-NL"/>
        </w:rPr>
        <w:t>qui đổi tiền tệ</w:t>
      </w:r>
      <w:r w:rsidRPr="00010F83">
        <w:rPr>
          <w:rFonts w:ascii="Arial" w:hAnsi="Arial" w:cs="Arial"/>
          <w:b/>
          <w:bCs/>
          <w:sz w:val="22"/>
          <w:szCs w:val="22"/>
          <w:lang w:val="nl-NL"/>
        </w:rPr>
        <w:t xml:space="preserve"> </w:t>
      </w:r>
      <w:r w:rsidR="00F90B17" w:rsidRPr="00010F83">
        <w:rPr>
          <w:rFonts w:ascii="Arial" w:hAnsi="Arial" w:cs="Arial"/>
          <w:b/>
          <w:bCs/>
          <w:sz w:val="22"/>
          <w:szCs w:val="22"/>
          <w:lang w:val="nl-NL"/>
        </w:rPr>
        <w:t>cho</w:t>
      </w:r>
      <w:r w:rsidRPr="00010F83">
        <w:rPr>
          <w:rFonts w:ascii="Arial" w:hAnsi="Arial" w:cs="Arial"/>
          <w:b/>
          <w:bCs/>
          <w:sz w:val="22"/>
          <w:szCs w:val="22"/>
          <w:lang w:val="nl-NL"/>
        </w:rPr>
        <w:t xml:space="preserve"> </w:t>
      </w:r>
      <w:r w:rsidR="00731917" w:rsidRPr="00010F83">
        <w:rPr>
          <w:rFonts w:ascii="Arial" w:hAnsi="Arial" w:cs="Arial"/>
          <w:b/>
          <w:bCs/>
          <w:sz w:val="22"/>
          <w:szCs w:val="22"/>
          <w:lang w:val="nl-NL"/>
        </w:rPr>
        <w:t>thuế TNDN</w:t>
      </w:r>
      <w:r w:rsidR="008A366E" w:rsidRPr="00010F83">
        <w:rPr>
          <w:rFonts w:ascii="Arial" w:hAnsi="Arial" w:cs="Arial"/>
          <w:b/>
          <w:bCs/>
          <w:sz w:val="22"/>
          <w:szCs w:val="22"/>
          <w:lang w:val="nl-NL"/>
        </w:rPr>
        <w:t xml:space="preserve"> </w:t>
      </w:r>
      <w:r w:rsidR="00F90B17" w:rsidRPr="00010F83">
        <w:rPr>
          <w:rFonts w:ascii="Arial" w:hAnsi="Arial" w:cs="Arial"/>
          <w:b/>
          <w:bCs/>
          <w:sz w:val="22"/>
          <w:szCs w:val="22"/>
          <w:lang w:val="nl-NL"/>
        </w:rPr>
        <w:t>hoãn lại phải trả</w:t>
      </w:r>
      <w:r w:rsidRPr="00010F83">
        <w:rPr>
          <w:rFonts w:ascii="Arial" w:hAnsi="Arial" w:cs="Arial"/>
          <w:b/>
          <w:bCs/>
          <w:sz w:val="22"/>
          <w:szCs w:val="22"/>
          <w:lang w:val="nl-NL"/>
        </w:rPr>
        <w:t xml:space="preserve"> hoặc tài sản </w:t>
      </w:r>
      <w:r w:rsidR="00731917" w:rsidRPr="00010F83">
        <w:rPr>
          <w:rFonts w:ascii="Arial" w:hAnsi="Arial" w:cs="Arial"/>
          <w:b/>
          <w:bCs/>
          <w:sz w:val="22"/>
          <w:szCs w:val="22"/>
          <w:lang w:val="nl-NL"/>
        </w:rPr>
        <w:t>thuế TNDN</w:t>
      </w:r>
      <w:r w:rsidR="008A366E" w:rsidRPr="00010F83">
        <w:rPr>
          <w:rFonts w:ascii="Arial" w:hAnsi="Arial" w:cs="Arial"/>
          <w:b/>
          <w:bCs/>
          <w:sz w:val="22"/>
          <w:szCs w:val="22"/>
          <w:lang w:val="nl-NL"/>
        </w:rPr>
        <w:t xml:space="preserve"> </w:t>
      </w:r>
      <w:r w:rsidRPr="00010F83">
        <w:rPr>
          <w:rFonts w:ascii="Arial" w:hAnsi="Arial" w:cs="Arial"/>
          <w:b/>
          <w:bCs/>
          <w:sz w:val="22"/>
          <w:szCs w:val="22"/>
          <w:lang w:val="nl-NL"/>
        </w:rPr>
        <w:t xml:space="preserve">hoãn lại </w:t>
      </w:r>
      <w:r w:rsidR="00F90B17" w:rsidRPr="00010F83">
        <w:rPr>
          <w:rFonts w:ascii="Arial" w:hAnsi="Arial" w:cs="Arial"/>
          <w:b/>
          <w:bCs/>
          <w:sz w:val="22"/>
          <w:szCs w:val="22"/>
          <w:lang w:val="nl-NL"/>
        </w:rPr>
        <w:t xml:space="preserve">của một cơ sở kinh doanh </w:t>
      </w:r>
      <w:r w:rsidRPr="00010F83">
        <w:rPr>
          <w:rFonts w:ascii="Arial" w:hAnsi="Arial" w:cs="Arial"/>
          <w:b/>
          <w:bCs/>
          <w:sz w:val="22"/>
          <w:szCs w:val="22"/>
          <w:lang w:val="nl-NL"/>
        </w:rPr>
        <w:t>ở nước ngoài</w:t>
      </w:r>
    </w:p>
    <w:p w:rsidR="002E7D34" w:rsidRPr="00010F83" w:rsidRDefault="002E7D34" w:rsidP="00590853">
      <w:pPr>
        <w:pStyle w:val="BodyTextIndent"/>
        <w:spacing w:before="0" w:after="120" w:line="240" w:lineRule="auto"/>
        <w:ind w:left="720" w:hanging="720"/>
        <w:rPr>
          <w:rFonts w:ascii="Arial" w:hAnsi="Arial" w:cs="Arial"/>
          <w:sz w:val="22"/>
          <w:szCs w:val="22"/>
          <w:lang w:val="nl-NL"/>
        </w:rPr>
      </w:pPr>
      <w:r w:rsidRPr="00010F83">
        <w:rPr>
          <w:rFonts w:ascii="Arial" w:hAnsi="Arial" w:cs="Arial"/>
          <w:sz w:val="22"/>
          <w:szCs w:val="22"/>
          <w:lang w:val="nl-NL"/>
        </w:rPr>
        <w:t>78</w:t>
      </w:r>
      <w:r w:rsidRPr="00010F83">
        <w:rPr>
          <w:rFonts w:ascii="Arial" w:hAnsi="Arial" w:cs="Arial"/>
          <w:sz w:val="22"/>
          <w:szCs w:val="22"/>
          <w:lang w:val="nl-NL"/>
        </w:rPr>
        <w:tab/>
      </w:r>
      <w:r w:rsidRPr="00010F83">
        <w:rPr>
          <w:rFonts w:ascii="Arial" w:hAnsi="Arial" w:cs="Arial"/>
          <w:bCs/>
          <w:sz w:val="22"/>
          <w:szCs w:val="22"/>
          <w:lang w:val="nl-NL"/>
        </w:rPr>
        <w:t xml:space="preserve">IAS 21 quy định </w:t>
      </w:r>
      <w:r w:rsidRPr="00010F83">
        <w:rPr>
          <w:rFonts w:ascii="Arial" w:hAnsi="Arial" w:cs="Arial"/>
          <w:sz w:val="22"/>
          <w:szCs w:val="22"/>
          <w:lang w:val="nl-NL"/>
        </w:rPr>
        <w:t>một số khoản chênh lệch tỷ giá hối đoái phải được hạch toán vào thu nhập hoặc chi phí nhưng không quy định cụ thể về trình bày các khoản chênh lệch này trên Báo cáo</w:t>
      </w:r>
      <w:r w:rsidRPr="00010F83">
        <w:rPr>
          <w:rFonts w:ascii="Arial" w:hAnsi="Arial" w:cs="Arial"/>
          <w:bCs/>
          <w:sz w:val="22"/>
          <w:szCs w:val="22"/>
          <w:lang w:val="nl-NL"/>
        </w:rPr>
        <w:t xml:space="preserve"> thu nhập toàn diện. </w:t>
      </w:r>
      <w:r w:rsidRPr="00010F83">
        <w:rPr>
          <w:rFonts w:ascii="Arial" w:hAnsi="Arial" w:cs="Arial"/>
          <w:sz w:val="22"/>
          <w:szCs w:val="22"/>
          <w:lang w:val="nl-NL"/>
        </w:rPr>
        <w:t xml:space="preserve">Do đó, khi chênh lệch tỷ giá từ </w:t>
      </w:r>
      <w:r w:rsidR="00731917" w:rsidRPr="00010F83">
        <w:rPr>
          <w:rFonts w:ascii="Arial" w:hAnsi="Arial" w:cs="Arial"/>
          <w:sz w:val="22"/>
          <w:szCs w:val="22"/>
          <w:lang w:val="nl-NL"/>
        </w:rPr>
        <w:t>thuế TNDN</w:t>
      </w:r>
      <w:r w:rsidR="006805F0" w:rsidRPr="00010F83">
        <w:rPr>
          <w:rFonts w:ascii="Arial" w:hAnsi="Arial" w:cs="Arial"/>
          <w:sz w:val="22"/>
          <w:szCs w:val="22"/>
          <w:lang w:val="nl-NL"/>
        </w:rPr>
        <w:t xml:space="preserve"> hoãn lại phải trả</w:t>
      </w:r>
      <w:r w:rsidRPr="00010F83">
        <w:rPr>
          <w:rFonts w:ascii="Arial" w:hAnsi="Arial" w:cs="Arial"/>
          <w:sz w:val="22"/>
          <w:szCs w:val="22"/>
          <w:lang w:val="nl-NL"/>
        </w:rPr>
        <w:t xml:space="preserve"> ở nước ngoài hoặc </w:t>
      </w:r>
      <w:r w:rsidR="006805F0" w:rsidRPr="00010F83">
        <w:rPr>
          <w:rFonts w:ascii="Arial" w:hAnsi="Arial" w:cs="Arial"/>
          <w:sz w:val="22"/>
          <w:szCs w:val="22"/>
          <w:lang w:val="nl-NL"/>
        </w:rPr>
        <w:t xml:space="preserve">tài sản </w:t>
      </w:r>
      <w:r w:rsidR="00731917" w:rsidRPr="00010F83">
        <w:rPr>
          <w:rFonts w:ascii="Arial" w:hAnsi="Arial" w:cs="Arial"/>
          <w:sz w:val="22"/>
          <w:szCs w:val="22"/>
          <w:lang w:val="nl-NL"/>
        </w:rPr>
        <w:t>thuế TNDN</w:t>
      </w:r>
      <w:r w:rsidR="006805F0" w:rsidRPr="00010F83">
        <w:rPr>
          <w:rFonts w:ascii="Arial" w:hAnsi="Arial" w:cs="Arial"/>
          <w:sz w:val="22"/>
          <w:szCs w:val="22"/>
          <w:lang w:val="nl-NL"/>
        </w:rPr>
        <w:t xml:space="preserve"> hoãn lại</w:t>
      </w:r>
      <w:r w:rsidRPr="00010F83">
        <w:rPr>
          <w:rFonts w:ascii="Arial" w:hAnsi="Arial" w:cs="Arial"/>
          <w:sz w:val="22"/>
          <w:szCs w:val="22"/>
          <w:lang w:val="nl-NL"/>
        </w:rPr>
        <w:t xml:space="preserve"> ở nước ngoài được ghi nhận vào Báo cáo</w:t>
      </w:r>
      <w:r w:rsidRPr="00010F83">
        <w:rPr>
          <w:rFonts w:ascii="Arial" w:hAnsi="Arial" w:cs="Arial"/>
          <w:bCs/>
          <w:sz w:val="22"/>
          <w:szCs w:val="22"/>
          <w:lang w:val="nl-NL"/>
        </w:rPr>
        <w:t xml:space="preserve"> thu nhập toàn diện, thì</w:t>
      </w:r>
      <w:r w:rsidRPr="00010F83">
        <w:rPr>
          <w:rFonts w:ascii="Arial" w:hAnsi="Arial" w:cs="Arial"/>
          <w:sz w:val="22"/>
          <w:szCs w:val="22"/>
          <w:lang w:val="nl-NL"/>
        </w:rPr>
        <w:t xml:space="preserve"> các chênh lệch này có thể được phân loại là chi phí (hoặc thu nhập) thuế hoãn lại nếu việc trình bày này được coi là hữu ích nhất cho người sử dụng báo cáo tài chính.</w:t>
      </w:r>
    </w:p>
    <w:p w:rsidR="005117B2" w:rsidRPr="00010F83" w:rsidRDefault="005117B2">
      <w:pPr>
        <w:rPr>
          <w:rFonts w:ascii="Arial" w:eastAsia="Times New Roman" w:hAnsi="Arial" w:cs="Arial"/>
          <w:b/>
          <w:bCs/>
          <w:lang w:val="nl-NL"/>
        </w:rPr>
      </w:pPr>
      <w:r w:rsidRPr="00010F83">
        <w:rPr>
          <w:rFonts w:ascii="Arial" w:hAnsi="Arial" w:cs="Arial"/>
          <w:b/>
          <w:bCs/>
          <w:lang w:val="nl-NL"/>
        </w:rPr>
        <w:br w:type="page"/>
      </w:r>
    </w:p>
    <w:p w:rsidR="001F0F29" w:rsidRPr="00010F83" w:rsidRDefault="001F0F29" w:rsidP="005117B2">
      <w:pPr>
        <w:pStyle w:val="BodyTextIndent"/>
        <w:spacing w:before="0" w:after="120" w:line="240" w:lineRule="auto"/>
        <w:ind w:left="0" w:firstLine="0"/>
        <w:rPr>
          <w:rFonts w:ascii="Arial" w:hAnsi="Arial" w:cs="Arial"/>
          <w:b/>
          <w:bCs/>
          <w:sz w:val="24"/>
          <w:lang w:val="nl-NL"/>
        </w:rPr>
      </w:pPr>
      <w:r w:rsidRPr="00010F83">
        <w:rPr>
          <w:rFonts w:ascii="Arial" w:hAnsi="Arial" w:cs="Arial"/>
          <w:b/>
          <w:bCs/>
          <w:sz w:val="24"/>
          <w:lang w:val="nl-NL"/>
        </w:rPr>
        <w:t>Thuyết minh</w:t>
      </w:r>
    </w:p>
    <w:p w:rsidR="001F0F29" w:rsidRPr="00010F83" w:rsidRDefault="007B64CF" w:rsidP="005117B2">
      <w:pPr>
        <w:pStyle w:val="BodyTextIndent"/>
        <w:spacing w:before="360" w:after="120" w:line="240" w:lineRule="auto"/>
        <w:ind w:left="720" w:hanging="720"/>
        <w:rPr>
          <w:rFonts w:ascii="Arial" w:hAnsi="Arial" w:cs="Arial"/>
          <w:bCs/>
          <w:sz w:val="22"/>
          <w:szCs w:val="22"/>
          <w:lang w:val="nl-NL"/>
        </w:rPr>
      </w:pPr>
      <w:r w:rsidRPr="00010F83">
        <w:rPr>
          <w:rFonts w:ascii="Arial" w:hAnsi="Arial" w:cs="Arial"/>
          <w:b/>
          <w:bCs/>
          <w:noProof/>
        </w:rPr>
        <w:pict>
          <v:line id="Straight Connector 10" o:spid="_x0000_s1033"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0,-.05pt" to="46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" strokecolor="black [3200]" strokeweight=".5pt">
            <v:stroke joinstyle="miter"/>
          </v:line>
        </w:pict>
      </w:r>
      <w:r w:rsidR="001F0F29" w:rsidRPr="00010F83">
        <w:rPr>
          <w:rFonts w:ascii="Arial" w:hAnsi="Arial" w:cs="Arial"/>
          <w:bCs/>
          <w:sz w:val="22"/>
          <w:szCs w:val="22"/>
          <w:lang w:val="nl-NL"/>
        </w:rPr>
        <w:t>79</w:t>
      </w:r>
      <w:r w:rsidR="001F0F29" w:rsidRPr="00010F83">
        <w:rPr>
          <w:rFonts w:ascii="Arial" w:hAnsi="Arial" w:cs="Arial"/>
          <w:bCs/>
          <w:i/>
          <w:sz w:val="22"/>
          <w:szCs w:val="22"/>
          <w:lang w:val="nl-NL"/>
        </w:rPr>
        <w:tab/>
      </w:r>
      <w:r w:rsidR="001F0F29" w:rsidRPr="00010F83">
        <w:rPr>
          <w:rFonts w:ascii="Arial" w:hAnsi="Arial" w:cs="Arial"/>
          <w:bCs/>
          <w:sz w:val="22"/>
          <w:szCs w:val="22"/>
          <w:lang w:val="nl-NL"/>
        </w:rPr>
        <w:t>Các thành phần chủ yếu của chi phí (hoặc thu nhập) thuế</w:t>
      </w:r>
      <w:r w:rsidR="0006286A" w:rsidRPr="00010F83">
        <w:rPr>
          <w:rFonts w:ascii="Arial" w:hAnsi="Arial" w:cs="Arial"/>
          <w:bCs/>
          <w:sz w:val="22"/>
          <w:szCs w:val="22"/>
          <w:lang w:val="nl-NL"/>
        </w:rPr>
        <w:t xml:space="preserve"> thu nhập doanh ng</w:t>
      </w:r>
      <w:r w:rsidR="000B1EC8" w:rsidRPr="00010F83">
        <w:rPr>
          <w:rFonts w:ascii="Arial" w:hAnsi="Arial" w:cs="Arial"/>
          <w:bCs/>
          <w:sz w:val="22"/>
          <w:szCs w:val="22"/>
          <w:lang w:val="nl-NL"/>
        </w:rPr>
        <w:t>h</w:t>
      </w:r>
      <w:r w:rsidR="0006286A" w:rsidRPr="00010F83">
        <w:rPr>
          <w:rFonts w:ascii="Arial" w:hAnsi="Arial" w:cs="Arial"/>
          <w:bCs/>
          <w:sz w:val="22"/>
          <w:szCs w:val="22"/>
          <w:lang w:val="nl-NL"/>
        </w:rPr>
        <w:t>iệp</w:t>
      </w:r>
      <w:r w:rsidR="001F0F29" w:rsidRPr="00010F83">
        <w:rPr>
          <w:rFonts w:ascii="Arial" w:hAnsi="Arial" w:cs="Arial"/>
          <w:bCs/>
          <w:sz w:val="22"/>
          <w:szCs w:val="22"/>
          <w:lang w:val="nl-NL"/>
        </w:rPr>
        <w:t xml:space="preserve"> phải được </w:t>
      </w:r>
      <w:r w:rsidR="0006286A" w:rsidRPr="00010F83">
        <w:rPr>
          <w:rFonts w:ascii="Arial" w:hAnsi="Arial" w:cs="Arial"/>
          <w:bCs/>
          <w:sz w:val="22"/>
          <w:szCs w:val="22"/>
          <w:lang w:val="nl-NL"/>
        </w:rPr>
        <w:t>thuyết minh riêng</w:t>
      </w:r>
      <w:r w:rsidR="001F0F29" w:rsidRPr="00010F83">
        <w:rPr>
          <w:rFonts w:ascii="Arial" w:hAnsi="Arial" w:cs="Arial"/>
          <w:bCs/>
          <w:sz w:val="22"/>
          <w:szCs w:val="22"/>
          <w:lang w:val="nl-NL"/>
        </w:rPr>
        <w:t>.</w:t>
      </w:r>
    </w:p>
    <w:p w:rsidR="001F0F29" w:rsidRPr="00010F83" w:rsidRDefault="001F0F29" w:rsidP="005117B2">
      <w:pPr>
        <w:pStyle w:val="BodyTextIndent"/>
        <w:numPr>
          <w:ilvl w:val="1"/>
          <w:numId w:val="36"/>
        </w:numPr>
        <w:spacing w:before="0" w:after="120" w:line="240" w:lineRule="auto"/>
        <w:ind w:left="720" w:hanging="720"/>
        <w:rPr>
          <w:rFonts w:ascii="Arial" w:hAnsi="Arial" w:cs="Arial"/>
          <w:sz w:val="22"/>
          <w:szCs w:val="22"/>
          <w:lang w:val="nl-NL"/>
        </w:rPr>
      </w:pPr>
      <w:r w:rsidRPr="00010F83">
        <w:rPr>
          <w:rFonts w:ascii="Arial" w:hAnsi="Arial" w:cs="Arial"/>
          <w:sz w:val="22"/>
          <w:szCs w:val="22"/>
          <w:lang w:val="nl-NL"/>
        </w:rPr>
        <w:t xml:space="preserve">Các thành phần chủ yếu của chi phí (hoặc thu nhập) </w:t>
      </w:r>
      <w:r w:rsidR="00731917" w:rsidRPr="00010F83">
        <w:rPr>
          <w:rFonts w:ascii="Arial" w:hAnsi="Arial" w:cs="Arial"/>
          <w:sz w:val="22"/>
          <w:szCs w:val="22"/>
          <w:lang w:val="nl-NL"/>
        </w:rPr>
        <w:t>thuế TNDN</w:t>
      </w:r>
      <w:r w:rsidR="0006286A" w:rsidRPr="00010F83">
        <w:rPr>
          <w:rFonts w:ascii="Arial" w:hAnsi="Arial" w:cs="Arial"/>
          <w:sz w:val="22"/>
          <w:szCs w:val="22"/>
          <w:lang w:val="nl-NL"/>
        </w:rPr>
        <w:t xml:space="preserve"> </w:t>
      </w:r>
      <w:r w:rsidRPr="00010F83">
        <w:rPr>
          <w:rFonts w:ascii="Arial" w:hAnsi="Arial" w:cs="Arial"/>
          <w:sz w:val="22"/>
          <w:szCs w:val="22"/>
          <w:lang w:val="nl-NL"/>
        </w:rPr>
        <w:t>gồm:</w:t>
      </w:r>
    </w:p>
    <w:p w:rsidR="007D0496" w:rsidRPr="00010F83" w:rsidRDefault="001F0F29" w:rsidP="005117B2">
      <w:pPr>
        <w:pStyle w:val="BodyTextIndent"/>
        <w:numPr>
          <w:ilvl w:val="0"/>
          <w:numId w:val="38"/>
        </w:numPr>
        <w:spacing w:before="0" w:after="120" w:line="240" w:lineRule="auto"/>
        <w:ind w:left="1080"/>
        <w:rPr>
          <w:rFonts w:ascii="Arial" w:hAnsi="Arial" w:cs="Arial"/>
          <w:bCs/>
          <w:sz w:val="22"/>
          <w:szCs w:val="22"/>
          <w:lang w:val="nl-NL"/>
        </w:rPr>
      </w:pPr>
      <w:r w:rsidRPr="00010F83">
        <w:rPr>
          <w:rFonts w:ascii="Arial" w:hAnsi="Arial" w:cs="Arial"/>
          <w:bCs/>
          <w:sz w:val="22"/>
          <w:szCs w:val="22"/>
          <w:lang w:val="nl-NL"/>
        </w:rPr>
        <w:t xml:space="preserve">chi phí (hoặc thu nhập) </w:t>
      </w:r>
      <w:r w:rsidR="00731917" w:rsidRPr="00010F83">
        <w:rPr>
          <w:rFonts w:ascii="Arial" w:hAnsi="Arial" w:cs="Arial"/>
          <w:bCs/>
          <w:sz w:val="22"/>
          <w:szCs w:val="22"/>
          <w:lang w:val="nl-NL"/>
        </w:rPr>
        <w:t>thuế TNDN</w:t>
      </w:r>
      <w:r w:rsidR="007C66E1" w:rsidRPr="00010F83">
        <w:rPr>
          <w:rFonts w:ascii="Arial" w:hAnsi="Arial" w:cs="Arial"/>
          <w:bCs/>
          <w:sz w:val="22"/>
          <w:szCs w:val="22"/>
          <w:lang w:val="nl-NL"/>
        </w:rPr>
        <w:t xml:space="preserve"> </w:t>
      </w:r>
      <w:r w:rsidRPr="00010F83">
        <w:rPr>
          <w:rFonts w:ascii="Arial" w:hAnsi="Arial" w:cs="Arial"/>
          <w:bCs/>
          <w:sz w:val="22"/>
          <w:szCs w:val="22"/>
          <w:lang w:val="nl-NL"/>
        </w:rPr>
        <w:t>hiện hành;</w:t>
      </w:r>
    </w:p>
    <w:p w:rsidR="007D0496" w:rsidRPr="00010F83" w:rsidRDefault="00286D15" w:rsidP="005117B2">
      <w:pPr>
        <w:pStyle w:val="BodyTextIndent"/>
        <w:numPr>
          <w:ilvl w:val="0"/>
          <w:numId w:val="38"/>
        </w:numPr>
        <w:spacing w:before="0" w:after="120" w:line="240" w:lineRule="auto"/>
        <w:ind w:left="1080"/>
        <w:rPr>
          <w:rFonts w:ascii="Arial" w:hAnsi="Arial" w:cs="Arial"/>
          <w:bCs/>
          <w:sz w:val="22"/>
          <w:szCs w:val="22"/>
          <w:lang w:val="nl-NL"/>
        </w:rPr>
      </w:pPr>
      <w:r w:rsidRPr="00010F83">
        <w:rPr>
          <w:rFonts w:ascii="Arial" w:hAnsi="Arial" w:cs="Arial"/>
          <w:bCs/>
          <w:sz w:val="22"/>
          <w:szCs w:val="22"/>
          <w:lang w:val="nl-NL"/>
        </w:rPr>
        <w:t xml:space="preserve">các điều chỉnh trong kỳ cho </w:t>
      </w:r>
      <w:r w:rsidR="00731917" w:rsidRPr="00010F83">
        <w:rPr>
          <w:rFonts w:ascii="Arial" w:hAnsi="Arial" w:cs="Arial"/>
          <w:bCs/>
          <w:sz w:val="22"/>
          <w:szCs w:val="22"/>
          <w:lang w:val="nl-NL"/>
        </w:rPr>
        <w:t>thuế TNDN</w:t>
      </w:r>
      <w:r w:rsidR="007C66E1" w:rsidRPr="00010F83">
        <w:rPr>
          <w:rFonts w:ascii="Arial" w:hAnsi="Arial" w:cs="Arial"/>
          <w:bCs/>
          <w:sz w:val="22"/>
          <w:szCs w:val="22"/>
          <w:lang w:val="nl-NL"/>
        </w:rPr>
        <w:t xml:space="preserve"> </w:t>
      </w:r>
      <w:r w:rsidR="001F0F29" w:rsidRPr="00010F83">
        <w:rPr>
          <w:rFonts w:ascii="Arial" w:hAnsi="Arial" w:cs="Arial"/>
          <w:bCs/>
          <w:sz w:val="22"/>
          <w:szCs w:val="22"/>
          <w:lang w:val="nl-NL"/>
        </w:rPr>
        <w:t>hiện hành của các kỳ trước;</w:t>
      </w:r>
    </w:p>
    <w:p w:rsidR="007D0496" w:rsidRPr="00010F83" w:rsidRDefault="001F0F29" w:rsidP="005117B2">
      <w:pPr>
        <w:pStyle w:val="BodyTextIndent"/>
        <w:numPr>
          <w:ilvl w:val="0"/>
          <w:numId w:val="38"/>
        </w:numPr>
        <w:spacing w:before="0" w:after="120" w:line="240" w:lineRule="auto"/>
        <w:ind w:left="1080"/>
        <w:rPr>
          <w:rFonts w:ascii="Arial" w:hAnsi="Arial" w:cs="Arial"/>
          <w:bCs/>
          <w:sz w:val="22"/>
          <w:szCs w:val="22"/>
          <w:lang w:val="nl-NL"/>
        </w:rPr>
      </w:pPr>
      <w:r w:rsidRPr="00010F83">
        <w:rPr>
          <w:rFonts w:ascii="Arial" w:hAnsi="Arial" w:cs="Arial"/>
          <w:bCs/>
          <w:sz w:val="22"/>
          <w:szCs w:val="22"/>
          <w:lang w:val="nl-NL"/>
        </w:rPr>
        <w:t xml:space="preserve">chi phí (hoặc thu nhập) </w:t>
      </w:r>
      <w:r w:rsidR="00731917" w:rsidRPr="00010F83">
        <w:rPr>
          <w:rFonts w:ascii="Arial" w:hAnsi="Arial" w:cs="Arial"/>
          <w:bCs/>
          <w:sz w:val="22"/>
          <w:szCs w:val="22"/>
          <w:lang w:val="nl-NL"/>
        </w:rPr>
        <w:t>thuế TNDN</w:t>
      </w:r>
      <w:r w:rsidR="00A67808" w:rsidRPr="00010F83">
        <w:rPr>
          <w:rFonts w:ascii="Arial" w:hAnsi="Arial" w:cs="Arial"/>
          <w:bCs/>
          <w:sz w:val="22"/>
          <w:szCs w:val="22"/>
          <w:lang w:val="nl-NL"/>
        </w:rPr>
        <w:t xml:space="preserve"> </w:t>
      </w:r>
      <w:r w:rsidRPr="00010F83">
        <w:rPr>
          <w:rFonts w:ascii="Arial" w:hAnsi="Arial" w:cs="Arial"/>
          <w:bCs/>
          <w:sz w:val="22"/>
          <w:szCs w:val="22"/>
          <w:lang w:val="nl-NL"/>
        </w:rPr>
        <w:t>hoãn lại liên quan đến việc ghi nhận và hoàn nhập các chênh lệch tạm thời;</w:t>
      </w:r>
    </w:p>
    <w:p w:rsidR="007D0496" w:rsidRPr="00010F83" w:rsidRDefault="001F0F29" w:rsidP="005117B2">
      <w:pPr>
        <w:pStyle w:val="BodyTextIndent"/>
        <w:numPr>
          <w:ilvl w:val="0"/>
          <w:numId w:val="38"/>
        </w:numPr>
        <w:spacing w:before="0" w:after="120" w:line="240" w:lineRule="auto"/>
        <w:ind w:left="1080"/>
        <w:rPr>
          <w:rFonts w:ascii="Arial" w:hAnsi="Arial" w:cs="Arial"/>
          <w:bCs/>
          <w:sz w:val="22"/>
          <w:szCs w:val="22"/>
          <w:lang w:val="nl-NL"/>
        </w:rPr>
      </w:pPr>
      <w:r w:rsidRPr="00010F83">
        <w:rPr>
          <w:rFonts w:ascii="Arial" w:hAnsi="Arial" w:cs="Arial"/>
          <w:bCs/>
          <w:sz w:val="22"/>
          <w:szCs w:val="22"/>
          <w:lang w:val="nl-NL"/>
        </w:rPr>
        <w:t xml:space="preserve">chi phí (hoặc thu nhập) </w:t>
      </w:r>
      <w:r w:rsidR="00731917" w:rsidRPr="00010F83">
        <w:rPr>
          <w:rFonts w:ascii="Arial" w:hAnsi="Arial" w:cs="Arial"/>
          <w:bCs/>
          <w:sz w:val="22"/>
          <w:szCs w:val="22"/>
          <w:lang w:val="nl-NL"/>
        </w:rPr>
        <w:t>thuế TNDN</w:t>
      </w:r>
      <w:r w:rsidR="00A67808" w:rsidRPr="00010F83">
        <w:rPr>
          <w:rFonts w:ascii="Arial" w:hAnsi="Arial" w:cs="Arial"/>
          <w:bCs/>
          <w:sz w:val="22"/>
          <w:szCs w:val="22"/>
          <w:lang w:val="nl-NL"/>
        </w:rPr>
        <w:t xml:space="preserve"> </w:t>
      </w:r>
      <w:r w:rsidRPr="00010F83">
        <w:rPr>
          <w:rFonts w:ascii="Arial" w:hAnsi="Arial" w:cs="Arial"/>
          <w:bCs/>
          <w:sz w:val="22"/>
          <w:szCs w:val="22"/>
          <w:lang w:val="nl-NL"/>
        </w:rPr>
        <w:t>hoãn lại liên quan đến việc thay đổi thuế suất hoặc áp dụng các quy định thuế mới;</w:t>
      </w:r>
    </w:p>
    <w:p w:rsidR="007D0496" w:rsidRPr="00010F83" w:rsidRDefault="001F0F29" w:rsidP="005117B2">
      <w:pPr>
        <w:pStyle w:val="BodyTextIndent"/>
        <w:numPr>
          <w:ilvl w:val="0"/>
          <w:numId w:val="38"/>
        </w:numPr>
        <w:spacing w:before="0" w:after="120" w:line="240" w:lineRule="auto"/>
        <w:ind w:left="1080"/>
        <w:rPr>
          <w:rFonts w:ascii="Arial" w:hAnsi="Arial" w:cs="Arial"/>
          <w:bCs/>
          <w:sz w:val="22"/>
          <w:szCs w:val="22"/>
          <w:lang w:val="nl-NL"/>
        </w:rPr>
      </w:pPr>
      <w:r w:rsidRPr="00010F83">
        <w:rPr>
          <w:rFonts w:ascii="Arial" w:hAnsi="Arial" w:cs="Arial"/>
          <w:bCs/>
          <w:sz w:val="22"/>
          <w:szCs w:val="22"/>
          <w:lang w:val="nl-NL"/>
        </w:rPr>
        <w:t xml:space="preserve">lợi ích </w:t>
      </w:r>
      <w:r w:rsidR="00286D15" w:rsidRPr="00010F83">
        <w:rPr>
          <w:rFonts w:ascii="Arial" w:hAnsi="Arial" w:cs="Arial"/>
          <w:bCs/>
          <w:sz w:val="22"/>
          <w:szCs w:val="22"/>
          <w:lang w:val="nl-NL"/>
        </w:rPr>
        <w:t>phát sinh từ một khoản</w:t>
      </w:r>
      <w:r w:rsidRPr="00010F83">
        <w:rPr>
          <w:rFonts w:ascii="Arial" w:hAnsi="Arial" w:cs="Arial"/>
          <w:bCs/>
          <w:sz w:val="22"/>
          <w:szCs w:val="22"/>
          <w:lang w:val="nl-NL"/>
        </w:rPr>
        <w:t xml:space="preserve"> lỗ tính thuế, ưu đãi thuế hoặc chênh lệch tạm thời của các kỳ tr</w:t>
      </w:r>
      <w:r w:rsidR="00EE3D7B" w:rsidRPr="00010F83">
        <w:rPr>
          <w:rFonts w:ascii="Arial" w:hAnsi="Arial" w:cs="Arial"/>
          <w:bCs/>
          <w:sz w:val="22"/>
          <w:szCs w:val="22"/>
          <w:lang w:val="nl-NL"/>
        </w:rPr>
        <w:t>ước chưa được ghi nhận, nay</w:t>
      </w:r>
      <w:r w:rsidRPr="00010F83">
        <w:rPr>
          <w:rFonts w:ascii="Arial" w:hAnsi="Arial" w:cs="Arial"/>
          <w:bCs/>
          <w:sz w:val="22"/>
          <w:szCs w:val="22"/>
          <w:lang w:val="nl-NL"/>
        </w:rPr>
        <w:t xml:space="preserve"> được dùng để giảm chi phí </w:t>
      </w:r>
      <w:r w:rsidR="00731917" w:rsidRPr="00010F83">
        <w:rPr>
          <w:rFonts w:ascii="Arial" w:hAnsi="Arial" w:cs="Arial"/>
          <w:bCs/>
          <w:sz w:val="22"/>
          <w:szCs w:val="22"/>
          <w:lang w:val="nl-NL"/>
        </w:rPr>
        <w:t>thuế TNDN</w:t>
      </w:r>
      <w:r w:rsidR="00A67808" w:rsidRPr="00010F83">
        <w:rPr>
          <w:rFonts w:ascii="Arial" w:hAnsi="Arial" w:cs="Arial"/>
          <w:bCs/>
          <w:sz w:val="22"/>
          <w:szCs w:val="22"/>
          <w:lang w:val="nl-NL"/>
        </w:rPr>
        <w:t xml:space="preserve"> </w:t>
      </w:r>
      <w:r w:rsidRPr="00010F83">
        <w:rPr>
          <w:rFonts w:ascii="Arial" w:hAnsi="Arial" w:cs="Arial"/>
          <w:bCs/>
          <w:sz w:val="22"/>
          <w:szCs w:val="22"/>
          <w:lang w:val="nl-NL"/>
        </w:rPr>
        <w:t>hiện hành</w:t>
      </w:r>
      <w:r w:rsidR="00A67808" w:rsidRPr="00010F83">
        <w:rPr>
          <w:rFonts w:ascii="Arial" w:hAnsi="Arial" w:cs="Arial"/>
          <w:bCs/>
          <w:sz w:val="22"/>
          <w:szCs w:val="22"/>
          <w:lang w:val="nl-NL"/>
        </w:rPr>
        <w:t xml:space="preserve"> </w:t>
      </w:r>
      <w:r w:rsidR="00EE3D7B" w:rsidRPr="00010F83">
        <w:rPr>
          <w:rFonts w:ascii="Arial" w:hAnsi="Arial" w:cs="Arial"/>
          <w:bCs/>
          <w:sz w:val="22"/>
          <w:szCs w:val="22"/>
          <w:lang w:val="nl-NL"/>
        </w:rPr>
        <w:t>của</w:t>
      </w:r>
      <w:r w:rsidR="00A67808" w:rsidRPr="00010F83">
        <w:rPr>
          <w:rFonts w:ascii="Arial" w:hAnsi="Arial" w:cs="Arial"/>
          <w:bCs/>
          <w:sz w:val="22"/>
          <w:szCs w:val="22"/>
          <w:lang w:val="nl-NL"/>
        </w:rPr>
        <w:t xml:space="preserve"> kỳ hiện tại</w:t>
      </w:r>
      <w:r w:rsidRPr="00010F83">
        <w:rPr>
          <w:rFonts w:ascii="Arial" w:hAnsi="Arial" w:cs="Arial"/>
          <w:bCs/>
          <w:sz w:val="22"/>
          <w:szCs w:val="22"/>
          <w:lang w:val="nl-NL"/>
        </w:rPr>
        <w:t>;</w:t>
      </w:r>
    </w:p>
    <w:p w:rsidR="007D0496" w:rsidRPr="00010F83" w:rsidRDefault="001F0F29" w:rsidP="005117B2">
      <w:pPr>
        <w:pStyle w:val="BodyTextIndent"/>
        <w:numPr>
          <w:ilvl w:val="0"/>
          <w:numId w:val="38"/>
        </w:numPr>
        <w:spacing w:before="0" w:after="120" w:line="240" w:lineRule="auto"/>
        <w:ind w:left="1080"/>
        <w:rPr>
          <w:rFonts w:ascii="Arial" w:hAnsi="Arial" w:cs="Arial"/>
          <w:bCs/>
          <w:sz w:val="22"/>
          <w:szCs w:val="22"/>
          <w:lang w:val="nl-NL"/>
        </w:rPr>
      </w:pPr>
      <w:r w:rsidRPr="00010F83">
        <w:rPr>
          <w:rFonts w:ascii="Arial" w:hAnsi="Arial" w:cs="Arial"/>
          <w:bCs/>
          <w:sz w:val="22"/>
          <w:szCs w:val="22"/>
          <w:lang w:val="nl-NL"/>
        </w:rPr>
        <w:t>lợi ích từ lỗ tính thuế, ưu đãi thuế hoặc chênh lệch tạm thời của các kỳ trước chưa được ghi nhận</w:t>
      </w:r>
      <w:r w:rsidR="00EE3D7B" w:rsidRPr="00010F83">
        <w:rPr>
          <w:rFonts w:ascii="Arial" w:hAnsi="Arial" w:cs="Arial"/>
          <w:bCs/>
          <w:sz w:val="22"/>
          <w:szCs w:val="22"/>
          <w:lang w:val="nl-NL"/>
        </w:rPr>
        <w:t>,</w:t>
      </w:r>
      <w:r w:rsidRPr="00010F83">
        <w:rPr>
          <w:rFonts w:ascii="Arial" w:hAnsi="Arial" w:cs="Arial"/>
          <w:bCs/>
          <w:sz w:val="22"/>
          <w:szCs w:val="22"/>
          <w:lang w:val="nl-NL"/>
        </w:rPr>
        <w:t xml:space="preserve"> </w:t>
      </w:r>
      <w:r w:rsidR="00EE3D7B" w:rsidRPr="00010F83">
        <w:rPr>
          <w:rFonts w:ascii="Arial" w:hAnsi="Arial" w:cs="Arial"/>
          <w:bCs/>
          <w:sz w:val="22"/>
          <w:szCs w:val="22"/>
          <w:lang w:val="nl-NL"/>
        </w:rPr>
        <w:t>nay</w:t>
      </w:r>
      <w:r w:rsidRPr="00010F83">
        <w:rPr>
          <w:rFonts w:ascii="Arial" w:hAnsi="Arial" w:cs="Arial"/>
          <w:bCs/>
          <w:sz w:val="22"/>
          <w:szCs w:val="22"/>
          <w:lang w:val="nl-NL"/>
        </w:rPr>
        <w:t xml:space="preserve"> được dùng để giảm chi phí </w:t>
      </w:r>
      <w:r w:rsidR="00731917" w:rsidRPr="00010F83">
        <w:rPr>
          <w:rFonts w:ascii="Arial" w:hAnsi="Arial" w:cs="Arial"/>
          <w:bCs/>
          <w:sz w:val="22"/>
          <w:szCs w:val="22"/>
          <w:lang w:val="nl-NL"/>
        </w:rPr>
        <w:t>thuế TNDN</w:t>
      </w:r>
      <w:r w:rsidR="00EE3D7B" w:rsidRPr="00010F83">
        <w:rPr>
          <w:rFonts w:ascii="Arial" w:hAnsi="Arial" w:cs="Arial"/>
          <w:bCs/>
          <w:sz w:val="22"/>
          <w:szCs w:val="22"/>
          <w:lang w:val="nl-NL"/>
        </w:rPr>
        <w:t xml:space="preserve"> </w:t>
      </w:r>
      <w:r w:rsidRPr="00010F83">
        <w:rPr>
          <w:rFonts w:ascii="Arial" w:hAnsi="Arial" w:cs="Arial"/>
          <w:bCs/>
          <w:sz w:val="22"/>
          <w:szCs w:val="22"/>
          <w:lang w:val="nl-NL"/>
        </w:rPr>
        <w:t>hoãn lại</w:t>
      </w:r>
      <w:r w:rsidR="00EE3D7B" w:rsidRPr="00010F83">
        <w:rPr>
          <w:rFonts w:ascii="Arial" w:hAnsi="Arial" w:cs="Arial"/>
          <w:bCs/>
          <w:sz w:val="22"/>
          <w:szCs w:val="22"/>
          <w:lang w:val="nl-NL"/>
        </w:rPr>
        <w:t xml:space="preserve"> của kỳ hiện tại</w:t>
      </w:r>
      <w:r w:rsidRPr="00010F83">
        <w:rPr>
          <w:rFonts w:ascii="Arial" w:hAnsi="Arial" w:cs="Arial"/>
          <w:bCs/>
          <w:sz w:val="22"/>
          <w:szCs w:val="22"/>
          <w:lang w:val="nl-NL"/>
        </w:rPr>
        <w:t>;</w:t>
      </w:r>
    </w:p>
    <w:p w:rsidR="007D0496" w:rsidRPr="00010F83" w:rsidRDefault="001F0F29" w:rsidP="005117B2">
      <w:pPr>
        <w:pStyle w:val="BodyTextIndent"/>
        <w:numPr>
          <w:ilvl w:val="0"/>
          <w:numId w:val="38"/>
        </w:numPr>
        <w:spacing w:before="0" w:after="120" w:line="240" w:lineRule="auto"/>
        <w:ind w:left="1080"/>
        <w:rPr>
          <w:rFonts w:ascii="Arial" w:hAnsi="Arial" w:cs="Arial"/>
          <w:bCs/>
          <w:sz w:val="22"/>
          <w:szCs w:val="22"/>
          <w:lang w:val="nl-NL"/>
        </w:rPr>
      </w:pPr>
      <w:r w:rsidRPr="00010F83">
        <w:rPr>
          <w:rFonts w:ascii="Arial" w:hAnsi="Arial" w:cs="Arial"/>
          <w:bCs/>
          <w:sz w:val="22"/>
          <w:szCs w:val="22"/>
          <w:lang w:val="nl-NL"/>
        </w:rPr>
        <w:t xml:space="preserve">chi phí thuế hoãn lại phát sinh từ việc ghi giảm, hay hoàn nhập khoản ghi giảm kỳ trước, của </w:t>
      </w:r>
      <w:r w:rsidR="006805F0" w:rsidRPr="00010F83">
        <w:rPr>
          <w:rFonts w:ascii="Arial" w:hAnsi="Arial" w:cs="Arial"/>
          <w:bCs/>
          <w:sz w:val="22"/>
          <w:szCs w:val="22"/>
          <w:lang w:val="nl-NL"/>
        </w:rPr>
        <w:t xml:space="preserve">tài sản </w:t>
      </w:r>
      <w:r w:rsidR="00731917" w:rsidRPr="00010F83">
        <w:rPr>
          <w:rFonts w:ascii="Arial" w:hAnsi="Arial" w:cs="Arial"/>
          <w:bCs/>
          <w:sz w:val="22"/>
          <w:szCs w:val="22"/>
          <w:lang w:val="nl-NL"/>
        </w:rPr>
        <w:t>thuế TNDN</w:t>
      </w:r>
      <w:r w:rsidR="006805F0" w:rsidRPr="00010F83">
        <w:rPr>
          <w:rFonts w:ascii="Arial" w:hAnsi="Arial" w:cs="Arial"/>
          <w:bCs/>
          <w:sz w:val="22"/>
          <w:szCs w:val="22"/>
          <w:lang w:val="nl-NL"/>
        </w:rPr>
        <w:t xml:space="preserve"> hoãn lại</w:t>
      </w:r>
      <w:r w:rsidRPr="00010F83">
        <w:rPr>
          <w:rFonts w:ascii="Arial" w:hAnsi="Arial" w:cs="Arial"/>
          <w:bCs/>
          <w:sz w:val="22"/>
          <w:szCs w:val="22"/>
          <w:lang w:val="nl-NL"/>
        </w:rPr>
        <w:t xml:space="preserve"> theo quy định ở đoạn 56; và</w:t>
      </w:r>
    </w:p>
    <w:p w:rsidR="001F0F29" w:rsidRPr="00010F83" w:rsidRDefault="001F0F29" w:rsidP="005117B2">
      <w:pPr>
        <w:pStyle w:val="BodyTextIndent"/>
        <w:numPr>
          <w:ilvl w:val="0"/>
          <w:numId w:val="38"/>
        </w:numPr>
        <w:spacing w:before="0" w:after="120" w:line="240" w:lineRule="auto"/>
        <w:ind w:left="1080"/>
        <w:rPr>
          <w:rFonts w:ascii="Arial" w:hAnsi="Arial" w:cs="Arial"/>
          <w:bCs/>
          <w:sz w:val="22"/>
          <w:szCs w:val="22"/>
          <w:lang w:val="nl-NL"/>
        </w:rPr>
      </w:pPr>
      <w:r w:rsidRPr="00010F83">
        <w:rPr>
          <w:rFonts w:ascii="Arial" w:hAnsi="Arial" w:cs="Arial"/>
          <w:bCs/>
          <w:sz w:val="22"/>
          <w:szCs w:val="22"/>
          <w:lang w:val="nl-NL"/>
        </w:rPr>
        <w:t>chi phí (hoặc thu nhập) thuế liên quan đến những thay đổi trong chính sách kế toán và các sai sót</w:t>
      </w:r>
      <w:r w:rsidR="00EE3D7B" w:rsidRPr="00010F83">
        <w:rPr>
          <w:rFonts w:ascii="Arial" w:hAnsi="Arial" w:cs="Arial"/>
          <w:bCs/>
          <w:sz w:val="22"/>
          <w:szCs w:val="22"/>
          <w:lang w:val="nl-NL"/>
        </w:rPr>
        <w:t>,</w:t>
      </w:r>
      <w:r w:rsidRPr="00010F83">
        <w:rPr>
          <w:rFonts w:ascii="Arial" w:hAnsi="Arial" w:cs="Arial"/>
          <w:bCs/>
          <w:sz w:val="22"/>
          <w:szCs w:val="22"/>
          <w:lang w:val="nl-NL"/>
        </w:rPr>
        <w:t xml:space="preserve"> được </w:t>
      </w:r>
      <w:r w:rsidR="00EE3D7B" w:rsidRPr="00010F83">
        <w:rPr>
          <w:rFonts w:ascii="Arial" w:hAnsi="Arial" w:cs="Arial"/>
          <w:bCs/>
          <w:sz w:val="22"/>
          <w:szCs w:val="22"/>
          <w:lang w:val="nl-NL"/>
        </w:rPr>
        <w:t>hạch toán</w:t>
      </w:r>
      <w:r w:rsidRPr="00010F83">
        <w:rPr>
          <w:rFonts w:ascii="Arial" w:hAnsi="Arial" w:cs="Arial"/>
          <w:bCs/>
          <w:sz w:val="22"/>
          <w:szCs w:val="22"/>
          <w:lang w:val="nl-NL"/>
        </w:rPr>
        <w:t xml:space="preserve"> trong </w:t>
      </w:r>
      <w:r w:rsidR="007B64CF" w:rsidRPr="00010F83">
        <w:rPr>
          <w:rFonts w:ascii="Arial" w:hAnsi="Arial" w:cs="Arial"/>
          <w:bCs/>
          <w:sz w:val="22"/>
          <w:szCs w:val="22"/>
          <w:lang w:val="nl-NL"/>
        </w:rPr>
        <w:t>Báo cáo kết quả hoạt động kinh doanh</w:t>
      </w:r>
      <w:r w:rsidRPr="00010F83">
        <w:rPr>
          <w:rFonts w:ascii="Arial" w:hAnsi="Arial" w:cs="Arial"/>
          <w:bCs/>
          <w:sz w:val="22"/>
          <w:szCs w:val="22"/>
          <w:lang w:val="nl-NL"/>
        </w:rPr>
        <w:t xml:space="preserve"> </w:t>
      </w:r>
      <w:r w:rsidR="00EE3D7B" w:rsidRPr="00010F83">
        <w:rPr>
          <w:rFonts w:ascii="Arial" w:hAnsi="Arial" w:cs="Arial"/>
          <w:bCs/>
          <w:sz w:val="22"/>
          <w:szCs w:val="22"/>
          <w:lang w:val="nl-NL"/>
        </w:rPr>
        <w:t xml:space="preserve">của kỳ hiện tại </w:t>
      </w:r>
      <w:r w:rsidRPr="00010F83">
        <w:rPr>
          <w:rFonts w:ascii="Arial" w:hAnsi="Arial" w:cs="Arial"/>
          <w:bCs/>
          <w:sz w:val="22"/>
          <w:szCs w:val="22"/>
          <w:lang w:val="nl-NL"/>
        </w:rPr>
        <w:t xml:space="preserve">theo chuẩn mực IAS 8, </w:t>
      </w:r>
      <w:r w:rsidR="00D82BB6" w:rsidRPr="00010F83">
        <w:rPr>
          <w:rFonts w:ascii="Arial" w:hAnsi="Arial" w:cs="Arial"/>
          <w:bCs/>
          <w:sz w:val="22"/>
          <w:szCs w:val="22"/>
          <w:lang w:val="nl-NL"/>
        </w:rPr>
        <w:t>do</w:t>
      </w:r>
      <w:r w:rsidRPr="00010F83">
        <w:rPr>
          <w:rFonts w:ascii="Arial" w:hAnsi="Arial" w:cs="Arial"/>
          <w:bCs/>
          <w:sz w:val="22"/>
          <w:szCs w:val="22"/>
          <w:lang w:val="nl-NL"/>
        </w:rPr>
        <w:t xml:space="preserve"> </w:t>
      </w:r>
      <w:r w:rsidR="00EE3D7B" w:rsidRPr="00010F83">
        <w:rPr>
          <w:rFonts w:ascii="Arial" w:hAnsi="Arial" w:cs="Arial"/>
          <w:bCs/>
          <w:sz w:val="22"/>
          <w:szCs w:val="22"/>
          <w:lang w:val="nl-NL"/>
        </w:rPr>
        <w:t>đơn vị không thể hạch toán hồi tố</w:t>
      </w:r>
      <w:r w:rsidRPr="00010F83">
        <w:rPr>
          <w:rFonts w:ascii="Arial" w:hAnsi="Arial" w:cs="Arial"/>
          <w:bCs/>
          <w:sz w:val="22"/>
          <w:szCs w:val="22"/>
          <w:lang w:val="nl-NL"/>
        </w:rPr>
        <w:t>.</w:t>
      </w:r>
    </w:p>
    <w:p w:rsidR="00FE1B71" w:rsidRPr="00010F83" w:rsidRDefault="00FE1B71" w:rsidP="00590853">
      <w:pPr>
        <w:pStyle w:val="BodyTextIndent"/>
        <w:spacing w:before="0" w:after="120" w:line="240" w:lineRule="auto"/>
        <w:ind w:left="720" w:hanging="720"/>
        <w:rPr>
          <w:rFonts w:ascii="Arial" w:hAnsi="Arial" w:cs="Arial"/>
          <w:b/>
          <w:bCs/>
          <w:sz w:val="22"/>
          <w:szCs w:val="22"/>
          <w:lang w:val="nl-NL"/>
        </w:rPr>
      </w:pPr>
      <w:r w:rsidRPr="00010F83">
        <w:rPr>
          <w:rFonts w:ascii="Arial" w:hAnsi="Arial" w:cs="Arial"/>
          <w:b/>
          <w:bCs/>
          <w:sz w:val="22"/>
          <w:szCs w:val="22"/>
          <w:lang w:val="nl-NL"/>
        </w:rPr>
        <w:t>81</w:t>
      </w:r>
      <w:r w:rsidRPr="00010F83">
        <w:rPr>
          <w:rFonts w:ascii="Arial" w:hAnsi="Arial" w:cs="Arial"/>
          <w:bCs/>
          <w:sz w:val="22"/>
          <w:szCs w:val="22"/>
          <w:lang w:val="nl-NL"/>
        </w:rPr>
        <w:t xml:space="preserve">       </w:t>
      </w:r>
      <w:r w:rsidRPr="00010F83">
        <w:rPr>
          <w:rFonts w:ascii="Arial" w:hAnsi="Arial" w:cs="Arial"/>
          <w:bCs/>
          <w:sz w:val="22"/>
          <w:szCs w:val="22"/>
          <w:lang w:val="nl-NL"/>
        </w:rPr>
        <w:tab/>
      </w:r>
      <w:r w:rsidRPr="00010F83">
        <w:rPr>
          <w:rFonts w:ascii="Arial" w:hAnsi="Arial" w:cs="Arial"/>
          <w:b/>
          <w:bCs/>
          <w:sz w:val="22"/>
          <w:szCs w:val="22"/>
          <w:lang w:val="nl-NL"/>
        </w:rPr>
        <w:t xml:space="preserve">Các mục sau </w:t>
      </w:r>
      <w:r w:rsidR="0053739E" w:rsidRPr="00010F83">
        <w:rPr>
          <w:rFonts w:ascii="Arial" w:hAnsi="Arial" w:cs="Arial"/>
          <w:b/>
          <w:bCs/>
          <w:sz w:val="22"/>
          <w:szCs w:val="22"/>
          <w:lang w:val="nl-NL"/>
        </w:rPr>
        <w:t>cũng cần được thuyết minh riêng</w:t>
      </w:r>
      <w:r w:rsidRPr="00010F83">
        <w:rPr>
          <w:rFonts w:ascii="Arial" w:hAnsi="Arial" w:cs="Arial"/>
          <w:b/>
          <w:bCs/>
          <w:sz w:val="22"/>
          <w:szCs w:val="22"/>
          <w:lang w:val="nl-NL"/>
        </w:rPr>
        <w:t>:</w:t>
      </w:r>
    </w:p>
    <w:p w:rsidR="007D0496" w:rsidRPr="00010F83" w:rsidRDefault="009E259D" w:rsidP="005117B2">
      <w:pPr>
        <w:pStyle w:val="BodyTextIndent"/>
        <w:numPr>
          <w:ilvl w:val="0"/>
          <w:numId w:val="39"/>
        </w:numPr>
        <w:spacing w:before="0" w:after="120" w:line="240" w:lineRule="auto"/>
        <w:ind w:left="1260" w:hanging="540"/>
        <w:rPr>
          <w:rFonts w:ascii="Arial" w:hAnsi="Arial" w:cs="Arial"/>
          <w:b/>
          <w:bCs/>
          <w:sz w:val="22"/>
          <w:szCs w:val="22"/>
          <w:lang w:val="nl-NL"/>
        </w:rPr>
      </w:pPr>
      <w:r w:rsidRPr="00010F83">
        <w:rPr>
          <w:rFonts w:ascii="Arial" w:hAnsi="Arial" w:cs="Arial"/>
          <w:b/>
          <w:bCs/>
          <w:sz w:val="22"/>
          <w:szCs w:val="22"/>
          <w:lang w:val="nl-NL"/>
        </w:rPr>
        <w:t xml:space="preserve">tổng </w:t>
      </w:r>
      <w:r w:rsidR="00286D15" w:rsidRPr="00010F83">
        <w:rPr>
          <w:rFonts w:ascii="Arial" w:hAnsi="Arial" w:cs="Arial"/>
          <w:b/>
          <w:bCs/>
          <w:sz w:val="22"/>
          <w:szCs w:val="22"/>
          <w:lang w:val="nl-NL"/>
        </w:rPr>
        <w:t xml:space="preserve">thuế thu nhập hiện hành và thuế thu nhập hoãn lại </w:t>
      </w:r>
      <w:r w:rsidR="00FE1B71" w:rsidRPr="00010F83">
        <w:rPr>
          <w:rFonts w:ascii="Arial" w:hAnsi="Arial" w:cs="Arial"/>
          <w:b/>
          <w:bCs/>
          <w:sz w:val="22"/>
          <w:szCs w:val="22"/>
          <w:lang w:val="nl-NL"/>
        </w:rPr>
        <w:t>liên quan đến các khoản mục được ghi nhận</w:t>
      </w:r>
      <w:r w:rsidR="00286D15" w:rsidRPr="00010F83">
        <w:rPr>
          <w:rFonts w:ascii="Arial" w:hAnsi="Arial" w:cs="Arial"/>
          <w:b/>
          <w:bCs/>
          <w:sz w:val="22"/>
          <w:szCs w:val="22"/>
          <w:lang w:val="nl-NL"/>
        </w:rPr>
        <w:t xml:space="preserve"> trực tiếp</w:t>
      </w:r>
      <w:r w:rsidR="00FE1B71" w:rsidRPr="00010F83">
        <w:rPr>
          <w:rFonts w:ascii="Arial" w:hAnsi="Arial" w:cs="Arial"/>
          <w:b/>
          <w:bCs/>
          <w:sz w:val="22"/>
          <w:szCs w:val="22"/>
          <w:lang w:val="nl-NL"/>
        </w:rPr>
        <w:t xml:space="preserve"> vào vốn chủ sở hữu (xem đoạn 62A);</w:t>
      </w:r>
    </w:p>
    <w:p w:rsidR="007D0496" w:rsidRPr="00010F83" w:rsidRDefault="00731917" w:rsidP="005117B2">
      <w:pPr>
        <w:pStyle w:val="BodyTextIndent"/>
        <w:numPr>
          <w:ilvl w:val="0"/>
          <w:numId w:val="42"/>
        </w:numPr>
        <w:spacing w:before="0" w:after="120" w:line="240" w:lineRule="auto"/>
        <w:ind w:left="1260" w:hanging="540"/>
        <w:rPr>
          <w:rFonts w:ascii="Arial" w:hAnsi="Arial" w:cs="Arial"/>
          <w:b/>
          <w:bCs/>
          <w:sz w:val="22"/>
          <w:szCs w:val="22"/>
          <w:lang w:val="nl-NL"/>
        </w:rPr>
      </w:pPr>
      <w:r w:rsidRPr="00010F83">
        <w:rPr>
          <w:rFonts w:ascii="Arial" w:hAnsi="Arial" w:cs="Arial"/>
          <w:b/>
          <w:bCs/>
          <w:sz w:val="22"/>
          <w:szCs w:val="22"/>
          <w:lang w:val="nl-NL"/>
        </w:rPr>
        <w:t>thuế TNDN</w:t>
      </w:r>
      <w:r w:rsidR="009E259D" w:rsidRPr="00010F83">
        <w:rPr>
          <w:rFonts w:ascii="Arial" w:hAnsi="Arial" w:cs="Arial"/>
          <w:b/>
          <w:bCs/>
          <w:sz w:val="22"/>
          <w:szCs w:val="22"/>
          <w:lang w:val="nl-NL"/>
        </w:rPr>
        <w:t xml:space="preserve"> </w:t>
      </w:r>
      <w:r w:rsidR="00FE1B71" w:rsidRPr="00010F83">
        <w:rPr>
          <w:rFonts w:ascii="Arial" w:hAnsi="Arial" w:cs="Arial"/>
          <w:b/>
          <w:bCs/>
          <w:sz w:val="22"/>
          <w:szCs w:val="22"/>
          <w:lang w:val="nl-NL"/>
        </w:rPr>
        <w:t xml:space="preserve">liên quan đến các thành phần trong báo cáo thu nhập toàn diện khác (xem đoạn 62 và IAS 1) (sửa đổi năm 2007); </w:t>
      </w:r>
    </w:p>
    <w:p w:rsidR="007D0496" w:rsidRPr="00010F83" w:rsidRDefault="009E259D" w:rsidP="005117B2">
      <w:pPr>
        <w:pStyle w:val="BodyTextIndent"/>
        <w:numPr>
          <w:ilvl w:val="0"/>
          <w:numId w:val="41"/>
        </w:numPr>
        <w:spacing w:before="0" w:after="120" w:line="240" w:lineRule="auto"/>
        <w:ind w:left="1260" w:hanging="540"/>
        <w:rPr>
          <w:rFonts w:ascii="Arial" w:hAnsi="Arial" w:cs="Arial"/>
          <w:b/>
          <w:bCs/>
          <w:sz w:val="22"/>
          <w:szCs w:val="22"/>
          <w:lang w:val="nl-NL"/>
        </w:rPr>
      </w:pPr>
      <w:r w:rsidRPr="00010F83">
        <w:rPr>
          <w:rFonts w:ascii="Arial" w:hAnsi="Arial" w:cs="Arial"/>
          <w:b/>
          <w:bCs/>
          <w:sz w:val="22"/>
          <w:szCs w:val="22"/>
          <w:lang w:val="nl-NL"/>
        </w:rPr>
        <w:t>[</w:t>
      </w:r>
      <w:r w:rsidR="007D0496" w:rsidRPr="00010F83">
        <w:rPr>
          <w:rFonts w:ascii="Arial" w:hAnsi="Arial" w:cs="Arial"/>
          <w:b/>
          <w:bCs/>
          <w:sz w:val="22"/>
          <w:szCs w:val="22"/>
          <w:lang w:val="nl-NL"/>
        </w:rPr>
        <w:t>bỏ đoạn này</w:t>
      </w:r>
      <w:r w:rsidRPr="00010F83">
        <w:rPr>
          <w:rFonts w:ascii="Arial" w:hAnsi="Arial" w:cs="Arial"/>
          <w:b/>
          <w:bCs/>
          <w:sz w:val="22"/>
          <w:szCs w:val="22"/>
          <w:lang w:val="nl-NL"/>
        </w:rPr>
        <w:t>]</w:t>
      </w:r>
    </w:p>
    <w:p w:rsidR="007D0496" w:rsidRPr="00010F83" w:rsidRDefault="00400052" w:rsidP="005117B2">
      <w:pPr>
        <w:pStyle w:val="BodyTextIndent"/>
        <w:numPr>
          <w:ilvl w:val="0"/>
          <w:numId w:val="41"/>
        </w:numPr>
        <w:spacing w:before="0" w:after="120" w:line="240" w:lineRule="auto"/>
        <w:ind w:left="1260" w:hanging="540"/>
        <w:rPr>
          <w:rFonts w:ascii="Arial" w:hAnsi="Arial" w:cs="Arial"/>
          <w:b/>
          <w:bCs/>
          <w:sz w:val="22"/>
          <w:szCs w:val="22"/>
          <w:lang w:val="nl-NL"/>
        </w:rPr>
      </w:pPr>
      <w:r w:rsidRPr="00010F83">
        <w:rPr>
          <w:rFonts w:ascii="Arial" w:hAnsi="Arial" w:cs="Arial"/>
          <w:b/>
          <w:bCs/>
          <w:sz w:val="22"/>
          <w:szCs w:val="22"/>
          <w:lang w:val="nl-NL"/>
        </w:rPr>
        <w:t xml:space="preserve">giải thích mỗi quan hệ </w:t>
      </w:r>
      <w:r w:rsidR="00FE1B71" w:rsidRPr="00010F83">
        <w:rPr>
          <w:rFonts w:ascii="Arial" w:hAnsi="Arial" w:cs="Arial"/>
          <w:b/>
          <w:bCs/>
          <w:sz w:val="22"/>
          <w:szCs w:val="22"/>
          <w:lang w:val="nl-NL"/>
        </w:rPr>
        <w:t xml:space="preserve">giữa chi phí (hoặc thu nhập) </w:t>
      </w:r>
      <w:r w:rsidR="00731917" w:rsidRPr="00010F83">
        <w:rPr>
          <w:rFonts w:ascii="Arial" w:hAnsi="Arial" w:cs="Arial"/>
          <w:b/>
          <w:bCs/>
          <w:sz w:val="22"/>
          <w:szCs w:val="22"/>
          <w:lang w:val="nl-NL"/>
        </w:rPr>
        <w:t>thuế TNDN</w:t>
      </w:r>
      <w:r w:rsidR="009E259D" w:rsidRPr="00010F83">
        <w:rPr>
          <w:rFonts w:ascii="Arial" w:hAnsi="Arial" w:cs="Arial"/>
          <w:b/>
          <w:bCs/>
          <w:sz w:val="22"/>
          <w:szCs w:val="22"/>
          <w:lang w:val="nl-NL"/>
        </w:rPr>
        <w:t xml:space="preserve"> </w:t>
      </w:r>
      <w:r w:rsidR="00FE1B71" w:rsidRPr="00010F83">
        <w:rPr>
          <w:rFonts w:ascii="Arial" w:hAnsi="Arial" w:cs="Arial"/>
          <w:b/>
          <w:bCs/>
          <w:sz w:val="22"/>
          <w:szCs w:val="22"/>
          <w:lang w:val="nl-NL"/>
        </w:rPr>
        <w:t>và lợi nhuận kế toán theo một hoặc cả hai hình thức sau:</w:t>
      </w:r>
    </w:p>
    <w:p w:rsidR="007D0496" w:rsidRPr="00010F83" w:rsidRDefault="009E259D" w:rsidP="005117B2">
      <w:pPr>
        <w:pStyle w:val="BodyTextIndent"/>
        <w:numPr>
          <w:ilvl w:val="0"/>
          <w:numId w:val="40"/>
        </w:numPr>
        <w:spacing w:before="0" w:after="120" w:line="240" w:lineRule="auto"/>
        <w:ind w:left="1620"/>
        <w:rPr>
          <w:rFonts w:ascii="Arial" w:hAnsi="Arial" w:cs="Arial"/>
          <w:b/>
          <w:bCs/>
          <w:sz w:val="22"/>
          <w:szCs w:val="22"/>
          <w:lang w:val="nl-NL"/>
        </w:rPr>
      </w:pPr>
      <w:r w:rsidRPr="00010F83">
        <w:rPr>
          <w:rFonts w:ascii="Arial" w:hAnsi="Arial" w:cs="Arial"/>
          <w:b/>
          <w:bCs/>
          <w:sz w:val="22"/>
          <w:szCs w:val="22"/>
          <w:lang w:val="nl-NL"/>
        </w:rPr>
        <w:t xml:space="preserve">đối chiếu </w:t>
      </w:r>
      <w:r w:rsidR="00400052" w:rsidRPr="00010F83">
        <w:rPr>
          <w:rFonts w:ascii="Arial" w:hAnsi="Arial" w:cs="Arial"/>
          <w:b/>
          <w:bCs/>
          <w:sz w:val="22"/>
          <w:szCs w:val="22"/>
          <w:lang w:val="nl-NL"/>
        </w:rPr>
        <w:t xml:space="preserve">bằng số </w:t>
      </w:r>
      <w:r w:rsidR="00FE1B71" w:rsidRPr="00010F83">
        <w:rPr>
          <w:rFonts w:ascii="Arial" w:hAnsi="Arial" w:cs="Arial"/>
          <w:b/>
          <w:bCs/>
          <w:sz w:val="22"/>
          <w:szCs w:val="22"/>
          <w:lang w:val="nl-NL"/>
        </w:rPr>
        <w:t xml:space="preserve">giữa chi phí (hoặc thu nhập) </w:t>
      </w:r>
      <w:r w:rsidR="00731917" w:rsidRPr="00010F83">
        <w:rPr>
          <w:rFonts w:ascii="Arial" w:hAnsi="Arial" w:cs="Arial"/>
          <w:b/>
          <w:bCs/>
          <w:sz w:val="22"/>
          <w:szCs w:val="22"/>
          <w:lang w:val="nl-NL"/>
        </w:rPr>
        <w:t>thuế TNDN</w:t>
      </w:r>
      <w:r w:rsidRPr="00010F83">
        <w:rPr>
          <w:rFonts w:ascii="Arial" w:hAnsi="Arial" w:cs="Arial"/>
          <w:b/>
          <w:bCs/>
          <w:sz w:val="22"/>
          <w:szCs w:val="22"/>
          <w:lang w:val="nl-NL"/>
        </w:rPr>
        <w:t xml:space="preserve"> </w:t>
      </w:r>
      <w:r w:rsidR="00FE1B71" w:rsidRPr="00010F83">
        <w:rPr>
          <w:rFonts w:ascii="Arial" w:hAnsi="Arial" w:cs="Arial"/>
          <w:b/>
          <w:bCs/>
          <w:sz w:val="22"/>
          <w:szCs w:val="22"/>
          <w:lang w:val="nl-NL"/>
        </w:rPr>
        <w:t>và tích số</w:t>
      </w:r>
      <w:r w:rsidR="007D0496" w:rsidRPr="00010F83">
        <w:rPr>
          <w:rFonts w:ascii="Arial" w:hAnsi="Arial" w:cs="Arial"/>
          <w:b/>
          <w:bCs/>
          <w:sz w:val="22"/>
          <w:szCs w:val="22"/>
          <w:lang w:val="nl-NL"/>
        </w:rPr>
        <w:t xml:space="preserve"> của lợi nhuận kế toán nhân </w:t>
      </w:r>
      <w:r w:rsidR="00FE1B71" w:rsidRPr="00010F83">
        <w:rPr>
          <w:rFonts w:ascii="Arial" w:hAnsi="Arial" w:cs="Arial"/>
          <w:b/>
          <w:bCs/>
          <w:sz w:val="22"/>
          <w:szCs w:val="22"/>
          <w:lang w:val="nl-NL"/>
        </w:rPr>
        <w:t xml:space="preserve">với mức thuế suất áp dụng và thuyết minh cơ sở </w:t>
      </w:r>
      <w:r w:rsidR="00400052" w:rsidRPr="00010F83">
        <w:rPr>
          <w:rFonts w:ascii="Arial" w:hAnsi="Arial" w:cs="Arial"/>
          <w:b/>
          <w:bCs/>
          <w:sz w:val="22"/>
          <w:szCs w:val="22"/>
          <w:lang w:val="nl-NL"/>
        </w:rPr>
        <w:t xml:space="preserve">tính </w:t>
      </w:r>
      <w:r w:rsidR="00FE1B71" w:rsidRPr="00010F83">
        <w:rPr>
          <w:rFonts w:ascii="Arial" w:hAnsi="Arial" w:cs="Arial"/>
          <w:b/>
          <w:bCs/>
          <w:sz w:val="22"/>
          <w:szCs w:val="22"/>
          <w:lang w:val="nl-NL"/>
        </w:rPr>
        <w:t>mức t</w:t>
      </w:r>
      <w:r w:rsidRPr="00010F83">
        <w:rPr>
          <w:rFonts w:ascii="Arial" w:hAnsi="Arial" w:cs="Arial"/>
          <w:b/>
          <w:bCs/>
          <w:sz w:val="22"/>
          <w:szCs w:val="22"/>
          <w:lang w:val="nl-NL"/>
        </w:rPr>
        <w:t>huế suất áp dụng</w:t>
      </w:r>
      <w:r w:rsidR="00400052" w:rsidRPr="00010F83">
        <w:rPr>
          <w:rFonts w:ascii="Arial" w:hAnsi="Arial" w:cs="Arial"/>
          <w:b/>
          <w:bCs/>
          <w:sz w:val="22"/>
          <w:szCs w:val="22"/>
          <w:lang w:val="nl-NL"/>
        </w:rPr>
        <w:t xml:space="preserve"> đó</w:t>
      </w:r>
      <w:r w:rsidR="00FE1B71" w:rsidRPr="00010F83">
        <w:rPr>
          <w:rFonts w:ascii="Arial" w:hAnsi="Arial" w:cs="Arial"/>
          <w:b/>
          <w:bCs/>
          <w:sz w:val="22"/>
          <w:szCs w:val="22"/>
          <w:lang w:val="nl-NL"/>
        </w:rPr>
        <w:t>; hoặc</w:t>
      </w:r>
    </w:p>
    <w:p w:rsidR="005117B2" w:rsidRPr="00010F83" w:rsidRDefault="007D0496" w:rsidP="005117B2">
      <w:pPr>
        <w:pStyle w:val="BodyTextIndent"/>
        <w:numPr>
          <w:ilvl w:val="0"/>
          <w:numId w:val="40"/>
        </w:numPr>
        <w:spacing w:before="0" w:after="120" w:line="240" w:lineRule="auto"/>
        <w:ind w:left="1620"/>
        <w:rPr>
          <w:rFonts w:ascii="Arial" w:hAnsi="Arial" w:cs="Arial"/>
          <w:b/>
          <w:bCs/>
          <w:sz w:val="22"/>
          <w:szCs w:val="22"/>
          <w:lang w:val="nl-NL"/>
        </w:rPr>
      </w:pPr>
      <w:r w:rsidRPr="00010F83">
        <w:rPr>
          <w:rFonts w:ascii="Arial" w:hAnsi="Arial" w:cs="Arial"/>
          <w:b/>
          <w:bCs/>
          <w:sz w:val="22"/>
          <w:szCs w:val="22"/>
          <w:lang w:val="nl-NL"/>
        </w:rPr>
        <w:t>đ</w:t>
      </w:r>
      <w:r w:rsidR="00FE1B71" w:rsidRPr="00010F83">
        <w:rPr>
          <w:rFonts w:ascii="Arial" w:hAnsi="Arial" w:cs="Arial"/>
          <w:b/>
          <w:bCs/>
          <w:sz w:val="22"/>
          <w:szCs w:val="22"/>
          <w:lang w:val="nl-NL"/>
        </w:rPr>
        <w:t xml:space="preserve">ối chiếu </w:t>
      </w:r>
      <w:r w:rsidR="00400052" w:rsidRPr="00010F83">
        <w:rPr>
          <w:rFonts w:ascii="Arial" w:hAnsi="Arial" w:cs="Arial"/>
          <w:b/>
          <w:bCs/>
          <w:sz w:val="22"/>
          <w:szCs w:val="22"/>
          <w:lang w:val="nl-NL"/>
        </w:rPr>
        <w:t xml:space="preserve">bằng số giữa </w:t>
      </w:r>
      <w:r w:rsidR="00FE1B71" w:rsidRPr="00010F83">
        <w:rPr>
          <w:rFonts w:ascii="Arial" w:hAnsi="Arial" w:cs="Arial"/>
          <w:b/>
          <w:bCs/>
          <w:sz w:val="22"/>
          <w:szCs w:val="22"/>
          <w:lang w:val="nl-NL"/>
        </w:rPr>
        <w:t>thuế suất hiệu quả bình quân và mức thuế suất áp</w:t>
      </w:r>
      <w:r w:rsidR="009E259D" w:rsidRPr="00010F83">
        <w:rPr>
          <w:rFonts w:ascii="Arial" w:hAnsi="Arial" w:cs="Arial"/>
          <w:b/>
          <w:bCs/>
          <w:sz w:val="22"/>
          <w:szCs w:val="22"/>
          <w:lang w:val="nl-NL"/>
        </w:rPr>
        <w:t xml:space="preserve"> dụng, và thuyết minh cơ sở </w:t>
      </w:r>
      <w:r w:rsidR="00400052" w:rsidRPr="00010F83">
        <w:rPr>
          <w:rFonts w:ascii="Arial" w:hAnsi="Arial" w:cs="Arial"/>
          <w:b/>
          <w:bCs/>
          <w:sz w:val="22"/>
          <w:szCs w:val="22"/>
          <w:lang w:val="nl-NL"/>
        </w:rPr>
        <w:t>tính</w:t>
      </w:r>
      <w:r w:rsidR="00FE1B71" w:rsidRPr="00010F83">
        <w:rPr>
          <w:rFonts w:ascii="Arial" w:hAnsi="Arial" w:cs="Arial"/>
          <w:b/>
          <w:bCs/>
          <w:sz w:val="22"/>
          <w:szCs w:val="22"/>
          <w:lang w:val="nl-NL"/>
        </w:rPr>
        <w:t xml:space="preserve"> mức thuế suất áp dụng.</w:t>
      </w:r>
    </w:p>
    <w:p w:rsidR="005117B2" w:rsidRPr="00010F83" w:rsidRDefault="005117B2">
      <w:pPr>
        <w:rPr>
          <w:rFonts w:ascii="Arial" w:eastAsia="Times New Roman" w:hAnsi="Arial" w:cs="Arial"/>
          <w:bCs/>
          <w:lang w:val="nl-NL"/>
        </w:rPr>
      </w:pPr>
      <w:r w:rsidRPr="00010F83">
        <w:rPr>
          <w:rFonts w:ascii="Arial" w:hAnsi="Arial" w:cs="Arial"/>
          <w:bCs/>
          <w:lang w:val="nl-NL"/>
        </w:rPr>
        <w:br w:type="page"/>
      </w:r>
    </w:p>
    <w:p w:rsidR="00FE1B71" w:rsidRPr="00010F83" w:rsidRDefault="00FE1B71" w:rsidP="005117B2">
      <w:pPr>
        <w:pStyle w:val="BodyTextIndent"/>
        <w:spacing w:before="0" w:after="120" w:line="240" w:lineRule="auto"/>
        <w:rPr>
          <w:rFonts w:ascii="Arial" w:hAnsi="Arial" w:cs="Arial"/>
          <w:bCs/>
          <w:sz w:val="22"/>
          <w:szCs w:val="22"/>
          <w:lang w:val="nl-NL"/>
        </w:rPr>
      </w:pPr>
    </w:p>
    <w:p w:rsidR="00C95446" w:rsidRPr="00010F83" w:rsidRDefault="00C95446" w:rsidP="005117B2">
      <w:pPr>
        <w:pStyle w:val="BodyTextIndent"/>
        <w:numPr>
          <w:ilvl w:val="0"/>
          <w:numId w:val="41"/>
        </w:numPr>
        <w:spacing w:before="0" w:after="120" w:line="240" w:lineRule="auto"/>
        <w:ind w:left="1260" w:hanging="540"/>
        <w:rPr>
          <w:rFonts w:ascii="Arial" w:hAnsi="Arial" w:cs="Arial"/>
          <w:b/>
          <w:bCs/>
          <w:sz w:val="22"/>
          <w:szCs w:val="22"/>
          <w:lang w:val="nl-NL"/>
        </w:rPr>
      </w:pPr>
      <w:r w:rsidRPr="00010F83">
        <w:rPr>
          <w:rFonts w:ascii="Arial" w:hAnsi="Arial" w:cs="Arial"/>
          <w:b/>
          <w:bCs/>
          <w:sz w:val="22"/>
          <w:szCs w:val="22"/>
          <w:lang w:val="nl-NL"/>
        </w:rPr>
        <w:t>giải thích thay đổi về (các) mức thuế suất áp dụng so với kỳ kế toán trước</w:t>
      </w:r>
      <w:r w:rsidR="003B0006" w:rsidRPr="00010F83">
        <w:rPr>
          <w:rFonts w:ascii="Arial" w:hAnsi="Arial" w:cs="Arial"/>
          <w:b/>
          <w:bCs/>
          <w:sz w:val="22"/>
          <w:szCs w:val="22"/>
          <w:lang w:val="nl-NL"/>
        </w:rPr>
        <w:t>, nếu có</w:t>
      </w:r>
      <w:r w:rsidRPr="00010F83">
        <w:rPr>
          <w:rFonts w:ascii="Arial" w:hAnsi="Arial" w:cs="Arial"/>
          <w:b/>
          <w:bCs/>
          <w:sz w:val="22"/>
          <w:szCs w:val="22"/>
          <w:lang w:val="nl-NL"/>
        </w:rPr>
        <w:t>;</w:t>
      </w:r>
    </w:p>
    <w:p w:rsidR="007D0496" w:rsidRPr="00010F83" w:rsidRDefault="00C95446" w:rsidP="005117B2">
      <w:pPr>
        <w:pStyle w:val="BodyTextIndent"/>
        <w:numPr>
          <w:ilvl w:val="0"/>
          <w:numId w:val="41"/>
        </w:numPr>
        <w:spacing w:before="0" w:after="120" w:line="240" w:lineRule="auto"/>
        <w:ind w:left="1260" w:hanging="540"/>
        <w:rPr>
          <w:rFonts w:ascii="Arial" w:hAnsi="Arial" w:cs="Arial"/>
          <w:b/>
          <w:bCs/>
          <w:sz w:val="22"/>
          <w:szCs w:val="22"/>
          <w:lang w:val="nl-NL"/>
        </w:rPr>
      </w:pPr>
      <w:r w:rsidRPr="00010F83">
        <w:rPr>
          <w:rFonts w:ascii="Arial" w:hAnsi="Arial" w:cs="Arial"/>
          <w:b/>
          <w:bCs/>
          <w:sz w:val="22"/>
          <w:szCs w:val="22"/>
          <w:lang w:val="nl-NL"/>
        </w:rPr>
        <w:t xml:space="preserve">giá trị (và ngày </w:t>
      </w:r>
      <w:r w:rsidR="00400052" w:rsidRPr="00010F83">
        <w:rPr>
          <w:rFonts w:ascii="Arial" w:hAnsi="Arial" w:cs="Arial"/>
          <w:b/>
          <w:bCs/>
          <w:sz w:val="22"/>
          <w:szCs w:val="22"/>
          <w:lang w:val="nl-NL"/>
        </w:rPr>
        <w:t>đáo</w:t>
      </w:r>
      <w:r w:rsidRPr="00010F83">
        <w:rPr>
          <w:rFonts w:ascii="Arial" w:hAnsi="Arial" w:cs="Arial"/>
          <w:b/>
          <w:bCs/>
          <w:sz w:val="22"/>
          <w:szCs w:val="22"/>
          <w:lang w:val="nl-NL"/>
        </w:rPr>
        <w:t xml:space="preserve"> </w:t>
      </w:r>
      <w:r w:rsidR="00DE2C4C" w:rsidRPr="00010F83">
        <w:rPr>
          <w:rFonts w:ascii="Arial" w:hAnsi="Arial" w:cs="Arial"/>
          <w:b/>
          <w:bCs/>
          <w:sz w:val="22"/>
          <w:szCs w:val="22"/>
          <w:lang w:val="nl-NL"/>
        </w:rPr>
        <w:t>hạn</w:t>
      </w:r>
      <w:r w:rsidRPr="00010F83">
        <w:rPr>
          <w:rFonts w:ascii="Arial" w:hAnsi="Arial" w:cs="Arial"/>
          <w:b/>
          <w:bCs/>
          <w:sz w:val="22"/>
          <w:szCs w:val="22"/>
          <w:lang w:val="nl-NL"/>
        </w:rPr>
        <w:t xml:space="preserve">, nếu có) của các chênh lệch tạm thời được khấu trừ, lỗ tính thuế và các ưu đãi </w:t>
      </w:r>
      <w:r w:rsidR="00400052" w:rsidRPr="00010F83">
        <w:rPr>
          <w:rFonts w:ascii="Arial" w:hAnsi="Arial" w:cs="Arial"/>
          <w:b/>
          <w:bCs/>
          <w:sz w:val="22"/>
          <w:szCs w:val="22"/>
          <w:lang w:val="nl-NL"/>
        </w:rPr>
        <w:t xml:space="preserve">khấu trừ </w:t>
      </w:r>
      <w:r w:rsidRPr="00010F83">
        <w:rPr>
          <w:rFonts w:ascii="Arial" w:hAnsi="Arial" w:cs="Arial"/>
          <w:b/>
          <w:bCs/>
          <w:sz w:val="22"/>
          <w:szCs w:val="22"/>
          <w:lang w:val="nl-NL"/>
        </w:rPr>
        <w:t xml:space="preserve">thuế chưa sử dụng mà </w:t>
      </w:r>
      <w:r w:rsidR="006805F0" w:rsidRPr="00010F83">
        <w:rPr>
          <w:rFonts w:ascii="Arial" w:hAnsi="Arial" w:cs="Arial"/>
          <w:b/>
          <w:bCs/>
          <w:sz w:val="22"/>
          <w:szCs w:val="22"/>
          <w:lang w:val="nl-NL"/>
        </w:rPr>
        <w:t xml:space="preserve">tài sản </w:t>
      </w:r>
      <w:r w:rsidR="00731917" w:rsidRPr="00010F83">
        <w:rPr>
          <w:rFonts w:ascii="Arial" w:hAnsi="Arial" w:cs="Arial"/>
          <w:b/>
          <w:bCs/>
          <w:sz w:val="22"/>
          <w:szCs w:val="22"/>
          <w:lang w:val="nl-NL"/>
        </w:rPr>
        <w:t>thuế TNDN</w:t>
      </w:r>
      <w:r w:rsidR="006805F0" w:rsidRPr="00010F83">
        <w:rPr>
          <w:rFonts w:ascii="Arial" w:hAnsi="Arial" w:cs="Arial"/>
          <w:b/>
          <w:bCs/>
          <w:sz w:val="22"/>
          <w:szCs w:val="22"/>
          <w:lang w:val="nl-NL"/>
        </w:rPr>
        <w:t xml:space="preserve"> hoãn lại</w:t>
      </w:r>
      <w:r w:rsidRPr="00010F83">
        <w:rPr>
          <w:rFonts w:ascii="Arial" w:hAnsi="Arial" w:cs="Arial"/>
          <w:b/>
          <w:bCs/>
          <w:sz w:val="22"/>
          <w:szCs w:val="22"/>
          <w:lang w:val="nl-NL"/>
        </w:rPr>
        <w:t xml:space="preserve"> liên quan chưa được ghi nhận vào </w:t>
      </w:r>
      <w:r w:rsidR="007B64CF" w:rsidRPr="00010F83">
        <w:rPr>
          <w:rFonts w:ascii="Arial" w:hAnsi="Arial" w:cs="Arial"/>
          <w:b/>
          <w:bCs/>
          <w:sz w:val="22"/>
          <w:szCs w:val="22"/>
          <w:lang w:val="nl-NL"/>
        </w:rPr>
        <w:t>Bảng cân đối kế toán</w:t>
      </w:r>
      <w:r w:rsidRPr="00010F83">
        <w:rPr>
          <w:rFonts w:ascii="Arial" w:hAnsi="Arial" w:cs="Arial"/>
          <w:b/>
          <w:bCs/>
          <w:sz w:val="22"/>
          <w:szCs w:val="22"/>
          <w:lang w:val="nl-NL"/>
        </w:rPr>
        <w:t>;</w:t>
      </w:r>
    </w:p>
    <w:p w:rsidR="007D0496" w:rsidRPr="00010F83" w:rsidRDefault="00DE2C4C" w:rsidP="005117B2">
      <w:pPr>
        <w:pStyle w:val="BodyTextIndent"/>
        <w:numPr>
          <w:ilvl w:val="0"/>
          <w:numId w:val="41"/>
        </w:numPr>
        <w:spacing w:before="0" w:after="120" w:line="240" w:lineRule="auto"/>
        <w:ind w:left="1260" w:hanging="540"/>
        <w:rPr>
          <w:rFonts w:ascii="Arial" w:hAnsi="Arial" w:cs="Arial"/>
          <w:b/>
          <w:bCs/>
          <w:sz w:val="22"/>
          <w:szCs w:val="22"/>
          <w:lang w:val="nl-NL"/>
        </w:rPr>
      </w:pPr>
      <w:r w:rsidRPr="00010F83">
        <w:rPr>
          <w:rFonts w:ascii="Arial" w:hAnsi="Arial" w:cs="Arial"/>
          <w:b/>
          <w:bCs/>
          <w:sz w:val="22"/>
          <w:szCs w:val="22"/>
          <w:lang w:val="nl-NL"/>
        </w:rPr>
        <w:t xml:space="preserve">tổng </w:t>
      </w:r>
      <w:r w:rsidR="00C95446" w:rsidRPr="00010F83">
        <w:rPr>
          <w:rFonts w:ascii="Arial" w:hAnsi="Arial" w:cs="Arial"/>
          <w:b/>
          <w:bCs/>
          <w:sz w:val="22"/>
          <w:szCs w:val="22"/>
          <w:lang w:val="nl-NL"/>
        </w:rPr>
        <w:t xml:space="preserve">chênh lệch tạm thời liên quan đến đầu tư vào các công ty con, các chi nhánh, các công ty liên kết và lợi ích trong các thỏa thuận </w:t>
      </w:r>
      <w:r w:rsidRPr="00010F83">
        <w:rPr>
          <w:rFonts w:ascii="Arial" w:hAnsi="Arial" w:cs="Arial"/>
          <w:b/>
          <w:bCs/>
          <w:sz w:val="22"/>
          <w:szCs w:val="22"/>
          <w:lang w:val="nl-NL"/>
        </w:rPr>
        <w:t>chung</w:t>
      </w:r>
      <w:r w:rsidR="00C95446" w:rsidRPr="00010F83">
        <w:rPr>
          <w:rFonts w:ascii="Arial" w:hAnsi="Arial" w:cs="Arial"/>
          <w:b/>
          <w:bCs/>
          <w:sz w:val="22"/>
          <w:szCs w:val="22"/>
          <w:lang w:val="nl-NL"/>
        </w:rPr>
        <w:t xml:space="preserve"> mà </w:t>
      </w:r>
      <w:r w:rsidR="00731917" w:rsidRPr="00010F83">
        <w:rPr>
          <w:rFonts w:ascii="Arial" w:hAnsi="Arial" w:cs="Arial"/>
          <w:b/>
          <w:bCs/>
          <w:sz w:val="22"/>
          <w:szCs w:val="22"/>
          <w:lang w:val="nl-NL"/>
        </w:rPr>
        <w:t>thuế TNDN</w:t>
      </w:r>
      <w:r w:rsidR="006805F0" w:rsidRPr="00010F83">
        <w:rPr>
          <w:rFonts w:ascii="Arial" w:hAnsi="Arial" w:cs="Arial"/>
          <w:b/>
          <w:bCs/>
          <w:sz w:val="22"/>
          <w:szCs w:val="22"/>
          <w:lang w:val="nl-NL"/>
        </w:rPr>
        <w:t xml:space="preserve"> hoãn lại phải trả</w:t>
      </w:r>
      <w:r w:rsidR="00C95446" w:rsidRPr="00010F83">
        <w:rPr>
          <w:rFonts w:ascii="Arial" w:hAnsi="Arial" w:cs="Arial"/>
          <w:b/>
          <w:bCs/>
          <w:sz w:val="22"/>
          <w:szCs w:val="22"/>
          <w:lang w:val="nl-NL"/>
        </w:rPr>
        <w:t xml:space="preserve"> liên quan đã không được ghi nhận (xem đoạn 39); </w:t>
      </w:r>
    </w:p>
    <w:p w:rsidR="00C95446" w:rsidRPr="00010F83" w:rsidRDefault="00C95446" w:rsidP="005117B2">
      <w:pPr>
        <w:pStyle w:val="BodyTextIndent"/>
        <w:numPr>
          <w:ilvl w:val="0"/>
          <w:numId w:val="41"/>
        </w:numPr>
        <w:spacing w:before="0" w:after="120" w:line="240" w:lineRule="auto"/>
        <w:ind w:left="1260" w:hanging="540"/>
        <w:rPr>
          <w:rFonts w:ascii="Arial" w:hAnsi="Arial" w:cs="Arial"/>
          <w:b/>
          <w:bCs/>
          <w:sz w:val="22"/>
          <w:szCs w:val="22"/>
          <w:lang w:val="nl-NL"/>
        </w:rPr>
      </w:pPr>
      <w:r w:rsidRPr="00010F83">
        <w:rPr>
          <w:rFonts w:ascii="Arial" w:hAnsi="Arial" w:cs="Arial"/>
          <w:b/>
          <w:bCs/>
          <w:sz w:val="22"/>
          <w:szCs w:val="22"/>
          <w:lang w:val="nl-NL"/>
        </w:rPr>
        <w:t xml:space="preserve">đối với mỗi loại chênh lệch tạm thời, mỗi loại lỗ tính thuế chưa sử dụng cũng như </w:t>
      </w:r>
      <w:r w:rsidR="00E25814" w:rsidRPr="00010F83">
        <w:rPr>
          <w:rFonts w:ascii="Arial" w:hAnsi="Arial" w:cs="Arial"/>
          <w:b/>
          <w:bCs/>
          <w:sz w:val="22"/>
          <w:szCs w:val="22"/>
          <w:lang w:val="nl-NL"/>
        </w:rPr>
        <w:t>mỗi</w:t>
      </w:r>
      <w:r w:rsidRPr="00010F83">
        <w:rPr>
          <w:rFonts w:ascii="Arial" w:hAnsi="Arial" w:cs="Arial"/>
          <w:b/>
          <w:bCs/>
          <w:sz w:val="22"/>
          <w:szCs w:val="22"/>
          <w:lang w:val="nl-NL"/>
        </w:rPr>
        <w:t xml:space="preserve"> ưu đãi thuế chưa sử dụng:</w:t>
      </w:r>
    </w:p>
    <w:p w:rsidR="007D0496" w:rsidRPr="00010F83" w:rsidRDefault="00C95446" w:rsidP="005117B2">
      <w:pPr>
        <w:pStyle w:val="BodyTextIndent"/>
        <w:numPr>
          <w:ilvl w:val="0"/>
          <w:numId w:val="43"/>
        </w:numPr>
        <w:spacing w:before="0" w:after="120" w:line="240" w:lineRule="auto"/>
        <w:ind w:left="1620"/>
        <w:rPr>
          <w:rFonts w:ascii="Arial" w:hAnsi="Arial" w:cs="Arial"/>
          <w:b/>
          <w:bCs/>
          <w:sz w:val="22"/>
          <w:szCs w:val="22"/>
          <w:lang w:val="nl-NL"/>
        </w:rPr>
      </w:pPr>
      <w:r w:rsidRPr="00010F83">
        <w:rPr>
          <w:rFonts w:ascii="Arial" w:hAnsi="Arial" w:cs="Arial"/>
          <w:b/>
          <w:bCs/>
          <w:sz w:val="22"/>
          <w:szCs w:val="22"/>
          <w:lang w:val="nl-NL"/>
        </w:rPr>
        <w:t xml:space="preserve">Giá trị của </w:t>
      </w:r>
      <w:r w:rsidR="006805F0" w:rsidRPr="00010F83">
        <w:rPr>
          <w:rFonts w:ascii="Arial" w:hAnsi="Arial" w:cs="Arial"/>
          <w:b/>
          <w:bCs/>
          <w:sz w:val="22"/>
          <w:szCs w:val="22"/>
          <w:lang w:val="nl-NL"/>
        </w:rPr>
        <w:t xml:space="preserve">tài sản </w:t>
      </w:r>
      <w:r w:rsidR="00731917" w:rsidRPr="00010F83">
        <w:rPr>
          <w:rFonts w:ascii="Arial" w:hAnsi="Arial" w:cs="Arial"/>
          <w:b/>
          <w:bCs/>
          <w:sz w:val="22"/>
          <w:szCs w:val="22"/>
          <w:lang w:val="nl-NL"/>
        </w:rPr>
        <w:t>thuế TNDN</w:t>
      </w:r>
      <w:r w:rsidR="006805F0" w:rsidRPr="00010F83">
        <w:rPr>
          <w:rFonts w:ascii="Arial" w:hAnsi="Arial" w:cs="Arial"/>
          <w:b/>
          <w:bCs/>
          <w:sz w:val="22"/>
          <w:szCs w:val="22"/>
          <w:lang w:val="nl-NL"/>
        </w:rPr>
        <w:t xml:space="preserve"> hoãn lại</w:t>
      </w:r>
      <w:r w:rsidRPr="00010F83">
        <w:rPr>
          <w:rFonts w:ascii="Arial" w:hAnsi="Arial" w:cs="Arial"/>
          <w:b/>
          <w:bCs/>
          <w:sz w:val="22"/>
          <w:szCs w:val="22"/>
          <w:lang w:val="nl-NL"/>
        </w:rPr>
        <w:t xml:space="preserve"> và </w:t>
      </w:r>
      <w:r w:rsidR="00731917" w:rsidRPr="00010F83">
        <w:rPr>
          <w:rFonts w:ascii="Arial" w:hAnsi="Arial" w:cs="Arial"/>
          <w:b/>
          <w:bCs/>
          <w:sz w:val="22"/>
          <w:szCs w:val="22"/>
          <w:lang w:val="nl-NL"/>
        </w:rPr>
        <w:t>thuế TNDN</w:t>
      </w:r>
      <w:r w:rsidR="006805F0" w:rsidRPr="00010F83">
        <w:rPr>
          <w:rFonts w:ascii="Arial" w:hAnsi="Arial" w:cs="Arial"/>
          <w:b/>
          <w:bCs/>
          <w:sz w:val="22"/>
          <w:szCs w:val="22"/>
          <w:lang w:val="nl-NL"/>
        </w:rPr>
        <w:t xml:space="preserve"> hoãn lại phải trả</w:t>
      </w:r>
      <w:r w:rsidRPr="00010F83">
        <w:rPr>
          <w:rFonts w:ascii="Arial" w:hAnsi="Arial" w:cs="Arial"/>
          <w:b/>
          <w:bCs/>
          <w:sz w:val="22"/>
          <w:szCs w:val="22"/>
          <w:lang w:val="nl-NL"/>
        </w:rPr>
        <w:t xml:space="preserve"> được ghi nhận trên </w:t>
      </w:r>
      <w:r w:rsidR="00400052" w:rsidRPr="00010F83">
        <w:rPr>
          <w:rFonts w:ascii="Arial" w:hAnsi="Arial" w:cs="Arial"/>
          <w:b/>
          <w:bCs/>
          <w:sz w:val="22"/>
          <w:szCs w:val="22"/>
          <w:lang w:val="nl-NL"/>
        </w:rPr>
        <w:t xml:space="preserve">Bảng cân đối kế toán </w:t>
      </w:r>
      <w:r w:rsidRPr="00010F83">
        <w:rPr>
          <w:rFonts w:ascii="Arial" w:hAnsi="Arial" w:cs="Arial"/>
          <w:b/>
          <w:bCs/>
          <w:sz w:val="22"/>
          <w:szCs w:val="22"/>
          <w:lang w:val="nl-NL"/>
        </w:rPr>
        <w:t>cho từng kỳ báo cáo được trình bày;</w:t>
      </w:r>
    </w:p>
    <w:p w:rsidR="00C95446" w:rsidRPr="00010F83" w:rsidRDefault="00C95446" w:rsidP="005117B2">
      <w:pPr>
        <w:pStyle w:val="BodyTextIndent"/>
        <w:numPr>
          <w:ilvl w:val="0"/>
          <w:numId w:val="43"/>
        </w:numPr>
        <w:spacing w:before="0" w:after="120" w:line="240" w:lineRule="auto"/>
        <w:ind w:left="1620"/>
        <w:rPr>
          <w:rFonts w:ascii="Arial" w:hAnsi="Arial" w:cs="Arial"/>
          <w:b/>
          <w:bCs/>
          <w:sz w:val="22"/>
          <w:szCs w:val="22"/>
          <w:lang w:val="nl-NL"/>
        </w:rPr>
      </w:pPr>
      <w:r w:rsidRPr="00010F83">
        <w:rPr>
          <w:rFonts w:ascii="Arial" w:hAnsi="Arial" w:cs="Arial"/>
          <w:b/>
          <w:bCs/>
          <w:sz w:val="22"/>
          <w:szCs w:val="22"/>
          <w:lang w:val="nl-NL"/>
        </w:rPr>
        <w:t xml:space="preserve">Giá trị của thu nhập hoặc chi phí thuế hoãn lại được ghi nhận </w:t>
      </w:r>
      <w:r w:rsidR="00E25814" w:rsidRPr="00010F83">
        <w:rPr>
          <w:rFonts w:ascii="Arial" w:hAnsi="Arial" w:cs="Arial"/>
          <w:b/>
          <w:bCs/>
          <w:sz w:val="22"/>
          <w:szCs w:val="22"/>
          <w:lang w:val="nl-NL"/>
        </w:rPr>
        <w:t>trong</w:t>
      </w:r>
      <w:r w:rsidRPr="00010F83">
        <w:rPr>
          <w:rFonts w:ascii="Arial" w:hAnsi="Arial" w:cs="Arial"/>
          <w:b/>
          <w:bCs/>
          <w:sz w:val="22"/>
          <w:szCs w:val="22"/>
          <w:lang w:val="nl-NL"/>
        </w:rPr>
        <w:t xml:space="preserve"> Báo cáo </w:t>
      </w:r>
      <w:r w:rsidR="00400052" w:rsidRPr="00010F83">
        <w:rPr>
          <w:rFonts w:ascii="Arial" w:hAnsi="Arial" w:cs="Arial"/>
          <w:b/>
          <w:bCs/>
          <w:sz w:val="22"/>
          <w:szCs w:val="22"/>
          <w:lang w:val="nl-NL"/>
        </w:rPr>
        <w:t>kết quả hoạt động kinh doanh</w:t>
      </w:r>
      <w:r w:rsidRPr="00010F83">
        <w:rPr>
          <w:rFonts w:ascii="Arial" w:hAnsi="Arial" w:cs="Arial"/>
          <w:b/>
          <w:bCs/>
          <w:sz w:val="22"/>
          <w:szCs w:val="22"/>
          <w:lang w:val="nl-NL"/>
        </w:rPr>
        <w:t xml:space="preserve">, nếu </w:t>
      </w:r>
      <w:r w:rsidR="00E25814" w:rsidRPr="00010F83">
        <w:rPr>
          <w:rFonts w:ascii="Arial" w:hAnsi="Arial" w:cs="Arial"/>
          <w:b/>
          <w:bCs/>
          <w:sz w:val="22"/>
          <w:szCs w:val="22"/>
          <w:lang w:val="nl-NL"/>
        </w:rPr>
        <w:t>chưa</w:t>
      </w:r>
      <w:r w:rsidRPr="00010F83">
        <w:rPr>
          <w:rFonts w:ascii="Arial" w:hAnsi="Arial" w:cs="Arial"/>
          <w:b/>
          <w:bCs/>
          <w:sz w:val="22"/>
          <w:szCs w:val="22"/>
          <w:lang w:val="nl-NL"/>
        </w:rPr>
        <w:t xml:space="preserve"> được </w:t>
      </w:r>
      <w:r w:rsidR="00E25814" w:rsidRPr="00010F83">
        <w:rPr>
          <w:rFonts w:ascii="Arial" w:hAnsi="Arial" w:cs="Arial"/>
          <w:b/>
          <w:bCs/>
          <w:sz w:val="22"/>
          <w:szCs w:val="22"/>
          <w:lang w:val="nl-NL"/>
        </w:rPr>
        <w:t>thể hiện</w:t>
      </w:r>
      <w:r w:rsidRPr="00010F83">
        <w:rPr>
          <w:rFonts w:ascii="Arial" w:hAnsi="Arial" w:cs="Arial"/>
          <w:b/>
          <w:bCs/>
          <w:sz w:val="22"/>
          <w:szCs w:val="22"/>
          <w:lang w:val="nl-NL"/>
        </w:rPr>
        <w:t xml:space="preserve"> rõ </w:t>
      </w:r>
      <w:r w:rsidR="00400052" w:rsidRPr="00010F83">
        <w:rPr>
          <w:rFonts w:ascii="Arial" w:hAnsi="Arial" w:cs="Arial"/>
          <w:b/>
          <w:bCs/>
          <w:sz w:val="22"/>
          <w:szCs w:val="22"/>
          <w:lang w:val="nl-NL"/>
        </w:rPr>
        <w:t xml:space="preserve">từ các biến động số dư được </w:t>
      </w:r>
      <w:r w:rsidR="00E25814" w:rsidRPr="00010F83">
        <w:rPr>
          <w:rFonts w:ascii="Arial" w:hAnsi="Arial" w:cs="Arial"/>
          <w:b/>
          <w:bCs/>
          <w:sz w:val="22"/>
          <w:szCs w:val="22"/>
          <w:lang w:val="nl-NL"/>
        </w:rPr>
        <w:t>ghi nhận trên</w:t>
      </w:r>
      <w:r w:rsidRPr="00010F83">
        <w:rPr>
          <w:rFonts w:ascii="Arial" w:hAnsi="Arial" w:cs="Arial"/>
          <w:b/>
          <w:bCs/>
          <w:sz w:val="22"/>
          <w:szCs w:val="22"/>
          <w:lang w:val="nl-NL"/>
        </w:rPr>
        <w:t xml:space="preserve"> </w:t>
      </w:r>
      <w:r w:rsidR="00400052" w:rsidRPr="00010F83">
        <w:rPr>
          <w:rFonts w:ascii="Arial" w:hAnsi="Arial" w:cs="Arial"/>
          <w:b/>
          <w:bCs/>
          <w:sz w:val="22"/>
          <w:szCs w:val="22"/>
          <w:lang w:val="nl-NL"/>
        </w:rPr>
        <w:t>Bảng cân đối kế toán</w:t>
      </w:r>
      <w:r w:rsidRPr="00010F83">
        <w:rPr>
          <w:rFonts w:ascii="Arial" w:hAnsi="Arial" w:cs="Arial"/>
          <w:b/>
          <w:bCs/>
          <w:sz w:val="22"/>
          <w:szCs w:val="22"/>
          <w:lang w:val="nl-NL"/>
        </w:rPr>
        <w:t>;</w:t>
      </w:r>
    </w:p>
    <w:p w:rsidR="00C95446" w:rsidRPr="00010F83" w:rsidRDefault="00C95446" w:rsidP="005117B2">
      <w:pPr>
        <w:pStyle w:val="BodyTextIndent"/>
        <w:numPr>
          <w:ilvl w:val="0"/>
          <w:numId w:val="41"/>
        </w:numPr>
        <w:spacing w:before="0" w:after="120" w:line="240" w:lineRule="auto"/>
        <w:ind w:left="1260" w:hanging="540"/>
        <w:rPr>
          <w:rFonts w:ascii="Arial" w:hAnsi="Arial" w:cs="Arial"/>
          <w:b/>
          <w:bCs/>
          <w:sz w:val="22"/>
          <w:szCs w:val="22"/>
          <w:lang w:val="nl-NL"/>
        </w:rPr>
      </w:pPr>
      <w:r w:rsidRPr="00010F83">
        <w:rPr>
          <w:rFonts w:ascii="Arial" w:hAnsi="Arial" w:cs="Arial"/>
          <w:b/>
          <w:bCs/>
          <w:sz w:val="22"/>
          <w:szCs w:val="22"/>
          <w:lang w:val="nl-NL"/>
        </w:rPr>
        <w:t xml:space="preserve">đối với </w:t>
      </w:r>
      <w:r w:rsidR="00400052" w:rsidRPr="00010F83">
        <w:rPr>
          <w:rFonts w:ascii="Arial" w:hAnsi="Arial" w:cs="Arial"/>
          <w:b/>
          <w:bCs/>
          <w:sz w:val="22"/>
          <w:szCs w:val="22"/>
          <w:lang w:val="nl-NL"/>
        </w:rPr>
        <w:t>trường hợp ngừng hoạt động</w:t>
      </w:r>
      <w:r w:rsidRPr="00010F83">
        <w:rPr>
          <w:rFonts w:ascii="Arial" w:hAnsi="Arial" w:cs="Arial"/>
          <w:b/>
          <w:bCs/>
          <w:sz w:val="22"/>
          <w:szCs w:val="22"/>
          <w:lang w:val="nl-NL"/>
        </w:rPr>
        <w:t>, chi phí thuế liên quan tới:</w:t>
      </w:r>
    </w:p>
    <w:p w:rsidR="007D0496" w:rsidRPr="00010F83" w:rsidRDefault="00C95446" w:rsidP="005117B2">
      <w:pPr>
        <w:pStyle w:val="BodyTextIndent"/>
        <w:numPr>
          <w:ilvl w:val="0"/>
          <w:numId w:val="44"/>
        </w:numPr>
        <w:spacing w:before="0" w:after="120" w:line="240" w:lineRule="auto"/>
        <w:ind w:left="1620"/>
        <w:rPr>
          <w:rFonts w:ascii="Arial" w:hAnsi="Arial" w:cs="Arial"/>
          <w:b/>
          <w:bCs/>
          <w:sz w:val="22"/>
          <w:szCs w:val="22"/>
          <w:lang w:val="nl-NL"/>
        </w:rPr>
      </w:pPr>
      <w:r w:rsidRPr="00010F83">
        <w:rPr>
          <w:rFonts w:ascii="Arial" w:hAnsi="Arial" w:cs="Arial"/>
          <w:b/>
          <w:bCs/>
          <w:sz w:val="22"/>
          <w:szCs w:val="22"/>
          <w:lang w:val="nl-NL"/>
        </w:rPr>
        <w:t>Lãi hoặc lỗ do ngừng hoạt động; và</w:t>
      </w:r>
    </w:p>
    <w:p w:rsidR="00C95446" w:rsidRPr="00010F83" w:rsidRDefault="00C95446" w:rsidP="005117B2">
      <w:pPr>
        <w:pStyle w:val="BodyTextIndent"/>
        <w:numPr>
          <w:ilvl w:val="0"/>
          <w:numId w:val="44"/>
        </w:numPr>
        <w:spacing w:before="0" w:after="120" w:line="240" w:lineRule="auto"/>
        <w:ind w:left="1620"/>
        <w:rPr>
          <w:rFonts w:ascii="Arial" w:hAnsi="Arial" w:cs="Arial"/>
          <w:b/>
          <w:bCs/>
          <w:sz w:val="22"/>
          <w:szCs w:val="22"/>
          <w:lang w:val="nl-NL"/>
        </w:rPr>
      </w:pPr>
      <w:r w:rsidRPr="00010F83">
        <w:rPr>
          <w:rFonts w:ascii="Arial" w:hAnsi="Arial" w:cs="Arial"/>
          <w:b/>
          <w:bCs/>
          <w:sz w:val="22"/>
          <w:szCs w:val="22"/>
          <w:lang w:val="nl-NL"/>
        </w:rPr>
        <w:t xml:space="preserve">Lãi hoặc lỗ trong kỳ từ các hoạt động thông thường của bộ phận kinh doanh bị ngừng hoạt động, cùng với các </w:t>
      </w:r>
      <w:r w:rsidR="00E25814" w:rsidRPr="00010F83">
        <w:rPr>
          <w:rFonts w:ascii="Arial" w:hAnsi="Arial" w:cs="Arial"/>
          <w:b/>
          <w:bCs/>
          <w:sz w:val="22"/>
          <w:szCs w:val="22"/>
          <w:lang w:val="nl-NL"/>
        </w:rPr>
        <w:t>số liệu so sánh</w:t>
      </w:r>
      <w:r w:rsidRPr="00010F83">
        <w:rPr>
          <w:rFonts w:ascii="Arial" w:hAnsi="Arial" w:cs="Arial"/>
          <w:b/>
          <w:bCs/>
          <w:sz w:val="22"/>
          <w:szCs w:val="22"/>
          <w:lang w:val="nl-NL"/>
        </w:rPr>
        <w:t xml:space="preserve"> của mỗi kỳ </w:t>
      </w:r>
      <w:r w:rsidR="00E25814" w:rsidRPr="00010F83">
        <w:rPr>
          <w:rFonts w:ascii="Arial" w:hAnsi="Arial" w:cs="Arial"/>
          <w:b/>
          <w:bCs/>
          <w:sz w:val="22"/>
          <w:szCs w:val="22"/>
          <w:lang w:val="nl-NL"/>
        </w:rPr>
        <w:t>so sánh</w:t>
      </w:r>
      <w:r w:rsidRPr="00010F83">
        <w:rPr>
          <w:rFonts w:ascii="Arial" w:hAnsi="Arial" w:cs="Arial"/>
          <w:b/>
          <w:bCs/>
          <w:sz w:val="22"/>
          <w:szCs w:val="22"/>
          <w:lang w:val="nl-NL"/>
        </w:rPr>
        <w:t xml:space="preserve"> trình bày</w:t>
      </w:r>
      <w:r w:rsidR="00E25814" w:rsidRPr="00010F83">
        <w:rPr>
          <w:rFonts w:ascii="Arial" w:hAnsi="Arial" w:cs="Arial"/>
          <w:b/>
          <w:bCs/>
          <w:sz w:val="22"/>
          <w:szCs w:val="22"/>
          <w:lang w:val="nl-NL"/>
        </w:rPr>
        <w:t xml:space="preserve"> trong báo cáo</w:t>
      </w:r>
      <w:r w:rsidRPr="00010F83">
        <w:rPr>
          <w:rFonts w:ascii="Arial" w:hAnsi="Arial" w:cs="Arial"/>
          <w:b/>
          <w:bCs/>
          <w:sz w:val="22"/>
          <w:szCs w:val="22"/>
          <w:lang w:val="nl-NL"/>
        </w:rPr>
        <w:t>.</w:t>
      </w:r>
    </w:p>
    <w:p w:rsidR="007D0496" w:rsidRPr="00010F83" w:rsidRDefault="00E25814" w:rsidP="005117B2">
      <w:pPr>
        <w:pStyle w:val="BodyTextIndent"/>
        <w:numPr>
          <w:ilvl w:val="0"/>
          <w:numId w:val="41"/>
        </w:numPr>
        <w:spacing w:before="0" w:after="120" w:line="240" w:lineRule="auto"/>
        <w:ind w:left="1260" w:hanging="540"/>
        <w:rPr>
          <w:rFonts w:ascii="Arial" w:hAnsi="Arial" w:cs="Arial"/>
          <w:b/>
          <w:bCs/>
          <w:sz w:val="22"/>
          <w:szCs w:val="22"/>
          <w:lang w:val="nl-NL"/>
        </w:rPr>
      </w:pPr>
      <w:r w:rsidRPr="00010F83">
        <w:rPr>
          <w:rFonts w:ascii="Arial" w:hAnsi="Arial" w:cs="Arial"/>
          <w:b/>
          <w:bCs/>
          <w:sz w:val="22"/>
          <w:szCs w:val="22"/>
          <w:lang w:val="nl-NL"/>
        </w:rPr>
        <w:t xml:space="preserve">giá trị </w:t>
      </w:r>
      <w:r w:rsidR="00C95446" w:rsidRPr="00010F83">
        <w:rPr>
          <w:rFonts w:ascii="Arial" w:hAnsi="Arial" w:cs="Arial"/>
          <w:b/>
          <w:bCs/>
          <w:sz w:val="22"/>
          <w:szCs w:val="22"/>
          <w:lang w:val="nl-NL"/>
        </w:rPr>
        <w:t xml:space="preserve">thuế phát sinh do việc chia cổ tức cho các cổ đông của đơn vị được đề xuất hoặc công bố trước khi báo cáo tài chính được phê duyệt phát hành, nhưng </w:t>
      </w:r>
      <w:r w:rsidRPr="00010F83">
        <w:rPr>
          <w:rFonts w:ascii="Arial" w:hAnsi="Arial" w:cs="Arial"/>
          <w:b/>
          <w:bCs/>
          <w:sz w:val="22"/>
          <w:szCs w:val="22"/>
          <w:lang w:val="nl-NL"/>
        </w:rPr>
        <w:t>chưa</w:t>
      </w:r>
      <w:r w:rsidR="00C95446" w:rsidRPr="00010F83">
        <w:rPr>
          <w:rFonts w:ascii="Arial" w:hAnsi="Arial" w:cs="Arial"/>
          <w:b/>
          <w:bCs/>
          <w:sz w:val="22"/>
          <w:szCs w:val="22"/>
          <w:lang w:val="nl-NL"/>
        </w:rPr>
        <w:t xml:space="preserve"> được ghi nhận như một khoản nợ phải trả trên báo cáo tài chính.</w:t>
      </w:r>
    </w:p>
    <w:p w:rsidR="007D0496" w:rsidRPr="00010F83" w:rsidRDefault="00E25814" w:rsidP="005117B2">
      <w:pPr>
        <w:pStyle w:val="BodyTextIndent"/>
        <w:numPr>
          <w:ilvl w:val="0"/>
          <w:numId w:val="41"/>
        </w:numPr>
        <w:spacing w:before="0" w:after="120" w:line="240" w:lineRule="auto"/>
        <w:ind w:left="1260" w:hanging="540"/>
        <w:rPr>
          <w:rFonts w:ascii="Arial" w:hAnsi="Arial" w:cs="Arial"/>
          <w:b/>
          <w:bCs/>
          <w:sz w:val="22"/>
          <w:szCs w:val="22"/>
          <w:lang w:val="nl-NL"/>
        </w:rPr>
      </w:pPr>
      <w:r w:rsidRPr="00010F83">
        <w:rPr>
          <w:rFonts w:ascii="Arial" w:hAnsi="Arial" w:cs="Arial"/>
          <w:b/>
          <w:bCs/>
          <w:sz w:val="22"/>
          <w:szCs w:val="22"/>
          <w:lang w:val="nl-NL"/>
        </w:rPr>
        <w:t>nếu tài sản thuế hoãn lại mà bên mua đã ghi nhận biến động do tác động của một giao dịch hợp nhất kinh doanh, thuyết minh biến động này</w:t>
      </w:r>
      <w:r w:rsidR="00C95446" w:rsidRPr="00010F83">
        <w:rPr>
          <w:rFonts w:ascii="Arial" w:hAnsi="Arial" w:cs="Arial"/>
          <w:b/>
          <w:bCs/>
          <w:sz w:val="22"/>
          <w:szCs w:val="22"/>
          <w:lang w:val="nl-NL"/>
        </w:rPr>
        <w:t xml:space="preserve"> (xem đoạn 67); và</w:t>
      </w:r>
    </w:p>
    <w:p w:rsidR="00C95446" w:rsidRPr="00010F83" w:rsidRDefault="00C95446" w:rsidP="005117B2">
      <w:pPr>
        <w:pStyle w:val="BodyTextIndent"/>
        <w:numPr>
          <w:ilvl w:val="0"/>
          <w:numId w:val="41"/>
        </w:numPr>
        <w:spacing w:before="0" w:after="120" w:line="240" w:lineRule="auto"/>
        <w:ind w:left="1260" w:hanging="540"/>
        <w:rPr>
          <w:rFonts w:ascii="Arial" w:hAnsi="Arial" w:cs="Arial"/>
          <w:b/>
          <w:bCs/>
          <w:sz w:val="22"/>
          <w:szCs w:val="22"/>
          <w:lang w:val="nl-NL"/>
        </w:rPr>
      </w:pPr>
      <w:r w:rsidRPr="00010F83">
        <w:rPr>
          <w:rFonts w:ascii="Arial" w:hAnsi="Arial" w:cs="Arial"/>
          <w:b/>
          <w:bCs/>
          <w:sz w:val="22"/>
          <w:szCs w:val="22"/>
          <w:lang w:val="nl-NL"/>
        </w:rPr>
        <w:t>nếu lợi ích thuế hoãn lại có được từ giao dịch hợp nhất kinh doanh không được ghi nhận tại ngày mua</w:t>
      </w:r>
      <w:r w:rsidR="00E25814" w:rsidRPr="00010F83">
        <w:rPr>
          <w:rFonts w:ascii="Arial" w:hAnsi="Arial" w:cs="Arial"/>
          <w:b/>
          <w:bCs/>
          <w:sz w:val="22"/>
          <w:szCs w:val="22"/>
          <w:lang w:val="nl-NL"/>
        </w:rPr>
        <w:t>,</w:t>
      </w:r>
      <w:r w:rsidRPr="00010F83">
        <w:rPr>
          <w:rFonts w:ascii="Arial" w:hAnsi="Arial" w:cs="Arial"/>
          <w:b/>
          <w:bCs/>
          <w:sz w:val="22"/>
          <w:szCs w:val="22"/>
          <w:lang w:val="nl-NL"/>
        </w:rPr>
        <w:t xml:space="preserve"> </w:t>
      </w:r>
      <w:r w:rsidR="00E25814" w:rsidRPr="00010F83">
        <w:rPr>
          <w:rFonts w:ascii="Arial" w:hAnsi="Arial" w:cs="Arial"/>
          <w:b/>
          <w:bCs/>
          <w:sz w:val="22"/>
          <w:szCs w:val="22"/>
          <w:lang w:val="nl-NL"/>
        </w:rPr>
        <w:t>nhưng</w:t>
      </w:r>
      <w:r w:rsidRPr="00010F83">
        <w:rPr>
          <w:rFonts w:ascii="Arial" w:hAnsi="Arial" w:cs="Arial"/>
          <w:b/>
          <w:bCs/>
          <w:sz w:val="22"/>
          <w:szCs w:val="22"/>
          <w:lang w:val="nl-NL"/>
        </w:rPr>
        <w:t xml:space="preserve"> được ghi nhận sau đó (xem đoạn 68), </w:t>
      </w:r>
      <w:r w:rsidR="00E25814" w:rsidRPr="00010F83">
        <w:rPr>
          <w:rFonts w:ascii="Arial" w:hAnsi="Arial" w:cs="Arial"/>
          <w:b/>
          <w:bCs/>
          <w:sz w:val="22"/>
          <w:szCs w:val="22"/>
          <w:lang w:val="nl-NL"/>
        </w:rPr>
        <w:t xml:space="preserve">thuyết minh </w:t>
      </w:r>
      <w:r w:rsidRPr="00010F83">
        <w:rPr>
          <w:rFonts w:ascii="Arial" w:hAnsi="Arial" w:cs="Arial"/>
          <w:b/>
          <w:bCs/>
          <w:sz w:val="22"/>
          <w:szCs w:val="22"/>
          <w:lang w:val="nl-NL"/>
        </w:rPr>
        <w:t>mô tả các sự kiện và các tình huống thay đổi dẫn đến ghi nhận lợi ích thuế hoãn lại đó.</w:t>
      </w:r>
    </w:p>
    <w:p w:rsidR="00C95446" w:rsidRPr="00010F83" w:rsidRDefault="00C95446" w:rsidP="00590853">
      <w:pPr>
        <w:pStyle w:val="BodyTextIndent"/>
        <w:spacing w:before="0" w:after="120" w:line="240" w:lineRule="auto"/>
        <w:ind w:left="720" w:hanging="720"/>
        <w:rPr>
          <w:rFonts w:ascii="Arial" w:hAnsi="Arial" w:cs="Arial"/>
          <w:b/>
          <w:bCs/>
          <w:sz w:val="22"/>
          <w:szCs w:val="22"/>
          <w:lang w:val="nl-NL"/>
        </w:rPr>
      </w:pPr>
      <w:r w:rsidRPr="00010F83">
        <w:rPr>
          <w:rFonts w:ascii="Arial" w:hAnsi="Arial" w:cs="Arial"/>
          <w:b/>
          <w:bCs/>
          <w:sz w:val="22"/>
          <w:szCs w:val="22"/>
          <w:lang w:val="nl-NL"/>
        </w:rPr>
        <w:t>82</w:t>
      </w:r>
      <w:r w:rsidRPr="00010F83">
        <w:rPr>
          <w:rFonts w:ascii="Arial" w:hAnsi="Arial" w:cs="Arial"/>
          <w:b/>
          <w:bCs/>
          <w:sz w:val="22"/>
          <w:szCs w:val="22"/>
          <w:lang w:val="nl-NL"/>
        </w:rPr>
        <w:tab/>
        <w:t xml:space="preserve">Một đơn vị phải thuyết minh giá trị của </w:t>
      </w:r>
      <w:r w:rsidR="006805F0" w:rsidRPr="00010F83">
        <w:rPr>
          <w:rFonts w:ascii="Arial" w:hAnsi="Arial" w:cs="Arial"/>
          <w:b/>
          <w:bCs/>
          <w:sz w:val="22"/>
          <w:szCs w:val="22"/>
          <w:lang w:val="nl-NL"/>
        </w:rPr>
        <w:t xml:space="preserve">tài sản </w:t>
      </w:r>
      <w:r w:rsidR="00731917" w:rsidRPr="00010F83">
        <w:rPr>
          <w:rFonts w:ascii="Arial" w:hAnsi="Arial" w:cs="Arial"/>
          <w:b/>
          <w:bCs/>
          <w:sz w:val="22"/>
          <w:szCs w:val="22"/>
          <w:lang w:val="nl-NL"/>
        </w:rPr>
        <w:t>thuế TNDN</w:t>
      </w:r>
      <w:r w:rsidR="006805F0" w:rsidRPr="00010F83">
        <w:rPr>
          <w:rFonts w:ascii="Arial" w:hAnsi="Arial" w:cs="Arial"/>
          <w:b/>
          <w:bCs/>
          <w:sz w:val="22"/>
          <w:szCs w:val="22"/>
          <w:lang w:val="nl-NL"/>
        </w:rPr>
        <w:t xml:space="preserve"> hoãn lại</w:t>
      </w:r>
      <w:r w:rsidRPr="00010F83">
        <w:rPr>
          <w:rFonts w:ascii="Arial" w:hAnsi="Arial" w:cs="Arial"/>
          <w:b/>
          <w:bCs/>
          <w:sz w:val="22"/>
          <w:szCs w:val="22"/>
          <w:lang w:val="nl-NL"/>
        </w:rPr>
        <w:t xml:space="preserve"> và bằng chứng cho việc ghi nhận </w:t>
      </w:r>
      <w:r w:rsidR="006805F0" w:rsidRPr="00010F83">
        <w:rPr>
          <w:rFonts w:ascii="Arial" w:hAnsi="Arial" w:cs="Arial"/>
          <w:b/>
          <w:bCs/>
          <w:sz w:val="22"/>
          <w:szCs w:val="22"/>
          <w:lang w:val="nl-NL"/>
        </w:rPr>
        <w:t xml:space="preserve">tài sản </w:t>
      </w:r>
      <w:r w:rsidR="00731917" w:rsidRPr="00010F83">
        <w:rPr>
          <w:rFonts w:ascii="Arial" w:hAnsi="Arial" w:cs="Arial"/>
          <w:b/>
          <w:bCs/>
          <w:sz w:val="22"/>
          <w:szCs w:val="22"/>
          <w:lang w:val="nl-NL"/>
        </w:rPr>
        <w:t>thuế TNDN</w:t>
      </w:r>
      <w:r w:rsidR="006805F0" w:rsidRPr="00010F83">
        <w:rPr>
          <w:rFonts w:ascii="Arial" w:hAnsi="Arial" w:cs="Arial"/>
          <w:b/>
          <w:bCs/>
          <w:sz w:val="22"/>
          <w:szCs w:val="22"/>
          <w:lang w:val="nl-NL"/>
        </w:rPr>
        <w:t xml:space="preserve"> hoãn lại</w:t>
      </w:r>
      <w:r w:rsidRPr="00010F83">
        <w:rPr>
          <w:rFonts w:ascii="Arial" w:hAnsi="Arial" w:cs="Arial"/>
          <w:b/>
          <w:bCs/>
          <w:sz w:val="22"/>
          <w:szCs w:val="22"/>
          <w:lang w:val="nl-NL"/>
        </w:rPr>
        <w:t>, khi:</w:t>
      </w:r>
    </w:p>
    <w:p w:rsidR="005117B2" w:rsidRPr="00010F83" w:rsidRDefault="00C95446" w:rsidP="005117B2">
      <w:pPr>
        <w:pStyle w:val="BodyTextIndent"/>
        <w:numPr>
          <w:ilvl w:val="0"/>
          <w:numId w:val="45"/>
        </w:numPr>
        <w:spacing w:before="0" w:after="120" w:line="240" w:lineRule="auto"/>
        <w:ind w:left="1260" w:hanging="540"/>
        <w:rPr>
          <w:rFonts w:ascii="Arial" w:hAnsi="Arial" w:cs="Arial"/>
          <w:b/>
          <w:bCs/>
          <w:sz w:val="22"/>
          <w:szCs w:val="22"/>
          <w:lang w:val="nl-NL"/>
        </w:rPr>
      </w:pPr>
      <w:r w:rsidRPr="00010F83">
        <w:rPr>
          <w:rFonts w:ascii="Arial" w:hAnsi="Arial" w:cs="Arial"/>
          <w:b/>
          <w:bCs/>
          <w:sz w:val="22"/>
          <w:szCs w:val="22"/>
          <w:lang w:val="nl-NL"/>
        </w:rPr>
        <w:t xml:space="preserve">Việc sử dụng </w:t>
      </w:r>
      <w:r w:rsidR="006805F0" w:rsidRPr="00010F83">
        <w:rPr>
          <w:rFonts w:ascii="Arial" w:hAnsi="Arial" w:cs="Arial"/>
          <w:b/>
          <w:bCs/>
          <w:sz w:val="22"/>
          <w:szCs w:val="22"/>
          <w:lang w:val="nl-NL"/>
        </w:rPr>
        <w:t xml:space="preserve">tài sản </w:t>
      </w:r>
      <w:r w:rsidR="00731917" w:rsidRPr="00010F83">
        <w:rPr>
          <w:rFonts w:ascii="Arial" w:hAnsi="Arial" w:cs="Arial"/>
          <w:b/>
          <w:bCs/>
          <w:sz w:val="22"/>
          <w:szCs w:val="22"/>
          <w:lang w:val="nl-NL"/>
        </w:rPr>
        <w:t>thuế TNDN</w:t>
      </w:r>
      <w:r w:rsidR="006805F0" w:rsidRPr="00010F83">
        <w:rPr>
          <w:rFonts w:ascii="Arial" w:hAnsi="Arial" w:cs="Arial"/>
          <w:b/>
          <w:bCs/>
          <w:sz w:val="22"/>
          <w:szCs w:val="22"/>
          <w:lang w:val="nl-NL"/>
        </w:rPr>
        <w:t xml:space="preserve"> hoãn lại</w:t>
      </w:r>
      <w:r w:rsidRPr="00010F83">
        <w:rPr>
          <w:rFonts w:ascii="Arial" w:hAnsi="Arial" w:cs="Arial"/>
          <w:b/>
          <w:bCs/>
          <w:sz w:val="22"/>
          <w:szCs w:val="22"/>
          <w:lang w:val="nl-NL"/>
        </w:rPr>
        <w:t xml:space="preserve"> phụ thuộc vào lợi nhuận tính thuế trong tương lai vượt quá mức lợi nhuận phát sinh từ việc hoàn nhập các chênh lệch tạm thời chịu thuế hiện tại; và</w:t>
      </w:r>
    </w:p>
    <w:p w:rsidR="005117B2" w:rsidRPr="00010F83" w:rsidRDefault="005117B2">
      <w:pPr>
        <w:rPr>
          <w:rFonts w:ascii="Arial" w:eastAsia="Times New Roman" w:hAnsi="Arial" w:cs="Arial"/>
          <w:bCs/>
          <w:lang w:val="nl-NL"/>
        </w:rPr>
      </w:pPr>
      <w:r w:rsidRPr="00010F83">
        <w:rPr>
          <w:rFonts w:ascii="Arial" w:hAnsi="Arial" w:cs="Arial"/>
          <w:bCs/>
          <w:lang w:val="nl-NL"/>
        </w:rPr>
        <w:br w:type="page"/>
      </w:r>
    </w:p>
    <w:p w:rsidR="007D0496" w:rsidRPr="00010F83" w:rsidRDefault="007D0496" w:rsidP="005117B2">
      <w:pPr>
        <w:pStyle w:val="BodyTextIndent"/>
        <w:spacing w:before="0" w:after="120" w:line="240" w:lineRule="auto"/>
        <w:rPr>
          <w:rFonts w:ascii="Arial" w:hAnsi="Arial" w:cs="Arial"/>
          <w:bCs/>
          <w:sz w:val="22"/>
          <w:szCs w:val="22"/>
          <w:lang w:val="nl-NL"/>
        </w:rPr>
      </w:pPr>
    </w:p>
    <w:p w:rsidR="00C95446" w:rsidRPr="00010F83" w:rsidRDefault="00C95446" w:rsidP="005117B2">
      <w:pPr>
        <w:pStyle w:val="BodyTextIndent"/>
        <w:numPr>
          <w:ilvl w:val="0"/>
          <w:numId w:val="45"/>
        </w:numPr>
        <w:spacing w:before="0" w:after="120" w:line="280" w:lineRule="atLeast"/>
        <w:ind w:left="1260" w:hanging="540"/>
        <w:rPr>
          <w:rFonts w:ascii="Arial" w:hAnsi="Arial" w:cs="Arial"/>
          <w:b/>
          <w:bCs/>
          <w:sz w:val="22"/>
          <w:szCs w:val="22"/>
          <w:lang w:val="nl-NL"/>
        </w:rPr>
      </w:pPr>
      <w:r w:rsidRPr="00010F83">
        <w:rPr>
          <w:rFonts w:ascii="Arial" w:hAnsi="Arial" w:cs="Arial"/>
          <w:b/>
          <w:bCs/>
          <w:sz w:val="22"/>
          <w:szCs w:val="22"/>
          <w:lang w:val="nl-NL"/>
        </w:rPr>
        <w:t xml:space="preserve">Đơn vị chịu lỗ trong kỳ hiện hành hoặc kỳ trước </w:t>
      </w:r>
      <w:r w:rsidR="00162F79" w:rsidRPr="00010F83">
        <w:rPr>
          <w:rFonts w:ascii="Arial" w:hAnsi="Arial" w:cs="Arial"/>
          <w:b/>
          <w:bCs/>
          <w:sz w:val="22"/>
          <w:szCs w:val="22"/>
          <w:lang w:val="nl-NL"/>
        </w:rPr>
        <w:t xml:space="preserve">do quy định về thuế ở </w:t>
      </w:r>
      <w:r w:rsidRPr="00010F83">
        <w:rPr>
          <w:rFonts w:ascii="Arial" w:hAnsi="Arial" w:cs="Arial"/>
          <w:b/>
          <w:bCs/>
          <w:sz w:val="22"/>
          <w:szCs w:val="22"/>
          <w:lang w:val="nl-NL"/>
        </w:rPr>
        <w:t xml:space="preserve"> khu vực về thuế mà </w:t>
      </w:r>
      <w:r w:rsidR="006805F0" w:rsidRPr="00010F83">
        <w:rPr>
          <w:rFonts w:ascii="Arial" w:hAnsi="Arial" w:cs="Arial"/>
          <w:b/>
          <w:bCs/>
          <w:sz w:val="22"/>
          <w:szCs w:val="22"/>
          <w:lang w:val="nl-NL"/>
        </w:rPr>
        <w:t xml:space="preserve">tài sản </w:t>
      </w:r>
      <w:r w:rsidR="00731917" w:rsidRPr="00010F83">
        <w:rPr>
          <w:rFonts w:ascii="Arial" w:hAnsi="Arial" w:cs="Arial"/>
          <w:b/>
          <w:bCs/>
          <w:sz w:val="22"/>
          <w:szCs w:val="22"/>
          <w:lang w:val="nl-NL"/>
        </w:rPr>
        <w:t>thuế TNDN</w:t>
      </w:r>
      <w:r w:rsidR="006805F0" w:rsidRPr="00010F83">
        <w:rPr>
          <w:rFonts w:ascii="Arial" w:hAnsi="Arial" w:cs="Arial"/>
          <w:b/>
          <w:bCs/>
          <w:sz w:val="22"/>
          <w:szCs w:val="22"/>
          <w:lang w:val="nl-NL"/>
        </w:rPr>
        <w:t xml:space="preserve"> hoãn lại</w:t>
      </w:r>
      <w:r w:rsidRPr="00010F83">
        <w:rPr>
          <w:rFonts w:ascii="Arial" w:hAnsi="Arial" w:cs="Arial"/>
          <w:b/>
          <w:bCs/>
          <w:sz w:val="22"/>
          <w:szCs w:val="22"/>
          <w:lang w:val="nl-NL"/>
        </w:rPr>
        <w:t xml:space="preserve"> có liên quan.</w:t>
      </w:r>
    </w:p>
    <w:p w:rsidR="000A4D4A" w:rsidRPr="00010F83" w:rsidRDefault="000A4D4A" w:rsidP="005117B2">
      <w:pPr>
        <w:pStyle w:val="BodyTextIndent"/>
        <w:spacing w:before="0" w:after="120" w:line="280" w:lineRule="atLeast"/>
        <w:ind w:left="720" w:hanging="720"/>
        <w:rPr>
          <w:rFonts w:ascii="Arial" w:hAnsi="Arial" w:cs="Arial"/>
          <w:b/>
          <w:spacing w:val="-4"/>
          <w:sz w:val="22"/>
          <w:szCs w:val="22"/>
          <w:lang w:val="nl-NL"/>
        </w:rPr>
      </w:pPr>
      <w:r w:rsidRPr="00010F83">
        <w:rPr>
          <w:rFonts w:ascii="Arial" w:hAnsi="Arial" w:cs="Arial"/>
          <w:b/>
          <w:spacing w:val="-4"/>
          <w:sz w:val="22"/>
          <w:szCs w:val="22"/>
          <w:lang w:val="nl-NL"/>
        </w:rPr>
        <w:t xml:space="preserve">82A   </w:t>
      </w:r>
      <w:r w:rsidRPr="00010F83">
        <w:rPr>
          <w:rFonts w:ascii="Arial" w:hAnsi="Arial" w:cs="Arial"/>
          <w:b/>
          <w:spacing w:val="-4"/>
          <w:sz w:val="22"/>
          <w:szCs w:val="22"/>
          <w:lang w:val="nl-NL"/>
        </w:rPr>
        <w:tab/>
        <w:t xml:space="preserve">Trong các trường hợp mô tả ở đoạn 52A, đơn vị phải thuyết minh bản chất của các khoản </w:t>
      </w:r>
      <w:r w:rsidR="00731917" w:rsidRPr="00010F83">
        <w:rPr>
          <w:rFonts w:ascii="Arial" w:hAnsi="Arial" w:cs="Arial"/>
          <w:b/>
          <w:spacing w:val="-4"/>
          <w:sz w:val="22"/>
          <w:szCs w:val="22"/>
          <w:lang w:val="nl-NL"/>
        </w:rPr>
        <w:t>thuế TNDN</w:t>
      </w:r>
      <w:r w:rsidRPr="00010F83">
        <w:rPr>
          <w:rFonts w:ascii="Arial" w:hAnsi="Arial" w:cs="Arial"/>
          <w:b/>
          <w:spacing w:val="-4"/>
          <w:sz w:val="22"/>
          <w:szCs w:val="22"/>
          <w:lang w:val="nl-NL"/>
        </w:rPr>
        <w:t xml:space="preserve"> tiềm tàng có thể phát sinh </w:t>
      </w:r>
      <w:r w:rsidR="00C24F3C" w:rsidRPr="00010F83">
        <w:rPr>
          <w:rFonts w:ascii="Arial" w:hAnsi="Arial" w:cs="Arial"/>
          <w:b/>
          <w:spacing w:val="-4"/>
          <w:sz w:val="22"/>
          <w:szCs w:val="22"/>
          <w:lang w:val="nl-NL"/>
        </w:rPr>
        <w:t>từ việc trả</w:t>
      </w:r>
      <w:r w:rsidRPr="00010F83">
        <w:rPr>
          <w:rFonts w:ascii="Arial" w:hAnsi="Arial" w:cs="Arial"/>
          <w:b/>
          <w:spacing w:val="-4"/>
          <w:sz w:val="22"/>
          <w:szCs w:val="22"/>
          <w:lang w:val="nl-NL"/>
        </w:rPr>
        <w:t xml:space="preserve"> cổ tức cho các cổ đông. Ngoài ra, đơn vị cũng phải thuyết minh giá trị khoản </w:t>
      </w:r>
      <w:r w:rsidR="00731917" w:rsidRPr="00010F83">
        <w:rPr>
          <w:rFonts w:ascii="Arial" w:hAnsi="Arial" w:cs="Arial"/>
          <w:b/>
          <w:spacing w:val="-4"/>
          <w:sz w:val="22"/>
          <w:szCs w:val="22"/>
          <w:lang w:val="nl-NL"/>
        </w:rPr>
        <w:t>thuế TNDN</w:t>
      </w:r>
      <w:r w:rsidRPr="00010F83">
        <w:rPr>
          <w:rFonts w:ascii="Arial" w:hAnsi="Arial" w:cs="Arial"/>
          <w:b/>
          <w:spacing w:val="-4"/>
          <w:sz w:val="22"/>
          <w:szCs w:val="22"/>
          <w:lang w:val="nl-NL"/>
        </w:rPr>
        <w:t xml:space="preserve"> tiềm tàng có thể xác định được và </w:t>
      </w:r>
      <w:r w:rsidR="00C24F3C" w:rsidRPr="00010F83">
        <w:rPr>
          <w:rFonts w:ascii="Arial" w:hAnsi="Arial" w:cs="Arial"/>
          <w:b/>
          <w:spacing w:val="-4"/>
          <w:sz w:val="22"/>
          <w:szCs w:val="22"/>
          <w:lang w:val="nl-NL"/>
        </w:rPr>
        <w:t>cả</w:t>
      </w:r>
      <w:r w:rsidRPr="00010F83">
        <w:rPr>
          <w:rFonts w:ascii="Arial" w:hAnsi="Arial" w:cs="Arial"/>
          <w:b/>
          <w:spacing w:val="-4"/>
          <w:sz w:val="22"/>
          <w:szCs w:val="22"/>
          <w:lang w:val="nl-NL"/>
        </w:rPr>
        <w:t xml:space="preserve"> </w:t>
      </w:r>
      <w:r w:rsidR="00C24F3C" w:rsidRPr="00010F83">
        <w:rPr>
          <w:rFonts w:ascii="Arial" w:hAnsi="Arial" w:cs="Arial"/>
          <w:b/>
          <w:spacing w:val="-4"/>
          <w:sz w:val="22"/>
          <w:szCs w:val="22"/>
          <w:lang w:val="nl-NL"/>
        </w:rPr>
        <w:t xml:space="preserve">việc </w:t>
      </w:r>
      <w:r w:rsidRPr="00010F83">
        <w:rPr>
          <w:rFonts w:ascii="Arial" w:hAnsi="Arial" w:cs="Arial"/>
          <w:b/>
          <w:spacing w:val="-4"/>
          <w:sz w:val="22"/>
          <w:szCs w:val="22"/>
          <w:lang w:val="nl-NL"/>
        </w:rPr>
        <w:t xml:space="preserve">các khoản </w:t>
      </w:r>
      <w:r w:rsidR="00731917" w:rsidRPr="00010F83">
        <w:rPr>
          <w:rFonts w:ascii="Arial" w:hAnsi="Arial" w:cs="Arial"/>
          <w:b/>
          <w:spacing w:val="-4"/>
          <w:sz w:val="22"/>
          <w:szCs w:val="22"/>
          <w:lang w:val="nl-NL"/>
        </w:rPr>
        <w:t>thuế TNDN</w:t>
      </w:r>
      <w:r w:rsidRPr="00010F83">
        <w:rPr>
          <w:rFonts w:ascii="Arial" w:hAnsi="Arial" w:cs="Arial"/>
          <w:b/>
          <w:spacing w:val="-4"/>
          <w:sz w:val="22"/>
          <w:szCs w:val="22"/>
          <w:lang w:val="nl-NL"/>
        </w:rPr>
        <w:t xml:space="preserve"> tiềm tàng không thể xác định được</w:t>
      </w:r>
      <w:r w:rsidR="00C24F3C" w:rsidRPr="00010F83">
        <w:rPr>
          <w:rFonts w:ascii="Arial" w:hAnsi="Arial" w:cs="Arial"/>
          <w:b/>
          <w:spacing w:val="-4"/>
          <w:sz w:val="22"/>
          <w:szCs w:val="22"/>
          <w:lang w:val="nl-NL"/>
        </w:rPr>
        <w:t>, nếu có</w:t>
      </w:r>
      <w:r w:rsidRPr="00010F83">
        <w:rPr>
          <w:rFonts w:ascii="Arial" w:hAnsi="Arial" w:cs="Arial"/>
          <w:b/>
          <w:spacing w:val="-4"/>
          <w:sz w:val="22"/>
          <w:szCs w:val="22"/>
          <w:lang w:val="nl-NL"/>
        </w:rPr>
        <w:t>.</w:t>
      </w:r>
    </w:p>
    <w:p w:rsidR="000A4D4A" w:rsidRPr="00010F83" w:rsidRDefault="000A4D4A" w:rsidP="005117B2">
      <w:pPr>
        <w:pStyle w:val="BodyTextIndent"/>
        <w:tabs>
          <w:tab w:val="left" w:pos="720"/>
        </w:tabs>
        <w:spacing w:before="0" w:after="120" w:line="280" w:lineRule="atLeast"/>
        <w:ind w:left="720" w:hanging="720"/>
        <w:rPr>
          <w:rFonts w:ascii="Arial" w:hAnsi="Arial" w:cs="Arial"/>
          <w:spacing w:val="-4"/>
          <w:sz w:val="22"/>
          <w:szCs w:val="22"/>
          <w:lang w:val="nl-NL"/>
        </w:rPr>
      </w:pPr>
      <w:r w:rsidRPr="00010F83">
        <w:rPr>
          <w:rFonts w:ascii="Arial" w:hAnsi="Arial" w:cs="Arial"/>
          <w:spacing w:val="-4"/>
          <w:sz w:val="22"/>
          <w:szCs w:val="22"/>
          <w:lang w:val="nl-NL"/>
        </w:rPr>
        <w:t xml:space="preserve">83 </w:t>
      </w:r>
      <w:r w:rsidRPr="00010F83">
        <w:rPr>
          <w:rFonts w:ascii="Arial" w:hAnsi="Arial" w:cs="Arial"/>
          <w:spacing w:val="-4"/>
          <w:sz w:val="22"/>
          <w:szCs w:val="22"/>
          <w:lang w:val="nl-NL"/>
        </w:rPr>
        <w:tab/>
      </w:r>
      <w:r w:rsidR="00C24F3C" w:rsidRPr="00010F83">
        <w:rPr>
          <w:rFonts w:ascii="Arial" w:hAnsi="Arial" w:cs="Arial"/>
          <w:spacing w:val="-4"/>
          <w:sz w:val="22"/>
          <w:szCs w:val="22"/>
          <w:lang w:val="nl-NL"/>
        </w:rPr>
        <w:t>[</w:t>
      </w:r>
      <w:r w:rsidR="007D0496" w:rsidRPr="00010F83">
        <w:rPr>
          <w:rFonts w:ascii="Arial" w:hAnsi="Arial" w:cs="Arial"/>
          <w:spacing w:val="-4"/>
          <w:sz w:val="22"/>
          <w:szCs w:val="22"/>
          <w:lang w:val="nl-NL"/>
        </w:rPr>
        <w:t>Bỏ đoạn này</w:t>
      </w:r>
      <w:r w:rsidR="00C24F3C" w:rsidRPr="00010F83">
        <w:rPr>
          <w:rFonts w:ascii="Arial" w:hAnsi="Arial" w:cs="Arial"/>
          <w:spacing w:val="-4"/>
          <w:sz w:val="22"/>
          <w:szCs w:val="22"/>
          <w:lang w:val="nl-NL"/>
        </w:rPr>
        <w:t>]</w:t>
      </w:r>
    </w:p>
    <w:p w:rsidR="00EB40BC" w:rsidRPr="00010F83" w:rsidRDefault="00EB40BC" w:rsidP="005117B2">
      <w:pPr>
        <w:pStyle w:val="BodyTextIndent"/>
        <w:spacing w:before="0" w:after="120" w:line="280" w:lineRule="atLeast"/>
        <w:ind w:left="720" w:hanging="720"/>
        <w:rPr>
          <w:rFonts w:ascii="Arial" w:hAnsi="Arial" w:cs="Arial"/>
          <w:spacing w:val="-4"/>
          <w:sz w:val="22"/>
          <w:szCs w:val="22"/>
          <w:lang w:val="nl-NL"/>
        </w:rPr>
      </w:pPr>
      <w:r w:rsidRPr="00010F83">
        <w:rPr>
          <w:rFonts w:ascii="Arial" w:hAnsi="Arial" w:cs="Arial"/>
          <w:spacing w:val="-4"/>
          <w:sz w:val="22"/>
          <w:szCs w:val="22"/>
          <w:lang w:val="nl-NL"/>
        </w:rPr>
        <w:t>84</w:t>
      </w:r>
      <w:r w:rsidRPr="00010F83">
        <w:rPr>
          <w:rFonts w:ascii="Arial" w:hAnsi="Arial" w:cs="Arial"/>
          <w:spacing w:val="-4"/>
          <w:sz w:val="22"/>
          <w:szCs w:val="22"/>
          <w:lang w:val="nl-NL"/>
        </w:rPr>
        <w:tab/>
        <w:t xml:space="preserve">Các thuyết minh theo quy định tại đoạn 81(c) cho phép người sử dụng báo cáo tài chính hiểu được </w:t>
      </w:r>
      <w:r w:rsidR="00162F79" w:rsidRPr="00010F83">
        <w:rPr>
          <w:rFonts w:ascii="Arial" w:hAnsi="Arial" w:cs="Arial"/>
          <w:spacing w:val="-4"/>
          <w:sz w:val="22"/>
          <w:szCs w:val="22"/>
          <w:lang w:val="nl-NL"/>
        </w:rPr>
        <w:t>liệu</w:t>
      </w:r>
      <w:r w:rsidRPr="00010F83">
        <w:rPr>
          <w:rFonts w:ascii="Arial" w:hAnsi="Arial" w:cs="Arial"/>
          <w:spacing w:val="-4"/>
          <w:sz w:val="22"/>
          <w:szCs w:val="22"/>
          <w:lang w:val="nl-NL"/>
        </w:rPr>
        <w:t xml:space="preserve"> mối </w:t>
      </w:r>
      <w:r w:rsidR="00EA34FE" w:rsidRPr="00010F83">
        <w:rPr>
          <w:rFonts w:ascii="Arial" w:hAnsi="Arial" w:cs="Arial"/>
          <w:spacing w:val="-4"/>
          <w:sz w:val="22"/>
          <w:szCs w:val="22"/>
          <w:lang w:val="nl-NL"/>
        </w:rPr>
        <w:t>liên</w:t>
      </w:r>
      <w:r w:rsidRPr="00010F83">
        <w:rPr>
          <w:rFonts w:ascii="Arial" w:hAnsi="Arial" w:cs="Arial"/>
          <w:spacing w:val="-4"/>
          <w:sz w:val="22"/>
          <w:szCs w:val="22"/>
          <w:lang w:val="nl-NL"/>
        </w:rPr>
        <w:t xml:space="preserve"> hệ giữa chi phí (hoặc thu nhập) thuế và lợi nhuận kế toán </w:t>
      </w:r>
      <w:r w:rsidR="00162F79" w:rsidRPr="00010F83">
        <w:rPr>
          <w:rFonts w:ascii="Arial" w:hAnsi="Arial" w:cs="Arial"/>
          <w:spacing w:val="-4"/>
          <w:sz w:val="22"/>
          <w:szCs w:val="22"/>
          <w:lang w:val="nl-NL"/>
        </w:rPr>
        <w:t>là bình thường hay bất thường, và hiểu được</w:t>
      </w:r>
      <w:r w:rsidRPr="00010F83">
        <w:rPr>
          <w:rFonts w:ascii="Arial" w:hAnsi="Arial" w:cs="Arial"/>
          <w:spacing w:val="-4"/>
          <w:sz w:val="22"/>
          <w:szCs w:val="22"/>
          <w:lang w:val="nl-NL"/>
        </w:rPr>
        <w:t xml:space="preserve"> các yếu tố quan trọng có thể ảnh hưởng đến mối </w:t>
      </w:r>
      <w:r w:rsidR="00EA34FE" w:rsidRPr="00010F83">
        <w:rPr>
          <w:rFonts w:ascii="Arial" w:hAnsi="Arial" w:cs="Arial"/>
          <w:spacing w:val="-4"/>
          <w:sz w:val="22"/>
          <w:szCs w:val="22"/>
          <w:lang w:val="nl-NL"/>
        </w:rPr>
        <w:t>liên</w:t>
      </w:r>
      <w:r w:rsidRPr="00010F83">
        <w:rPr>
          <w:rFonts w:ascii="Arial" w:hAnsi="Arial" w:cs="Arial"/>
          <w:spacing w:val="-4"/>
          <w:sz w:val="22"/>
          <w:szCs w:val="22"/>
          <w:lang w:val="nl-NL"/>
        </w:rPr>
        <w:t xml:space="preserve"> hệ này trong tương lai. Mối </w:t>
      </w:r>
      <w:r w:rsidR="00EA34FE" w:rsidRPr="00010F83">
        <w:rPr>
          <w:rFonts w:ascii="Arial" w:hAnsi="Arial" w:cs="Arial"/>
          <w:spacing w:val="-4"/>
          <w:sz w:val="22"/>
          <w:szCs w:val="22"/>
          <w:lang w:val="nl-NL"/>
        </w:rPr>
        <w:t>liên</w:t>
      </w:r>
      <w:r w:rsidRPr="00010F83">
        <w:rPr>
          <w:rFonts w:ascii="Arial" w:hAnsi="Arial" w:cs="Arial"/>
          <w:spacing w:val="-4"/>
          <w:sz w:val="22"/>
          <w:szCs w:val="22"/>
          <w:lang w:val="nl-NL"/>
        </w:rPr>
        <w:t xml:space="preserve"> hệ giữa chi phí (hoặc thu nhập) thuế và lợi nhuận kế toán có thể bị ảnh hưởng bởi các </w:t>
      </w:r>
      <w:r w:rsidR="00EA34FE" w:rsidRPr="00010F83">
        <w:rPr>
          <w:rFonts w:ascii="Arial" w:hAnsi="Arial" w:cs="Arial"/>
          <w:spacing w:val="-4"/>
          <w:sz w:val="22"/>
          <w:szCs w:val="22"/>
          <w:lang w:val="nl-NL"/>
        </w:rPr>
        <w:t>yếu</w:t>
      </w:r>
      <w:r w:rsidRPr="00010F83">
        <w:rPr>
          <w:rFonts w:ascii="Arial" w:hAnsi="Arial" w:cs="Arial"/>
          <w:spacing w:val="-4"/>
          <w:sz w:val="22"/>
          <w:szCs w:val="22"/>
          <w:lang w:val="nl-NL"/>
        </w:rPr>
        <w:t xml:space="preserve"> tố như thu nhập được miễn thuế, chi phí không được khấu trừ khi xác định lợi nhuận tính thuế (lỗ tính thuế), ảnh hưởng của lỗ tính thuế và thuế suất </w:t>
      </w:r>
      <w:r w:rsidR="00EA34FE" w:rsidRPr="00010F83">
        <w:rPr>
          <w:rFonts w:ascii="Arial" w:hAnsi="Arial" w:cs="Arial"/>
          <w:spacing w:val="-4"/>
          <w:sz w:val="22"/>
          <w:szCs w:val="22"/>
          <w:lang w:val="nl-NL"/>
        </w:rPr>
        <w:t xml:space="preserve">áp dụng ở </w:t>
      </w:r>
      <w:r w:rsidRPr="00010F83">
        <w:rPr>
          <w:rFonts w:ascii="Arial" w:hAnsi="Arial" w:cs="Arial"/>
          <w:spacing w:val="-4"/>
          <w:sz w:val="22"/>
          <w:szCs w:val="22"/>
          <w:lang w:val="nl-NL"/>
        </w:rPr>
        <w:t>nước ngoài.</w:t>
      </w:r>
    </w:p>
    <w:p w:rsidR="00EB40BC" w:rsidRPr="00010F83" w:rsidRDefault="00EB40BC" w:rsidP="005117B2">
      <w:pPr>
        <w:pStyle w:val="BodyTextIndent"/>
        <w:spacing w:before="0" w:after="120" w:line="280" w:lineRule="atLeast"/>
        <w:ind w:left="720" w:hanging="720"/>
        <w:rPr>
          <w:rFonts w:ascii="Arial" w:hAnsi="Arial" w:cs="Arial"/>
          <w:spacing w:val="-2"/>
          <w:sz w:val="22"/>
          <w:szCs w:val="22"/>
          <w:lang w:val="nl-NL"/>
        </w:rPr>
      </w:pPr>
      <w:r w:rsidRPr="00010F83">
        <w:rPr>
          <w:rFonts w:ascii="Arial" w:hAnsi="Arial" w:cs="Arial"/>
          <w:sz w:val="22"/>
          <w:szCs w:val="22"/>
          <w:lang w:val="nl-NL"/>
        </w:rPr>
        <w:t>85</w:t>
      </w:r>
      <w:r w:rsidRPr="00010F83">
        <w:rPr>
          <w:rFonts w:ascii="Arial" w:hAnsi="Arial" w:cs="Arial"/>
          <w:sz w:val="22"/>
          <w:szCs w:val="22"/>
          <w:lang w:val="nl-NL"/>
        </w:rPr>
        <w:tab/>
      </w:r>
      <w:r w:rsidR="00EA34FE" w:rsidRPr="00010F83">
        <w:rPr>
          <w:rFonts w:ascii="Arial" w:hAnsi="Arial" w:cs="Arial"/>
          <w:spacing w:val="-2"/>
          <w:sz w:val="22"/>
          <w:szCs w:val="22"/>
          <w:lang w:val="nl-NL"/>
        </w:rPr>
        <w:t>Khi trình bày mối liên</w:t>
      </w:r>
      <w:r w:rsidRPr="00010F83">
        <w:rPr>
          <w:rFonts w:ascii="Arial" w:hAnsi="Arial" w:cs="Arial"/>
          <w:spacing w:val="-2"/>
          <w:sz w:val="22"/>
          <w:szCs w:val="22"/>
          <w:lang w:val="nl-NL"/>
        </w:rPr>
        <w:t xml:space="preserve"> hệ giữa chi phí (hoặc thu nhập) thuế và lợi nhuận kế toán</w:t>
      </w:r>
      <w:r w:rsidR="00EA34FE" w:rsidRPr="00010F83">
        <w:rPr>
          <w:rFonts w:ascii="Arial" w:hAnsi="Arial" w:cs="Arial"/>
          <w:spacing w:val="-2"/>
          <w:sz w:val="22"/>
          <w:szCs w:val="22"/>
          <w:lang w:val="nl-NL"/>
        </w:rPr>
        <w:t xml:space="preserve">, đơn vị sử dụng mức </w:t>
      </w:r>
      <w:r w:rsidRPr="00010F83">
        <w:rPr>
          <w:rFonts w:ascii="Arial" w:hAnsi="Arial" w:cs="Arial"/>
          <w:spacing w:val="-2"/>
          <w:sz w:val="22"/>
          <w:szCs w:val="22"/>
          <w:lang w:val="nl-NL"/>
        </w:rPr>
        <w:t xml:space="preserve">thuế suất </w:t>
      </w:r>
      <w:r w:rsidR="00162F79" w:rsidRPr="00010F83">
        <w:rPr>
          <w:rFonts w:ascii="Arial" w:hAnsi="Arial" w:cs="Arial"/>
          <w:spacing w:val="-2"/>
          <w:sz w:val="22"/>
          <w:szCs w:val="22"/>
          <w:lang w:val="nl-NL"/>
        </w:rPr>
        <w:t xml:space="preserve">sẽ </w:t>
      </w:r>
      <w:r w:rsidR="00EA34FE" w:rsidRPr="00010F83">
        <w:rPr>
          <w:rFonts w:ascii="Arial" w:hAnsi="Arial" w:cs="Arial"/>
          <w:spacing w:val="-2"/>
          <w:sz w:val="22"/>
          <w:szCs w:val="22"/>
          <w:lang w:val="nl-NL"/>
        </w:rPr>
        <w:t>cung cấp thông tin thích hợp</w:t>
      </w:r>
      <w:r w:rsidRPr="00010F83">
        <w:rPr>
          <w:rFonts w:ascii="Arial" w:hAnsi="Arial" w:cs="Arial"/>
          <w:spacing w:val="-2"/>
          <w:sz w:val="22"/>
          <w:szCs w:val="22"/>
          <w:lang w:val="nl-NL"/>
        </w:rPr>
        <w:t xml:space="preserve"> nhất </w:t>
      </w:r>
      <w:r w:rsidR="00EA34FE" w:rsidRPr="00010F83">
        <w:rPr>
          <w:rFonts w:ascii="Arial" w:hAnsi="Arial" w:cs="Arial"/>
          <w:spacing w:val="-2"/>
          <w:sz w:val="22"/>
          <w:szCs w:val="22"/>
          <w:lang w:val="nl-NL"/>
        </w:rPr>
        <w:t>với</w:t>
      </w:r>
      <w:r w:rsidRPr="00010F83">
        <w:rPr>
          <w:rFonts w:ascii="Arial" w:hAnsi="Arial" w:cs="Arial"/>
          <w:spacing w:val="-2"/>
          <w:sz w:val="22"/>
          <w:szCs w:val="22"/>
          <w:lang w:val="nl-NL"/>
        </w:rPr>
        <w:t xml:space="preserve"> người sử dụng báo cáo tài chính của đơn vị. Thông thường, mức thuế suất thích hợp nhất là mức thuế suất nội địa được </w:t>
      </w:r>
      <w:r w:rsidR="00EA34FE" w:rsidRPr="00010F83">
        <w:rPr>
          <w:rFonts w:ascii="Arial" w:hAnsi="Arial" w:cs="Arial"/>
          <w:spacing w:val="-2"/>
          <w:sz w:val="22"/>
          <w:szCs w:val="22"/>
          <w:lang w:val="nl-NL"/>
        </w:rPr>
        <w:t xml:space="preserve">phổ biến </w:t>
      </w:r>
      <w:r w:rsidRPr="00010F83">
        <w:rPr>
          <w:rFonts w:ascii="Arial" w:hAnsi="Arial" w:cs="Arial"/>
          <w:spacing w:val="-2"/>
          <w:sz w:val="22"/>
          <w:szCs w:val="22"/>
          <w:lang w:val="nl-NL"/>
        </w:rPr>
        <w:t xml:space="preserve">áp dụng ở nước mà đơn vị được thành lập, là tổng mức thuế suất áp dụng </w:t>
      </w:r>
      <w:r w:rsidR="00EA34FE" w:rsidRPr="00010F83">
        <w:rPr>
          <w:rFonts w:ascii="Arial" w:hAnsi="Arial" w:cs="Arial"/>
          <w:spacing w:val="-2"/>
          <w:sz w:val="22"/>
          <w:szCs w:val="22"/>
          <w:lang w:val="nl-NL"/>
        </w:rPr>
        <w:t>ở cấp quốc gia</w:t>
      </w:r>
      <w:r w:rsidRPr="00010F83">
        <w:rPr>
          <w:rFonts w:ascii="Arial" w:hAnsi="Arial" w:cs="Arial"/>
          <w:spacing w:val="-2"/>
          <w:sz w:val="22"/>
          <w:szCs w:val="22"/>
          <w:lang w:val="nl-NL"/>
        </w:rPr>
        <w:t xml:space="preserve"> với thuế suất áp dụng tại địa phương</w:t>
      </w:r>
      <w:r w:rsidR="00EA34FE" w:rsidRPr="00010F83">
        <w:rPr>
          <w:rFonts w:ascii="Arial" w:hAnsi="Arial" w:cs="Arial"/>
          <w:spacing w:val="-2"/>
          <w:sz w:val="22"/>
          <w:szCs w:val="22"/>
          <w:lang w:val="nl-NL"/>
        </w:rPr>
        <w:t>, tính trên mức</w:t>
      </w:r>
      <w:r w:rsidRPr="00010F83">
        <w:rPr>
          <w:rFonts w:ascii="Arial" w:hAnsi="Arial" w:cs="Arial"/>
          <w:spacing w:val="-2"/>
          <w:sz w:val="22"/>
          <w:szCs w:val="22"/>
          <w:lang w:val="nl-NL"/>
        </w:rPr>
        <w:t xml:space="preserve"> lợi </w:t>
      </w:r>
      <w:r w:rsidR="007D0496" w:rsidRPr="00010F83">
        <w:rPr>
          <w:rFonts w:ascii="Arial" w:hAnsi="Arial" w:cs="Arial"/>
          <w:spacing w:val="-2"/>
          <w:sz w:val="22"/>
          <w:szCs w:val="22"/>
          <w:lang w:val="nl-NL"/>
        </w:rPr>
        <w:t>nhuận chịu thuế (lỗ tính thuế)</w:t>
      </w:r>
      <w:r w:rsidR="00EA34FE" w:rsidRPr="00010F83">
        <w:rPr>
          <w:rFonts w:ascii="Arial" w:hAnsi="Arial" w:cs="Arial"/>
          <w:spacing w:val="-2"/>
          <w:sz w:val="22"/>
          <w:szCs w:val="22"/>
          <w:lang w:val="nl-NL"/>
        </w:rPr>
        <w:t xml:space="preserve"> tương đồng</w:t>
      </w:r>
      <w:r w:rsidR="007D0496" w:rsidRPr="00010F83">
        <w:rPr>
          <w:rFonts w:ascii="Arial" w:hAnsi="Arial" w:cs="Arial"/>
          <w:spacing w:val="-2"/>
          <w:sz w:val="22"/>
          <w:szCs w:val="22"/>
          <w:lang w:val="nl-NL"/>
        </w:rPr>
        <w:t xml:space="preserve">. </w:t>
      </w:r>
      <w:r w:rsidRPr="00010F83">
        <w:rPr>
          <w:rFonts w:ascii="Arial" w:hAnsi="Arial" w:cs="Arial"/>
          <w:sz w:val="22"/>
          <w:szCs w:val="22"/>
          <w:lang w:val="nl-NL"/>
        </w:rPr>
        <w:t xml:space="preserve">Tuy nhiên, đối với đơn vị hoạt động trên nhiều quốc gia khác nhau, </w:t>
      </w:r>
      <w:r w:rsidR="00EA34FE" w:rsidRPr="00010F83">
        <w:rPr>
          <w:rFonts w:ascii="Arial" w:hAnsi="Arial" w:cs="Arial"/>
          <w:sz w:val="22"/>
          <w:szCs w:val="22"/>
          <w:lang w:val="nl-NL"/>
        </w:rPr>
        <w:t>việc thuyết minh riêng từng</w:t>
      </w:r>
      <w:r w:rsidRPr="00010F83">
        <w:rPr>
          <w:rFonts w:ascii="Arial" w:hAnsi="Arial" w:cs="Arial"/>
          <w:sz w:val="22"/>
          <w:szCs w:val="22"/>
          <w:lang w:val="nl-NL"/>
        </w:rPr>
        <w:t xml:space="preserve"> </w:t>
      </w:r>
      <w:r w:rsidR="00131712" w:rsidRPr="00010F83">
        <w:rPr>
          <w:rFonts w:ascii="Arial" w:hAnsi="Arial" w:cs="Arial"/>
          <w:sz w:val="22"/>
          <w:szCs w:val="22"/>
          <w:lang w:val="nl-NL"/>
        </w:rPr>
        <w:t xml:space="preserve">kết quả </w:t>
      </w:r>
      <w:r w:rsidRPr="00010F83">
        <w:rPr>
          <w:rFonts w:ascii="Arial" w:hAnsi="Arial" w:cs="Arial"/>
          <w:sz w:val="22"/>
          <w:szCs w:val="22"/>
          <w:lang w:val="nl-NL"/>
        </w:rPr>
        <w:t>đối chiếu dựa trên mức thuế nội địa của từng quốc gia</w:t>
      </w:r>
      <w:r w:rsidR="00EA34FE" w:rsidRPr="00010F83">
        <w:rPr>
          <w:rFonts w:ascii="Arial" w:hAnsi="Arial" w:cs="Arial"/>
          <w:sz w:val="22"/>
          <w:szCs w:val="22"/>
          <w:lang w:val="nl-NL"/>
        </w:rPr>
        <w:t xml:space="preserve"> có thể cung cấp thông tin rõ ràng </w:t>
      </w:r>
      <w:r w:rsidR="00131712" w:rsidRPr="00010F83">
        <w:rPr>
          <w:rFonts w:ascii="Arial" w:hAnsi="Arial" w:cs="Arial"/>
          <w:sz w:val="22"/>
          <w:szCs w:val="22"/>
          <w:lang w:val="nl-NL"/>
        </w:rPr>
        <w:t xml:space="preserve">và có ý nghĩa </w:t>
      </w:r>
      <w:r w:rsidR="00EA34FE" w:rsidRPr="00010F83">
        <w:rPr>
          <w:rFonts w:ascii="Arial" w:hAnsi="Arial" w:cs="Arial"/>
          <w:sz w:val="22"/>
          <w:szCs w:val="22"/>
          <w:lang w:val="nl-NL"/>
        </w:rPr>
        <w:t>hơn</w:t>
      </w:r>
      <w:r w:rsidRPr="00010F83">
        <w:rPr>
          <w:rFonts w:ascii="Arial" w:hAnsi="Arial" w:cs="Arial"/>
          <w:sz w:val="22"/>
          <w:szCs w:val="22"/>
          <w:lang w:val="nl-NL"/>
        </w:rPr>
        <w:t>. Ví dụ sau minh họa việc lựa chọn mức thuế áp dụng ảnh hưởng như thế nào đến việc trình bày bảng đối chiếu số liệu:</w:t>
      </w:r>
    </w:p>
    <w:p w:rsidR="006A481C" w:rsidRPr="00010F83" w:rsidRDefault="006A481C" w:rsidP="005117B2">
      <w:pPr>
        <w:spacing w:after="120" w:line="280" w:lineRule="atLeast"/>
        <w:jc w:val="both"/>
        <w:rPr>
          <w:rFonts w:ascii="Arial" w:hAnsi="Arial" w:cs="Arial"/>
          <w:b/>
        </w:rPr>
      </w:pPr>
    </w:p>
    <w:p w:rsidR="005117B2" w:rsidRPr="00010F83" w:rsidRDefault="005117B2">
      <w:pPr>
        <w:rPr>
          <w:rFonts w:ascii="Arial" w:hAnsi="Arial" w:cs="Arial"/>
          <w:b/>
        </w:rPr>
      </w:pPr>
      <w:r w:rsidRPr="00010F83">
        <w:rPr>
          <w:rFonts w:ascii="Arial" w:hAnsi="Arial" w:cs="Arial"/>
          <w:b/>
        </w:rPr>
        <w:br w:type="page"/>
      </w:r>
    </w:p>
    <w:tbl>
      <w:tblPr>
        <w:tblStyle w:val="TableGrid"/>
        <w:tblW w:w="0" w:type="auto"/>
        <w:tblInd w:w="625" w:type="dxa"/>
        <w:tblLook w:val="04A0"/>
      </w:tblPr>
      <w:tblGrid>
        <w:gridCol w:w="8725"/>
      </w:tblGrid>
      <w:tr w:rsidR="006A481C" w:rsidRPr="00010F83" w:rsidTr="005117B2">
        <w:tc>
          <w:tcPr>
            <w:tcW w:w="8725" w:type="dxa"/>
          </w:tcPr>
          <w:p w:rsidR="006A481C" w:rsidRPr="00010F83" w:rsidRDefault="006A481C" w:rsidP="00590853">
            <w:pPr>
              <w:spacing w:after="120"/>
              <w:jc w:val="both"/>
              <w:rPr>
                <w:rFonts w:ascii="Arial" w:hAnsi="Arial" w:cs="Arial"/>
                <w:b/>
              </w:rPr>
            </w:pPr>
            <w:r w:rsidRPr="00010F83">
              <w:rPr>
                <w:rFonts w:ascii="Arial" w:hAnsi="Arial" w:cs="Arial"/>
                <w:b/>
              </w:rPr>
              <w:t>Ví dụ minh họa đoạn 85</w:t>
            </w:r>
          </w:p>
        </w:tc>
      </w:tr>
      <w:tr w:rsidR="006A481C" w:rsidRPr="00010F83" w:rsidTr="005117B2">
        <w:tc>
          <w:tcPr>
            <w:tcW w:w="8725" w:type="dxa"/>
          </w:tcPr>
          <w:p w:rsidR="006A481C" w:rsidRPr="00010F83" w:rsidRDefault="0029498E" w:rsidP="00590853">
            <w:pPr>
              <w:widowControl w:val="0"/>
              <w:kinsoku w:val="0"/>
              <w:overflowPunct w:val="0"/>
              <w:autoSpaceDE w:val="0"/>
              <w:autoSpaceDN w:val="0"/>
              <w:adjustRightInd w:val="0"/>
              <w:spacing w:before="41" w:after="120" w:line="285" w:lineRule="auto"/>
              <w:ind w:left="60" w:right="136"/>
              <w:jc w:val="both"/>
              <w:rPr>
                <w:rFonts w:ascii="Arial" w:eastAsiaTheme="minorEastAsia" w:hAnsi="Arial" w:cs="Arial"/>
                <w:w w:val="105"/>
              </w:rPr>
            </w:pPr>
            <w:r w:rsidRPr="00010F83">
              <w:rPr>
                <w:rFonts w:ascii="Arial" w:eastAsiaTheme="minorEastAsia" w:hAnsi="Arial" w:cs="Arial"/>
                <w:w w:val="105"/>
              </w:rPr>
              <w:t xml:space="preserve">Năm 19X2, </w:t>
            </w:r>
            <w:r w:rsidR="006A481C" w:rsidRPr="00010F83">
              <w:rPr>
                <w:rFonts w:ascii="Arial" w:eastAsiaTheme="minorEastAsia" w:hAnsi="Arial" w:cs="Arial"/>
                <w:w w:val="105"/>
              </w:rPr>
              <w:t xml:space="preserve">đơn vị có lợi nhuận kế toán </w:t>
            </w:r>
            <w:r w:rsidRPr="00010F83">
              <w:rPr>
                <w:rFonts w:ascii="Arial" w:eastAsiaTheme="minorEastAsia" w:hAnsi="Arial" w:cs="Arial"/>
                <w:w w:val="105"/>
              </w:rPr>
              <w:t>tại chính quốc gia thành lập</w:t>
            </w:r>
            <w:r w:rsidR="006A481C" w:rsidRPr="00010F83">
              <w:rPr>
                <w:rFonts w:ascii="Arial" w:eastAsiaTheme="minorEastAsia" w:hAnsi="Arial" w:cs="Arial"/>
                <w:w w:val="105"/>
              </w:rPr>
              <w:t xml:space="preserve"> (quốc gia A) là 1</w:t>
            </w:r>
            <w:r w:rsidR="000B1EC8" w:rsidRPr="00010F83">
              <w:rPr>
                <w:rFonts w:ascii="Arial" w:eastAsiaTheme="minorEastAsia" w:hAnsi="Arial" w:cs="Arial"/>
                <w:w w:val="105"/>
              </w:rPr>
              <w:t>.</w:t>
            </w:r>
            <w:r w:rsidR="006A481C" w:rsidRPr="00010F83">
              <w:rPr>
                <w:rFonts w:ascii="Arial" w:eastAsiaTheme="minorEastAsia" w:hAnsi="Arial" w:cs="Arial"/>
                <w:w w:val="105"/>
              </w:rPr>
              <w:t>500 (19X1: 2</w:t>
            </w:r>
            <w:r w:rsidR="000B1EC8" w:rsidRPr="00010F83">
              <w:rPr>
                <w:rFonts w:ascii="Arial" w:eastAsiaTheme="minorEastAsia" w:hAnsi="Arial" w:cs="Arial"/>
                <w:w w:val="105"/>
              </w:rPr>
              <w:t>.</w:t>
            </w:r>
            <w:r w:rsidR="006A481C" w:rsidRPr="00010F83">
              <w:rPr>
                <w:rFonts w:ascii="Arial" w:eastAsiaTheme="minorEastAsia" w:hAnsi="Arial" w:cs="Arial"/>
                <w:w w:val="105"/>
              </w:rPr>
              <w:t>000) và ở quốc gia B là 1</w:t>
            </w:r>
            <w:r w:rsidR="000B1EC8" w:rsidRPr="00010F83">
              <w:rPr>
                <w:rFonts w:ascii="Arial" w:eastAsiaTheme="minorEastAsia" w:hAnsi="Arial" w:cs="Arial"/>
                <w:w w:val="105"/>
              </w:rPr>
              <w:t>.</w:t>
            </w:r>
            <w:r w:rsidR="006A481C" w:rsidRPr="00010F83">
              <w:rPr>
                <w:rFonts w:ascii="Arial" w:eastAsiaTheme="minorEastAsia" w:hAnsi="Arial" w:cs="Arial"/>
                <w:w w:val="105"/>
              </w:rPr>
              <w:t xml:space="preserve">500 (19X1: 500). Thuế suất là 30% ở quốc gia A và 20% ở quốc gia B. Ở quốc gia A, chi phí </w:t>
            </w:r>
            <w:r w:rsidRPr="00010F83">
              <w:rPr>
                <w:rFonts w:ascii="Arial" w:eastAsiaTheme="minorEastAsia" w:hAnsi="Arial" w:cs="Arial"/>
                <w:w w:val="105"/>
              </w:rPr>
              <w:t xml:space="preserve">không được khấu trừ phát sinh </w:t>
            </w:r>
            <w:r w:rsidR="006A481C" w:rsidRPr="00010F83">
              <w:rPr>
                <w:rFonts w:ascii="Arial" w:eastAsiaTheme="minorEastAsia" w:hAnsi="Arial" w:cs="Arial"/>
                <w:w w:val="105"/>
              </w:rPr>
              <w:t>là 100 (19X1:200).</w:t>
            </w:r>
          </w:p>
          <w:p w:rsidR="006A481C" w:rsidRPr="00010F83" w:rsidRDefault="006A481C" w:rsidP="00590853">
            <w:pPr>
              <w:spacing w:after="120"/>
              <w:jc w:val="both"/>
              <w:rPr>
                <w:rFonts w:ascii="Arial" w:eastAsiaTheme="minorEastAsia" w:hAnsi="Arial" w:cs="Arial"/>
                <w:i/>
                <w:w w:val="105"/>
              </w:rPr>
            </w:pPr>
            <w:r w:rsidRPr="00010F83">
              <w:rPr>
                <w:rFonts w:ascii="Arial" w:eastAsiaTheme="minorEastAsia" w:hAnsi="Arial" w:cs="Arial"/>
                <w:i/>
                <w:w w:val="105"/>
              </w:rPr>
              <w:t>Ví dụ sau minh họa cho việc đối chiếu với thuế suất nội địa.</w:t>
            </w:r>
          </w:p>
          <w:tbl>
            <w:tblPr>
              <w:tblpPr w:leftFromText="180" w:rightFromText="180" w:vertAnchor="text" w:horzAnchor="margin" w:tblpY="120"/>
              <w:tblOverlap w:val="never"/>
              <w:tblW w:w="8419" w:type="dxa"/>
              <w:tblLook w:val="01E0"/>
            </w:tblPr>
            <w:tblGrid>
              <w:gridCol w:w="4459"/>
              <w:gridCol w:w="2070"/>
              <w:gridCol w:w="1890"/>
            </w:tblGrid>
            <w:tr w:rsidR="006A481C" w:rsidRPr="00010F83" w:rsidTr="006A481C">
              <w:tc>
                <w:tcPr>
                  <w:tcW w:w="4459" w:type="dxa"/>
                </w:tcPr>
                <w:p w:rsidR="006A481C" w:rsidRPr="00010F83" w:rsidRDefault="006A481C" w:rsidP="00590853">
                  <w:pPr>
                    <w:pStyle w:val="BodyTextIndent"/>
                    <w:spacing w:before="0" w:after="120" w:line="240" w:lineRule="auto"/>
                    <w:ind w:left="0" w:firstLine="0"/>
                    <w:rPr>
                      <w:rFonts w:ascii="Arial" w:hAnsi="Arial" w:cs="Arial"/>
                      <w:i/>
                      <w:sz w:val="22"/>
                      <w:szCs w:val="22"/>
                      <w:lang w:val="nl-NL"/>
                    </w:rPr>
                  </w:pPr>
                </w:p>
              </w:tc>
              <w:tc>
                <w:tcPr>
                  <w:tcW w:w="2070" w:type="dxa"/>
                </w:tcPr>
                <w:p w:rsidR="006A481C" w:rsidRPr="00010F83" w:rsidRDefault="006A481C" w:rsidP="005117B2">
                  <w:pPr>
                    <w:pStyle w:val="BodyTextIndent"/>
                    <w:spacing w:before="0" w:after="120" w:line="240" w:lineRule="auto"/>
                    <w:ind w:left="0" w:firstLine="0"/>
                    <w:jc w:val="right"/>
                    <w:rPr>
                      <w:rFonts w:ascii="Arial" w:hAnsi="Arial" w:cs="Arial"/>
                      <w:i/>
                      <w:sz w:val="22"/>
                      <w:szCs w:val="22"/>
                      <w:lang w:val="nl-NL"/>
                    </w:rPr>
                  </w:pPr>
                  <w:r w:rsidRPr="00010F83">
                    <w:rPr>
                      <w:rFonts w:ascii="Arial" w:hAnsi="Arial" w:cs="Arial"/>
                      <w:i/>
                      <w:sz w:val="22"/>
                      <w:szCs w:val="22"/>
                      <w:lang w:val="nl-NL"/>
                    </w:rPr>
                    <w:t>19x1</w:t>
                  </w:r>
                </w:p>
              </w:tc>
              <w:tc>
                <w:tcPr>
                  <w:tcW w:w="1890" w:type="dxa"/>
                </w:tcPr>
                <w:p w:rsidR="006A481C" w:rsidRPr="00010F83" w:rsidRDefault="006A481C" w:rsidP="005117B2">
                  <w:pPr>
                    <w:pStyle w:val="BodyTextIndent"/>
                    <w:spacing w:before="0" w:after="120" w:line="240" w:lineRule="auto"/>
                    <w:ind w:left="0" w:firstLine="0"/>
                    <w:jc w:val="right"/>
                    <w:rPr>
                      <w:rFonts w:ascii="Arial" w:hAnsi="Arial" w:cs="Arial"/>
                      <w:i/>
                      <w:sz w:val="22"/>
                      <w:szCs w:val="22"/>
                      <w:lang w:val="nl-NL"/>
                    </w:rPr>
                  </w:pPr>
                  <w:r w:rsidRPr="00010F83">
                    <w:rPr>
                      <w:rFonts w:ascii="Arial" w:hAnsi="Arial" w:cs="Arial"/>
                      <w:i/>
                      <w:sz w:val="22"/>
                      <w:szCs w:val="22"/>
                      <w:lang w:val="nl-NL"/>
                    </w:rPr>
                    <w:t>19x2</w:t>
                  </w:r>
                </w:p>
              </w:tc>
            </w:tr>
            <w:tr w:rsidR="006A481C" w:rsidRPr="00010F83" w:rsidTr="006A481C">
              <w:tc>
                <w:tcPr>
                  <w:tcW w:w="4459" w:type="dxa"/>
                  <w:vAlign w:val="center"/>
                </w:tcPr>
                <w:p w:rsidR="006A481C" w:rsidRPr="00010F83" w:rsidRDefault="006A481C" w:rsidP="00590853">
                  <w:pPr>
                    <w:pStyle w:val="BodyTextIndent"/>
                    <w:spacing w:before="0" w:after="120" w:line="240" w:lineRule="auto"/>
                    <w:ind w:left="0" w:firstLine="0"/>
                    <w:rPr>
                      <w:rFonts w:ascii="Arial" w:hAnsi="Arial" w:cs="Arial"/>
                      <w:i/>
                      <w:sz w:val="22"/>
                      <w:szCs w:val="22"/>
                      <w:lang w:val="nl-NL"/>
                    </w:rPr>
                  </w:pPr>
                  <w:r w:rsidRPr="00010F83">
                    <w:rPr>
                      <w:rFonts w:ascii="Arial" w:hAnsi="Arial" w:cs="Arial"/>
                      <w:i/>
                      <w:sz w:val="22"/>
                      <w:szCs w:val="22"/>
                      <w:lang w:val="nl-NL"/>
                    </w:rPr>
                    <w:t>Lợi nhuận kế toán</w:t>
                  </w:r>
                </w:p>
              </w:tc>
              <w:tc>
                <w:tcPr>
                  <w:tcW w:w="2070" w:type="dxa"/>
                  <w:tcBorders>
                    <w:bottom w:val="thickThinSmallGap" w:sz="24" w:space="0" w:color="auto"/>
                  </w:tcBorders>
                  <w:vAlign w:val="center"/>
                </w:tcPr>
                <w:p w:rsidR="006A481C" w:rsidRPr="00010F83" w:rsidRDefault="006A481C" w:rsidP="005117B2">
                  <w:pPr>
                    <w:pStyle w:val="BodyTextIndent"/>
                    <w:spacing w:before="0" w:after="120" w:line="240" w:lineRule="auto"/>
                    <w:ind w:left="0" w:firstLine="0"/>
                    <w:jc w:val="right"/>
                    <w:rPr>
                      <w:rFonts w:ascii="Arial" w:hAnsi="Arial" w:cs="Arial"/>
                      <w:i/>
                      <w:sz w:val="22"/>
                      <w:szCs w:val="22"/>
                      <w:lang w:val="nl-NL"/>
                    </w:rPr>
                  </w:pPr>
                  <w:r w:rsidRPr="00010F83">
                    <w:rPr>
                      <w:rFonts w:ascii="Arial" w:hAnsi="Arial" w:cs="Arial"/>
                      <w:i/>
                      <w:sz w:val="22"/>
                      <w:szCs w:val="22"/>
                      <w:lang w:val="nl-NL"/>
                    </w:rPr>
                    <w:t>2,500</w:t>
                  </w:r>
                </w:p>
              </w:tc>
              <w:tc>
                <w:tcPr>
                  <w:tcW w:w="1890" w:type="dxa"/>
                  <w:tcBorders>
                    <w:bottom w:val="thickThinSmallGap" w:sz="24" w:space="0" w:color="auto"/>
                  </w:tcBorders>
                  <w:vAlign w:val="center"/>
                </w:tcPr>
                <w:p w:rsidR="006A481C" w:rsidRPr="00010F83" w:rsidRDefault="006A481C" w:rsidP="005117B2">
                  <w:pPr>
                    <w:pStyle w:val="BodyTextIndent"/>
                    <w:spacing w:before="0" w:after="120" w:line="240" w:lineRule="auto"/>
                    <w:ind w:left="0" w:firstLine="0"/>
                    <w:jc w:val="right"/>
                    <w:rPr>
                      <w:rFonts w:ascii="Arial" w:hAnsi="Arial" w:cs="Arial"/>
                      <w:i/>
                      <w:sz w:val="22"/>
                      <w:szCs w:val="22"/>
                      <w:lang w:val="nl-NL"/>
                    </w:rPr>
                  </w:pPr>
                  <w:r w:rsidRPr="00010F83">
                    <w:rPr>
                      <w:rFonts w:ascii="Arial" w:hAnsi="Arial" w:cs="Arial"/>
                      <w:i/>
                      <w:sz w:val="22"/>
                      <w:szCs w:val="22"/>
                      <w:lang w:val="nl-NL"/>
                    </w:rPr>
                    <w:t>3,000</w:t>
                  </w:r>
                </w:p>
              </w:tc>
            </w:tr>
            <w:tr w:rsidR="006A481C" w:rsidRPr="00010F83" w:rsidTr="006A481C">
              <w:tc>
                <w:tcPr>
                  <w:tcW w:w="4459" w:type="dxa"/>
                  <w:vAlign w:val="center"/>
                </w:tcPr>
                <w:p w:rsidR="006A481C" w:rsidRPr="00010F83" w:rsidRDefault="006A481C" w:rsidP="00590853">
                  <w:pPr>
                    <w:pStyle w:val="BodyTextIndent"/>
                    <w:spacing w:before="0" w:after="120" w:line="240" w:lineRule="auto"/>
                    <w:ind w:left="0" w:firstLine="0"/>
                    <w:rPr>
                      <w:rFonts w:ascii="Arial" w:hAnsi="Arial" w:cs="Arial"/>
                      <w:i/>
                      <w:sz w:val="22"/>
                      <w:szCs w:val="22"/>
                      <w:lang w:val="nl-NL"/>
                    </w:rPr>
                  </w:pPr>
                  <w:r w:rsidRPr="00010F83">
                    <w:rPr>
                      <w:rFonts w:ascii="Arial" w:hAnsi="Arial" w:cs="Arial"/>
                      <w:i/>
                      <w:sz w:val="22"/>
                      <w:szCs w:val="22"/>
                      <w:lang w:val="nl-NL"/>
                    </w:rPr>
                    <w:t xml:space="preserve">Thuế </w:t>
                  </w:r>
                  <w:r w:rsidR="0029498E" w:rsidRPr="00010F83">
                    <w:rPr>
                      <w:rFonts w:ascii="Arial" w:hAnsi="Arial" w:cs="Arial"/>
                      <w:i/>
                      <w:sz w:val="22"/>
                      <w:szCs w:val="22"/>
                      <w:lang w:val="nl-NL"/>
                    </w:rPr>
                    <w:t>tính theo</w:t>
                  </w:r>
                  <w:r w:rsidRPr="00010F83">
                    <w:rPr>
                      <w:rFonts w:ascii="Arial" w:hAnsi="Arial" w:cs="Arial"/>
                      <w:i/>
                      <w:sz w:val="22"/>
                      <w:szCs w:val="22"/>
                      <w:lang w:val="nl-NL"/>
                    </w:rPr>
                    <w:t xml:space="preserve"> thuế suất nội địa 30%</w:t>
                  </w:r>
                </w:p>
              </w:tc>
              <w:tc>
                <w:tcPr>
                  <w:tcW w:w="2070" w:type="dxa"/>
                  <w:tcBorders>
                    <w:top w:val="thickThinSmallGap" w:sz="24" w:space="0" w:color="auto"/>
                  </w:tcBorders>
                  <w:vAlign w:val="center"/>
                </w:tcPr>
                <w:p w:rsidR="006A481C" w:rsidRPr="00010F83" w:rsidRDefault="006A481C" w:rsidP="005117B2">
                  <w:pPr>
                    <w:pStyle w:val="BodyTextIndent"/>
                    <w:spacing w:before="0" w:after="120" w:line="240" w:lineRule="auto"/>
                    <w:ind w:left="0" w:firstLine="0"/>
                    <w:jc w:val="right"/>
                    <w:rPr>
                      <w:rFonts w:ascii="Arial" w:hAnsi="Arial" w:cs="Arial"/>
                      <w:i/>
                      <w:sz w:val="22"/>
                      <w:szCs w:val="22"/>
                      <w:lang w:val="nl-NL"/>
                    </w:rPr>
                  </w:pPr>
                  <w:r w:rsidRPr="00010F83">
                    <w:rPr>
                      <w:rFonts w:ascii="Arial" w:hAnsi="Arial" w:cs="Arial"/>
                      <w:i/>
                      <w:sz w:val="22"/>
                      <w:szCs w:val="22"/>
                      <w:lang w:val="nl-NL"/>
                    </w:rPr>
                    <w:t>750</w:t>
                  </w:r>
                </w:p>
              </w:tc>
              <w:tc>
                <w:tcPr>
                  <w:tcW w:w="1890" w:type="dxa"/>
                  <w:tcBorders>
                    <w:top w:val="thickThinSmallGap" w:sz="24" w:space="0" w:color="auto"/>
                  </w:tcBorders>
                  <w:vAlign w:val="center"/>
                </w:tcPr>
                <w:p w:rsidR="006A481C" w:rsidRPr="00010F83" w:rsidRDefault="006A481C" w:rsidP="005117B2">
                  <w:pPr>
                    <w:pStyle w:val="BodyTextIndent"/>
                    <w:spacing w:before="0" w:after="120" w:line="240" w:lineRule="auto"/>
                    <w:ind w:left="0" w:firstLine="0"/>
                    <w:jc w:val="right"/>
                    <w:rPr>
                      <w:rFonts w:ascii="Arial" w:hAnsi="Arial" w:cs="Arial"/>
                      <w:i/>
                      <w:sz w:val="22"/>
                      <w:szCs w:val="22"/>
                      <w:lang w:val="nl-NL"/>
                    </w:rPr>
                  </w:pPr>
                  <w:r w:rsidRPr="00010F83">
                    <w:rPr>
                      <w:rFonts w:ascii="Arial" w:hAnsi="Arial" w:cs="Arial"/>
                      <w:i/>
                      <w:sz w:val="22"/>
                      <w:szCs w:val="22"/>
                      <w:lang w:val="nl-NL"/>
                    </w:rPr>
                    <w:t>900</w:t>
                  </w:r>
                </w:p>
              </w:tc>
            </w:tr>
            <w:tr w:rsidR="006A481C" w:rsidRPr="00010F83" w:rsidTr="006A481C">
              <w:tc>
                <w:tcPr>
                  <w:tcW w:w="4459" w:type="dxa"/>
                  <w:vAlign w:val="center"/>
                </w:tcPr>
                <w:p w:rsidR="006A481C" w:rsidRPr="00010F83" w:rsidRDefault="006A481C" w:rsidP="00590853">
                  <w:pPr>
                    <w:pStyle w:val="BodyTextIndent"/>
                    <w:spacing w:before="0" w:after="120" w:line="240" w:lineRule="auto"/>
                    <w:ind w:left="0" w:firstLine="0"/>
                    <w:rPr>
                      <w:rFonts w:ascii="Arial" w:hAnsi="Arial" w:cs="Arial"/>
                      <w:i/>
                      <w:sz w:val="22"/>
                      <w:szCs w:val="22"/>
                      <w:lang w:val="nl-NL"/>
                    </w:rPr>
                  </w:pPr>
                  <w:r w:rsidRPr="00010F83">
                    <w:rPr>
                      <w:rFonts w:ascii="Arial" w:hAnsi="Arial" w:cs="Arial"/>
                      <w:i/>
                      <w:sz w:val="22"/>
                      <w:szCs w:val="22"/>
                      <w:lang w:val="nl-NL"/>
                    </w:rPr>
                    <w:t>Thuế ảnh hưởng bởi chi phí không được khấu trừ cho mục đích thuế</w:t>
                  </w:r>
                </w:p>
              </w:tc>
              <w:tc>
                <w:tcPr>
                  <w:tcW w:w="2070" w:type="dxa"/>
                  <w:vAlign w:val="center"/>
                </w:tcPr>
                <w:p w:rsidR="006A481C" w:rsidRPr="00010F83" w:rsidRDefault="006A481C" w:rsidP="005117B2">
                  <w:pPr>
                    <w:pStyle w:val="BodyTextIndent"/>
                    <w:spacing w:before="0" w:after="120" w:line="240" w:lineRule="auto"/>
                    <w:ind w:left="0" w:firstLine="0"/>
                    <w:jc w:val="right"/>
                    <w:rPr>
                      <w:rFonts w:ascii="Arial" w:hAnsi="Arial" w:cs="Arial"/>
                      <w:i/>
                      <w:sz w:val="22"/>
                      <w:szCs w:val="22"/>
                      <w:lang w:val="nl-NL"/>
                    </w:rPr>
                  </w:pPr>
                  <w:r w:rsidRPr="00010F83">
                    <w:rPr>
                      <w:rFonts w:ascii="Arial" w:hAnsi="Arial" w:cs="Arial"/>
                      <w:i/>
                      <w:sz w:val="22"/>
                      <w:szCs w:val="22"/>
                      <w:lang w:val="nl-NL"/>
                    </w:rPr>
                    <w:t>60</w:t>
                  </w:r>
                </w:p>
              </w:tc>
              <w:tc>
                <w:tcPr>
                  <w:tcW w:w="1890" w:type="dxa"/>
                  <w:vAlign w:val="center"/>
                </w:tcPr>
                <w:p w:rsidR="006A481C" w:rsidRPr="00010F83" w:rsidRDefault="006A481C" w:rsidP="005117B2">
                  <w:pPr>
                    <w:pStyle w:val="BodyTextIndent"/>
                    <w:spacing w:before="0" w:after="120" w:line="240" w:lineRule="auto"/>
                    <w:ind w:left="0" w:firstLine="0"/>
                    <w:jc w:val="right"/>
                    <w:rPr>
                      <w:rFonts w:ascii="Arial" w:hAnsi="Arial" w:cs="Arial"/>
                      <w:i/>
                      <w:sz w:val="22"/>
                      <w:szCs w:val="22"/>
                      <w:lang w:val="nl-NL"/>
                    </w:rPr>
                  </w:pPr>
                  <w:r w:rsidRPr="00010F83">
                    <w:rPr>
                      <w:rFonts w:ascii="Arial" w:hAnsi="Arial" w:cs="Arial"/>
                      <w:i/>
                      <w:sz w:val="22"/>
                      <w:szCs w:val="22"/>
                      <w:lang w:val="nl-NL"/>
                    </w:rPr>
                    <w:t>30</w:t>
                  </w:r>
                </w:p>
              </w:tc>
            </w:tr>
            <w:tr w:rsidR="006A481C" w:rsidRPr="00010F83" w:rsidTr="006A481C">
              <w:tc>
                <w:tcPr>
                  <w:tcW w:w="4459" w:type="dxa"/>
                  <w:vAlign w:val="center"/>
                </w:tcPr>
                <w:p w:rsidR="006A481C" w:rsidRPr="00010F83" w:rsidRDefault="006A481C" w:rsidP="00590853">
                  <w:pPr>
                    <w:pStyle w:val="BodyTextIndent"/>
                    <w:spacing w:before="0" w:after="120" w:line="240" w:lineRule="auto"/>
                    <w:ind w:left="0" w:firstLine="0"/>
                    <w:rPr>
                      <w:rFonts w:ascii="Arial" w:hAnsi="Arial" w:cs="Arial"/>
                      <w:i/>
                      <w:sz w:val="22"/>
                      <w:szCs w:val="22"/>
                      <w:lang w:val="nl-NL"/>
                    </w:rPr>
                  </w:pPr>
                  <w:r w:rsidRPr="00010F83">
                    <w:rPr>
                      <w:rFonts w:ascii="Arial" w:hAnsi="Arial" w:cs="Arial"/>
                      <w:i/>
                      <w:sz w:val="22"/>
                      <w:szCs w:val="22"/>
                      <w:lang w:val="nl-NL"/>
                    </w:rPr>
                    <w:t>Ảnh hưởng của mức thuế suất thấp hơn ở Quốc Gia B</w:t>
                  </w:r>
                </w:p>
              </w:tc>
              <w:tc>
                <w:tcPr>
                  <w:tcW w:w="2070" w:type="dxa"/>
                  <w:tcBorders>
                    <w:bottom w:val="single" w:sz="12" w:space="0" w:color="auto"/>
                  </w:tcBorders>
                  <w:vAlign w:val="center"/>
                </w:tcPr>
                <w:p w:rsidR="006A481C" w:rsidRPr="00010F83" w:rsidRDefault="006A481C" w:rsidP="005117B2">
                  <w:pPr>
                    <w:pStyle w:val="BodyTextIndent"/>
                    <w:spacing w:before="0" w:after="120" w:line="240" w:lineRule="auto"/>
                    <w:ind w:left="0" w:firstLine="0"/>
                    <w:jc w:val="right"/>
                    <w:rPr>
                      <w:rFonts w:ascii="Arial" w:hAnsi="Arial" w:cs="Arial"/>
                      <w:i/>
                      <w:sz w:val="22"/>
                      <w:szCs w:val="22"/>
                      <w:lang w:val="nl-NL"/>
                    </w:rPr>
                  </w:pPr>
                  <w:r w:rsidRPr="00010F83">
                    <w:rPr>
                      <w:rFonts w:ascii="Arial" w:hAnsi="Arial" w:cs="Arial"/>
                      <w:i/>
                      <w:sz w:val="22"/>
                      <w:szCs w:val="22"/>
                      <w:lang w:val="nl-NL"/>
                    </w:rPr>
                    <w:t>(50)</w:t>
                  </w:r>
                </w:p>
              </w:tc>
              <w:tc>
                <w:tcPr>
                  <w:tcW w:w="1890" w:type="dxa"/>
                  <w:tcBorders>
                    <w:bottom w:val="single" w:sz="12" w:space="0" w:color="auto"/>
                  </w:tcBorders>
                  <w:vAlign w:val="center"/>
                </w:tcPr>
                <w:p w:rsidR="006A481C" w:rsidRPr="00010F83" w:rsidRDefault="006A481C" w:rsidP="005117B2">
                  <w:pPr>
                    <w:pStyle w:val="BodyTextIndent"/>
                    <w:spacing w:before="0" w:after="120" w:line="240" w:lineRule="auto"/>
                    <w:ind w:left="0" w:firstLine="0"/>
                    <w:jc w:val="right"/>
                    <w:rPr>
                      <w:rFonts w:ascii="Arial" w:hAnsi="Arial" w:cs="Arial"/>
                      <w:i/>
                      <w:sz w:val="22"/>
                      <w:szCs w:val="22"/>
                      <w:lang w:val="nl-NL"/>
                    </w:rPr>
                  </w:pPr>
                  <w:r w:rsidRPr="00010F83">
                    <w:rPr>
                      <w:rFonts w:ascii="Arial" w:hAnsi="Arial" w:cs="Arial"/>
                      <w:i/>
                      <w:sz w:val="22"/>
                      <w:szCs w:val="22"/>
                      <w:lang w:val="nl-NL"/>
                    </w:rPr>
                    <w:t>(150)</w:t>
                  </w:r>
                </w:p>
              </w:tc>
            </w:tr>
            <w:tr w:rsidR="006A481C" w:rsidRPr="00010F83" w:rsidTr="006A481C">
              <w:tc>
                <w:tcPr>
                  <w:tcW w:w="4459" w:type="dxa"/>
                  <w:vAlign w:val="center"/>
                </w:tcPr>
                <w:p w:rsidR="006A481C" w:rsidRPr="00010F83" w:rsidRDefault="006A481C" w:rsidP="00590853">
                  <w:pPr>
                    <w:pStyle w:val="BodyTextIndent"/>
                    <w:spacing w:before="0" w:after="120" w:line="240" w:lineRule="auto"/>
                    <w:ind w:left="0" w:firstLine="0"/>
                    <w:rPr>
                      <w:rFonts w:ascii="Arial" w:hAnsi="Arial" w:cs="Arial"/>
                      <w:i/>
                      <w:sz w:val="22"/>
                      <w:szCs w:val="22"/>
                      <w:lang w:val="nl-NL"/>
                    </w:rPr>
                  </w:pPr>
                  <w:r w:rsidRPr="00010F83">
                    <w:rPr>
                      <w:rFonts w:ascii="Arial" w:hAnsi="Arial" w:cs="Arial"/>
                      <w:i/>
                      <w:sz w:val="22"/>
                      <w:szCs w:val="22"/>
                      <w:lang w:val="nl-NL"/>
                    </w:rPr>
                    <w:t>Chi phí thuế</w:t>
                  </w:r>
                </w:p>
              </w:tc>
              <w:tc>
                <w:tcPr>
                  <w:tcW w:w="2070" w:type="dxa"/>
                  <w:tcBorders>
                    <w:top w:val="single" w:sz="12" w:space="0" w:color="auto"/>
                    <w:bottom w:val="thickThinSmallGap" w:sz="24" w:space="0" w:color="auto"/>
                  </w:tcBorders>
                  <w:vAlign w:val="center"/>
                </w:tcPr>
                <w:p w:rsidR="006A481C" w:rsidRPr="00010F83" w:rsidRDefault="006A481C" w:rsidP="005117B2">
                  <w:pPr>
                    <w:pStyle w:val="BodyTextIndent"/>
                    <w:spacing w:before="0" w:after="120" w:line="240" w:lineRule="auto"/>
                    <w:ind w:left="0" w:firstLine="0"/>
                    <w:jc w:val="right"/>
                    <w:rPr>
                      <w:rFonts w:ascii="Arial" w:hAnsi="Arial" w:cs="Arial"/>
                      <w:i/>
                      <w:sz w:val="22"/>
                      <w:szCs w:val="22"/>
                      <w:lang w:val="nl-NL"/>
                    </w:rPr>
                  </w:pPr>
                  <w:r w:rsidRPr="00010F83">
                    <w:rPr>
                      <w:rFonts w:ascii="Arial" w:hAnsi="Arial" w:cs="Arial"/>
                      <w:i/>
                      <w:sz w:val="22"/>
                      <w:szCs w:val="22"/>
                      <w:lang w:val="nl-NL"/>
                    </w:rPr>
                    <w:t>760</w:t>
                  </w:r>
                </w:p>
              </w:tc>
              <w:tc>
                <w:tcPr>
                  <w:tcW w:w="1890" w:type="dxa"/>
                  <w:tcBorders>
                    <w:top w:val="single" w:sz="12" w:space="0" w:color="auto"/>
                    <w:bottom w:val="thickThinSmallGap" w:sz="24" w:space="0" w:color="auto"/>
                  </w:tcBorders>
                  <w:vAlign w:val="center"/>
                </w:tcPr>
                <w:p w:rsidR="006A481C" w:rsidRPr="00010F83" w:rsidRDefault="006A481C" w:rsidP="005117B2">
                  <w:pPr>
                    <w:pStyle w:val="BodyTextIndent"/>
                    <w:spacing w:before="0" w:after="120" w:line="240" w:lineRule="auto"/>
                    <w:ind w:left="0" w:firstLine="0"/>
                    <w:jc w:val="right"/>
                    <w:rPr>
                      <w:rFonts w:ascii="Arial" w:hAnsi="Arial" w:cs="Arial"/>
                      <w:i/>
                      <w:sz w:val="22"/>
                      <w:szCs w:val="22"/>
                      <w:lang w:val="nl-NL"/>
                    </w:rPr>
                  </w:pPr>
                  <w:r w:rsidRPr="00010F83">
                    <w:rPr>
                      <w:rFonts w:ascii="Arial" w:hAnsi="Arial" w:cs="Arial"/>
                      <w:i/>
                      <w:sz w:val="22"/>
                      <w:szCs w:val="22"/>
                      <w:lang w:val="nl-NL"/>
                    </w:rPr>
                    <w:t>780</w:t>
                  </w:r>
                </w:p>
              </w:tc>
            </w:tr>
          </w:tbl>
          <w:p w:rsidR="0029498E" w:rsidRPr="00010F83" w:rsidRDefault="0029498E" w:rsidP="00590853">
            <w:pPr>
              <w:spacing w:after="120"/>
              <w:jc w:val="both"/>
              <w:rPr>
                <w:rFonts w:ascii="Arial" w:eastAsiaTheme="minorEastAsia" w:hAnsi="Arial" w:cs="Arial"/>
                <w:i/>
                <w:w w:val="105"/>
              </w:rPr>
            </w:pPr>
          </w:p>
          <w:p w:rsidR="006A481C" w:rsidRPr="00010F83" w:rsidRDefault="006A481C" w:rsidP="00590853">
            <w:pPr>
              <w:spacing w:after="120"/>
              <w:jc w:val="both"/>
              <w:rPr>
                <w:rFonts w:ascii="Arial" w:eastAsiaTheme="minorEastAsia" w:hAnsi="Arial" w:cs="Arial"/>
                <w:i/>
                <w:w w:val="105"/>
              </w:rPr>
            </w:pPr>
            <w:r w:rsidRPr="00010F83">
              <w:rPr>
                <w:rFonts w:ascii="Arial" w:eastAsiaTheme="minorEastAsia" w:hAnsi="Arial" w:cs="Arial"/>
                <w:i/>
                <w:w w:val="105"/>
              </w:rPr>
              <w:t>Sau đây là ví dụ cho việc đối chiếu được lập bằng cách tổng hợp các bảng đối chiếu riêng rẽ cho từng quốc gia. Theo phương pháp này, ảnh hưởng của sự khác biệt giữa mức thuế suất nội địa của chính đơn vị báo cáo và mức thuế suất nội địa tại các khu vực pháp lý khác sẽ không được thể hiện như một khoản mụ</w:t>
            </w:r>
            <w:r w:rsidR="0029498E" w:rsidRPr="00010F83">
              <w:rPr>
                <w:rFonts w:ascii="Arial" w:eastAsiaTheme="minorEastAsia" w:hAnsi="Arial" w:cs="Arial"/>
                <w:i/>
                <w:w w:val="105"/>
              </w:rPr>
              <w:t xml:space="preserve">c </w:t>
            </w:r>
            <w:r w:rsidRPr="00010F83">
              <w:rPr>
                <w:rFonts w:ascii="Arial" w:eastAsiaTheme="minorEastAsia" w:hAnsi="Arial" w:cs="Arial"/>
                <w:i/>
                <w:w w:val="105"/>
              </w:rPr>
              <w:t xml:space="preserve">trong đối chiếu. Đơn vị cần phải </w:t>
            </w:r>
            <w:r w:rsidR="0029498E" w:rsidRPr="00010F83">
              <w:rPr>
                <w:rFonts w:ascii="Arial" w:eastAsiaTheme="minorEastAsia" w:hAnsi="Arial" w:cs="Arial"/>
                <w:i/>
                <w:w w:val="105"/>
              </w:rPr>
              <w:t>trình bày</w:t>
            </w:r>
            <w:r w:rsidRPr="00010F83">
              <w:rPr>
                <w:rFonts w:ascii="Arial" w:eastAsiaTheme="minorEastAsia" w:hAnsi="Arial" w:cs="Arial"/>
                <w:i/>
                <w:w w:val="105"/>
              </w:rPr>
              <w:t xml:space="preserve"> mức</w:t>
            </w:r>
            <w:r w:rsidR="00131712" w:rsidRPr="00010F83">
              <w:rPr>
                <w:rFonts w:ascii="Arial" w:eastAsiaTheme="minorEastAsia" w:hAnsi="Arial" w:cs="Arial"/>
                <w:i/>
                <w:w w:val="105"/>
              </w:rPr>
              <w:t xml:space="preserve"> độ</w:t>
            </w:r>
            <w:r w:rsidRPr="00010F83">
              <w:rPr>
                <w:rFonts w:ascii="Arial" w:eastAsiaTheme="minorEastAsia" w:hAnsi="Arial" w:cs="Arial"/>
                <w:i/>
                <w:w w:val="105"/>
              </w:rPr>
              <w:t xml:space="preserve"> ảnh hưởng của việc thay đổi đáng kể trong thuế suất, hoặc </w:t>
            </w:r>
            <w:r w:rsidR="0029498E" w:rsidRPr="00010F83">
              <w:rPr>
                <w:rFonts w:ascii="Arial" w:eastAsiaTheme="minorEastAsia" w:hAnsi="Arial" w:cs="Arial"/>
                <w:i/>
                <w:w w:val="105"/>
              </w:rPr>
              <w:t xml:space="preserve">tổng hợp </w:t>
            </w:r>
            <w:r w:rsidRPr="00010F83">
              <w:rPr>
                <w:rFonts w:ascii="Arial" w:eastAsiaTheme="minorEastAsia" w:hAnsi="Arial" w:cs="Arial"/>
                <w:i/>
                <w:w w:val="105"/>
              </w:rPr>
              <w:t>lợi nhuận thu được từ các khu vực pháp lý khác nhau, để giải thích những thay đổi trong mức thuế suất được áp dụng, theo yêu cầu của đoạn 81(d).</w:t>
            </w:r>
          </w:p>
          <w:tbl>
            <w:tblPr>
              <w:tblW w:w="8239" w:type="dxa"/>
              <w:tblLook w:val="01E0"/>
            </w:tblPr>
            <w:tblGrid>
              <w:gridCol w:w="4189"/>
              <w:gridCol w:w="2070"/>
              <w:gridCol w:w="1980"/>
            </w:tblGrid>
            <w:tr w:rsidR="006A481C" w:rsidRPr="00010F83" w:rsidTr="005117B2">
              <w:trPr>
                <w:trHeight w:val="344"/>
              </w:trPr>
              <w:tc>
                <w:tcPr>
                  <w:tcW w:w="4189" w:type="dxa"/>
                </w:tcPr>
                <w:p w:rsidR="006A481C" w:rsidRPr="00010F83" w:rsidRDefault="006A481C" w:rsidP="00590853">
                  <w:pPr>
                    <w:pStyle w:val="BodyTextIndent"/>
                    <w:spacing w:before="0" w:after="120" w:line="240" w:lineRule="auto"/>
                    <w:ind w:left="0" w:right="-6" w:firstLine="0"/>
                    <w:rPr>
                      <w:rFonts w:ascii="Arial" w:hAnsi="Arial" w:cs="Arial"/>
                      <w:i/>
                      <w:sz w:val="22"/>
                      <w:szCs w:val="22"/>
                      <w:lang w:val="nl-NL"/>
                    </w:rPr>
                  </w:pPr>
                  <w:r w:rsidRPr="00010F83">
                    <w:rPr>
                      <w:rFonts w:ascii="Arial" w:hAnsi="Arial" w:cs="Arial"/>
                      <w:i/>
                      <w:sz w:val="22"/>
                      <w:szCs w:val="22"/>
                      <w:lang w:val="nl-NL"/>
                    </w:rPr>
                    <w:t>Lợi nhuận kế toán</w:t>
                  </w:r>
                </w:p>
              </w:tc>
              <w:tc>
                <w:tcPr>
                  <w:tcW w:w="2070" w:type="dxa"/>
                  <w:tcBorders>
                    <w:bottom w:val="thickThinSmallGap" w:sz="24" w:space="0" w:color="auto"/>
                  </w:tcBorders>
                </w:tcPr>
                <w:p w:rsidR="006A481C" w:rsidRPr="00010F83" w:rsidRDefault="006A481C" w:rsidP="005117B2">
                  <w:pPr>
                    <w:pStyle w:val="BodyTextIndent"/>
                    <w:tabs>
                      <w:tab w:val="center" w:pos="792"/>
                      <w:tab w:val="left" w:pos="1440"/>
                    </w:tabs>
                    <w:spacing w:before="0" w:after="120" w:line="240" w:lineRule="auto"/>
                    <w:ind w:left="0" w:firstLine="0"/>
                    <w:jc w:val="right"/>
                    <w:rPr>
                      <w:rFonts w:ascii="Arial" w:hAnsi="Arial" w:cs="Arial"/>
                      <w:i/>
                      <w:sz w:val="22"/>
                      <w:szCs w:val="22"/>
                      <w:lang w:val="nl-NL"/>
                    </w:rPr>
                  </w:pPr>
                  <w:r w:rsidRPr="00010F83">
                    <w:rPr>
                      <w:rFonts w:ascii="Arial" w:hAnsi="Arial" w:cs="Arial"/>
                      <w:i/>
                      <w:sz w:val="22"/>
                      <w:szCs w:val="22"/>
                      <w:lang w:val="nl-NL"/>
                    </w:rPr>
                    <w:tab/>
                    <w:t>2,500</w:t>
                  </w:r>
                </w:p>
              </w:tc>
              <w:tc>
                <w:tcPr>
                  <w:tcW w:w="1980" w:type="dxa"/>
                  <w:tcBorders>
                    <w:bottom w:val="thickThinSmallGap" w:sz="24" w:space="0" w:color="auto"/>
                  </w:tcBorders>
                </w:tcPr>
                <w:p w:rsidR="006A481C" w:rsidRPr="00010F83" w:rsidRDefault="006A481C" w:rsidP="005117B2">
                  <w:pPr>
                    <w:pStyle w:val="BodyTextIndent"/>
                    <w:spacing w:before="0" w:after="120" w:line="240" w:lineRule="auto"/>
                    <w:ind w:left="0" w:firstLine="0"/>
                    <w:jc w:val="right"/>
                    <w:rPr>
                      <w:rFonts w:ascii="Arial" w:hAnsi="Arial" w:cs="Arial"/>
                      <w:i/>
                      <w:sz w:val="22"/>
                      <w:szCs w:val="22"/>
                      <w:lang w:val="nl-NL"/>
                    </w:rPr>
                  </w:pPr>
                  <w:r w:rsidRPr="00010F83">
                    <w:rPr>
                      <w:rFonts w:ascii="Arial" w:hAnsi="Arial" w:cs="Arial"/>
                      <w:i/>
                      <w:sz w:val="22"/>
                      <w:szCs w:val="22"/>
                      <w:lang w:val="nl-NL"/>
                    </w:rPr>
                    <w:t>3,000</w:t>
                  </w:r>
                </w:p>
              </w:tc>
            </w:tr>
            <w:tr w:rsidR="006A481C" w:rsidRPr="00010F83" w:rsidTr="005117B2">
              <w:trPr>
                <w:trHeight w:val="344"/>
              </w:trPr>
              <w:tc>
                <w:tcPr>
                  <w:tcW w:w="4189" w:type="dxa"/>
                </w:tcPr>
                <w:p w:rsidR="006A481C" w:rsidRPr="00010F83" w:rsidRDefault="006A481C" w:rsidP="00590853">
                  <w:pPr>
                    <w:pStyle w:val="BodyTextIndent"/>
                    <w:spacing w:before="0" w:after="120" w:line="240" w:lineRule="auto"/>
                    <w:ind w:left="0" w:firstLine="0"/>
                    <w:rPr>
                      <w:rFonts w:ascii="Arial" w:hAnsi="Arial" w:cs="Arial"/>
                      <w:i/>
                      <w:sz w:val="22"/>
                      <w:szCs w:val="22"/>
                      <w:lang w:val="nl-NL"/>
                    </w:rPr>
                  </w:pPr>
                  <w:r w:rsidRPr="00010F83">
                    <w:rPr>
                      <w:rFonts w:ascii="Arial" w:hAnsi="Arial" w:cs="Arial"/>
                      <w:i/>
                      <w:sz w:val="22"/>
                      <w:szCs w:val="22"/>
                      <w:lang w:val="nl-NL"/>
                    </w:rPr>
                    <w:t xml:space="preserve">Thuế áp dụng với mức thuế </w:t>
                  </w:r>
                  <w:r w:rsidR="00131712" w:rsidRPr="00010F83">
                    <w:rPr>
                      <w:rFonts w:ascii="Arial" w:hAnsi="Arial" w:cs="Arial"/>
                      <w:i/>
                      <w:sz w:val="22"/>
                      <w:szCs w:val="22"/>
                      <w:lang w:val="nl-NL"/>
                    </w:rPr>
                    <w:t>suất nội địa đối với lợi nhuận từ</w:t>
                  </w:r>
                  <w:r w:rsidRPr="00010F83">
                    <w:rPr>
                      <w:rFonts w:ascii="Arial" w:hAnsi="Arial" w:cs="Arial"/>
                      <w:i/>
                      <w:sz w:val="22"/>
                      <w:szCs w:val="22"/>
                      <w:lang w:val="nl-NL"/>
                    </w:rPr>
                    <w:t xml:space="preserve"> </w:t>
                  </w:r>
                  <w:r w:rsidR="0029498E" w:rsidRPr="00010F83">
                    <w:rPr>
                      <w:rFonts w:ascii="Arial" w:hAnsi="Arial" w:cs="Arial"/>
                      <w:i/>
                      <w:sz w:val="22"/>
                      <w:szCs w:val="22"/>
                      <w:lang w:val="nl-NL"/>
                    </w:rPr>
                    <w:t>từng</w:t>
                  </w:r>
                  <w:r w:rsidRPr="00010F83">
                    <w:rPr>
                      <w:rFonts w:ascii="Arial" w:hAnsi="Arial" w:cs="Arial"/>
                      <w:i/>
                      <w:sz w:val="22"/>
                      <w:szCs w:val="22"/>
                      <w:lang w:val="nl-NL"/>
                    </w:rPr>
                    <w:t xml:space="preserve"> nước liên quan</w:t>
                  </w:r>
                </w:p>
              </w:tc>
              <w:tc>
                <w:tcPr>
                  <w:tcW w:w="2070" w:type="dxa"/>
                  <w:tcBorders>
                    <w:top w:val="thickThinSmallGap" w:sz="24" w:space="0" w:color="auto"/>
                  </w:tcBorders>
                </w:tcPr>
                <w:p w:rsidR="006A481C" w:rsidRPr="00010F83" w:rsidRDefault="006A481C" w:rsidP="005117B2">
                  <w:pPr>
                    <w:pStyle w:val="BodyTextIndent"/>
                    <w:spacing w:before="0" w:after="120" w:line="240" w:lineRule="auto"/>
                    <w:ind w:left="0" w:firstLine="0"/>
                    <w:jc w:val="right"/>
                    <w:rPr>
                      <w:rFonts w:ascii="Arial" w:hAnsi="Arial" w:cs="Arial"/>
                      <w:i/>
                      <w:sz w:val="22"/>
                      <w:szCs w:val="22"/>
                      <w:lang w:val="nl-NL"/>
                    </w:rPr>
                  </w:pPr>
                  <w:r w:rsidRPr="00010F83">
                    <w:rPr>
                      <w:rFonts w:ascii="Arial" w:hAnsi="Arial" w:cs="Arial"/>
                      <w:i/>
                      <w:sz w:val="22"/>
                      <w:szCs w:val="22"/>
                      <w:lang w:val="nl-NL"/>
                    </w:rPr>
                    <w:t>700</w:t>
                  </w:r>
                </w:p>
              </w:tc>
              <w:tc>
                <w:tcPr>
                  <w:tcW w:w="1980" w:type="dxa"/>
                  <w:tcBorders>
                    <w:top w:val="thickThinSmallGap" w:sz="24" w:space="0" w:color="auto"/>
                  </w:tcBorders>
                </w:tcPr>
                <w:p w:rsidR="006A481C" w:rsidRPr="00010F83" w:rsidRDefault="006A481C" w:rsidP="005117B2">
                  <w:pPr>
                    <w:pStyle w:val="BodyTextIndent"/>
                    <w:spacing w:before="0" w:after="120" w:line="240" w:lineRule="auto"/>
                    <w:ind w:left="0" w:firstLine="0"/>
                    <w:jc w:val="right"/>
                    <w:rPr>
                      <w:rFonts w:ascii="Arial" w:hAnsi="Arial" w:cs="Arial"/>
                      <w:i/>
                      <w:sz w:val="22"/>
                      <w:szCs w:val="22"/>
                      <w:lang w:val="nl-NL"/>
                    </w:rPr>
                  </w:pPr>
                  <w:r w:rsidRPr="00010F83">
                    <w:rPr>
                      <w:rFonts w:ascii="Arial" w:hAnsi="Arial" w:cs="Arial"/>
                      <w:i/>
                      <w:sz w:val="22"/>
                      <w:szCs w:val="22"/>
                      <w:lang w:val="nl-NL"/>
                    </w:rPr>
                    <w:t>750</w:t>
                  </w:r>
                </w:p>
              </w:tc>
            </w:tr>
            <w:tr w:rsidR="006A481C" w:rsidRPr="00010F83" w:rsidTr="005117B2">
              <w:trPr>
                <w:trHeight w:val="344"/>
              </w:trPr>
              <w:tc>
                <w:tcPr>
                  <w:tcW w:w="4189" w:type="dxa"/>
                </w:tcPr>
                <w:p w:rsidR="006A481C" w:rsidRPr="00010F83" w:rsidRDefault="006A481C" w:rsidP="00590853">
                  <w:pPr>
                    <w:pStyle w:val="BodyTextIndent"/>
                    <w:spacing w:before="0" w:after="120" w:line="240" w:lineRule="auto"/>
                    <w:ind w:left="0" w:firstLine="0"/>
                    <w:rPr>
                      <w:rFonts w:ascii="Arial" w:hAnsi="Arial" w:cs="Arial"/>
                      <w:i/>
                      <w:sz w:val="22"/>
                      <w:szCs w:val="22"/>
                      <w:lang w:val="nl-NL"/>
                    </w:rPr>
                  </w:pPr>
                  <w:r w:rsidRPr="00010F83">
                    <w:rPr>
                      <w:rFonts w:ascii="Arial" w:hAnsi="Arial" w:cs="Arial"/>
                      <w:i/>
                      <w:sz w:val="22"/>
                      <w:szCs w:val="22"/>
                      <w:lang w:val="nl-NL"/>
                    </w:rPr>
                    <w:t>Thuế ảnh hưởng bởi chi phí không được khấu trừ cho mục đích thuế</w:t>
                  </w:r>
                </w:p>
              </w:tc>
              <w:tc>
                <w:tcPr>
                  <w:tcW w:w="2070" w:type="dxa"/>
                  <w:tcBorders>
                    <w:bottom w:val="single" w:sz="12" w:space="0" w:color="auto"/>
                  </w:tcBorders>
                </w:tcPr>
                <w:p w:rsidR="006A481C" w:rsidRPr="00010F83" w:rsidRDefault="006A481C" w:rsidP="005117B2">
                  <w:pPr>
                    <w:pStyle w:val="BodyTextIndent"/>
                    <w:spacing w:before="0" w:after="120" w:line="240" w:lineRule="auto"/>
                    <w:ind w:left="0" w:firstLine="0"/>
                    <w:jc w:val="right"/>
                    <w:rPr>
                      <w:rFonts w:ascii="Arial" w:hAnsi="Arial" w:cs="Arial"/>
                      <w:i/>
                      <w:sz w:val="22"/>
                      <w:szCs w:val="22"/>
                      <w:lang w:val="nl-NL"/>
                    </w:rPr>
                  </w:pPr>
                  <w:r w:rsidRPr="00010F83">
                    <w:rPr>
                      <w:rFonts w:ascii="Arial" w:hAnsi="Arial" w:cs="Arial"/>
                      <w:i/>
                      <w:sz w:val="22"/>
                      <w:szCs w:val="22"/>
                      <w:lang w:val="nl-NL"/>
                    </w:rPr>
                    <w:t>60</w:t>
                  </w:r>
                </w:p>
              </w:tc>
              <w:tc>
                <w:tcPr>
                  <w:tcW w:w="1980" w:type="dxa"/>
                  <w:tcBorders>
                    <w:bottom w:val="single" w:sz="12" w:space="0" w:color="auto"/>
                  </w:tcBorders>
                </w:tcPr>
                <w:p w:rsidR="006A481C" w:rsidRPr="00010F83" w:rsidRDefault="006A481C" w:rsidP="005117B2">
                  <w:pPr>
                    <w:pStyle w:val="BodyTextIndent"/>
                    <w:spacing w:before="0" w:after="120" w:line="240" w:lineRule="auto"/>
                    <w:ind w:left="0" w:firstLine="0"/>
                    <w:jc w:val="right"/>
                    <w:rPr>
                      <w:rFonts w:ascii="Arial" w:hAnsi="Arial" w:cs="Arial"/>
                      <w:i/>
                      <w:sz w:val="22"/>
                      <w:szCs w:val="22"/>
                      <w:lang w:val="nl-NL"/>
                    </w:rPr>
                  </w:pPr>
                  <w:r w:rsidRPr="00010F83">
                    <w:rPr>
                      <w:rFonts w:ascii="Arial" w:hAnsi="Arial" w:cs="Arial"/>
                      <w:i/>
                      <w:sz w:val="22"/>
                      <w:szCs w:val="22"/>
                      <w:lang w:val="nl-NL"/>
                    </w:rPr>
                    <w:t>30</w:t>
                  </w:r>
                </w:p>
              </w:tc>
            </w:tr>
            <w:tr w:rsidR="006A481C" w:rsidRPr="00010F83" w:rsidTr="005117B2">
              <w:trPr>
                <w:trHeight w:val="344"/>
              </w:trPr>
              <w:tc>
                <w:tcPr>
                  <w:tcW w:w="4189" w:type="dxa"/>
                </w:tcPr>
                <w:p w:rsidR="006A481C" w:rsidRPr="00010F83" w:rsidRDefault="006A481C" w:rsidP="00590853">
                  <w:pPr>
                    <w:pStyle w:val="BodyTextIndent"/>
                    <w:spacing w:before="0" w:after="120" w:line="240" w:lineRule="auto"/>
                    <w:ind w:left="0" w:firstLine="0"/>
                    <w:rPr>
                      <w:rFonts w:ascii="Arial" w:hAnsi="Arial" w:cs="Arial"/>
                      <w:i/>
                      <w:sz w:val="22"/>
                      <w:szCs w:val="22"/>
                      <w:lang w:val="nl-NL"/>
                    </w:rPr>
                  </w:pPr>
                  <w:r w:rsidRPr="00010F83">
                    <w:rPr>
                      <w:rFonts w:ascii="Arial" w:hAnsi="Arial" w:cs="Arial"/>
                      <w:i/>
                      <w:sz w:val="22"/>
                      <w:szCs w:val="22"/>
                      <w:lang w:val="nl-NL"/>
                    </w:rPr>
                    <w:t>Chi phí thuế</w:t>
                  </w:r>
                </w:p>
              </w:tc>
              <w:tc>
                <w:tcPr>
                  <w:tcW w:w="2070" w:type="dxa"/>
                  <w:tcBorders>
                    <w:top w:val="single" w:sz="12" w:space="0" w:color="auto"/>
                    <w:bottom w:val="thickThinSmallGap" w:sz="24" w:space="0" w:color="auto"/>
                  </w:tcBorders>
                </w:tcPr>
                <w:p w:rsidR="006A481C" w:rsidRPr="00010F83" w:rsidRDefault="006A481C" w:rsidP="005117B2">
                  <w:pPr>
                    <w:pStyle w:val="BodyTextIndent"/>
                    <w:spacing w:before="0" w:after="120" w:line="240" w:lineRule="auto"/>
                    <w:ind w:left="0" w:firstLine="0"/>
                    <w:jc w:val="right"/>
                    <w:rPr>
                      <w:rFonts w:ascii="Arial" w:hAnsi="Arial" w:cs="Arial"/>
                      <w:i/>
                      <w:sz w:val="22"/>
                      <w:szCs w:val="22"/>
                      <w:lang w:val="nl-NL"/>
                    </w:rPr>
                  </w:pPr>
                  <w:r w:rsidRPr="00010F83">
                    <w:rPr>
                      <w:rFonts w:ascii="Arial" w:hAnsi="Arial" w:cs="Arial"/>
                      <w:i/>
                      <w:sz w:val="22"/>
                      <w:szCs w:val="22"/>
                      <w:lang w:val="nl-NL"/>
                    </w:rPr>
                    <w:t>760</w:t>
                  </w:r>
                </w:p>
              </w:tc>
              <w:tc>
                <w:tcPr>
                  <w:tcW w:w="1980" w:type="dxa"/>
                  <w:tcBorders>
                    <w:top w:val="single" w:sz="12" w:space="0" w:color="auto"/>
                    <w:bottom w:val="thickThinSmallGap" w:sz="24" w:space="0" w:color="auto"/>
                  </w:tcBorders>
                </w:tcPr>
                <w:p w:rsidR="006A481C" w:rsidRPr="00010F83" w:rsidRDefault="006A481C" w:rsidP="005117B2">
                  <w:pPr>
                    <w:pStyle w:val="BodyTextIndent"/>
                    <w:spacing w:before="0" w:after="120" w:line="240" w:lineRule="auto"/>
                    <w:ind w:left="0" w:firstLine="0"/>
                    <w:jc w:val="right"/>
                    <w:rPr>
                      <w:rFonts w:ascii="Arial" w:hAnsi="Arial" w:cs="Arial"/>
                      <w:i/>
                      <w:sz w:val="22"/>
                      <w:szCs w:val="22"/>
                      <w:lang w:val="nl-NL"/>
                    </w:rPr>
                  </w:pPr>
                  <w:r w:rsidRPr="00010F83">
                    <w:rPr>
                      <w:rFonts w:ascii="Arial" w:hAnsi="Arial" w:cs="Arial"/>
                      <w:i/>
                      <w:sz w:val="22"/>
                      <w:szCs w:val="22"/>
                      <w:lang w:val="nl-NL"/>
                    </w:rPr>
                    <w:t>780</w:t>
                  </w:r>
                </w:p>
              </w:tc>
            </w:tr>
          </w:tbl>
          <w:p w:rsidR="0029498E" w:rsidRPr="00010F83" w:rsidRDefault="0029498E" w:rsidP="00590853">
            <w:pPr>
              <w:spacing w:after="120"/>
              <w:jc w:val="both"/>
              <w:rPr>
                <w:rFonts w:ascii="Arial" w:hAnsi="Arial" w:cs="Arial"/>
                <w:i/>
              </w:rPr>
            </w:pPr>
          </w:p>
        </w:tc>
      </w:tr>
    </w:tbl>
    <w:p w:rsidR="006A481C" w:rsidRPr="00010F83" w:rsidRDefault="006A481C" w:rsidP="00590853">
      <w:pPr>
        <w:spacing w:after="120"/>
        <w:jc w:val="both"/>
        <w:rPr>
          <w:rFonts w:ascii="Arial" w:hAnsi="Arial" w:cs="Arial"/>
          <w:b/>
        </w:rPr>
      </w:pPr>
    </w:p>
    <w:p w:rsidR="00A83436" w:rsidRPr="00010F83" w:rsidRDefault="00A83436" w:rsidP="005117B2">
      <w:pPr>
        <w:spacing w:after="120"/>
        <w:ind w:left="720" w:hanging="720"/>
        <w:jc w:val="both"/>
        <w:rPr>
          <w:rFonts w:ascii="Arial" w:hAnsi="Arial" w:cs="Arial"/>
        </w:rPr>
      </w:pPr>
      <w:r w:rsidRPr="00010F83">
        <w:rPr>
          <w:rFonts w:ascii="Arial" w:hAnsi="Arial" w:cs="Arial"/>
        </w:rPr>
        <w:t>86</w:t>
      </w:r>
      <w:r w:rsidRPr="00010F83">
        <w:rPr>
          <w:rFonts w:ascii="Arial" w:hAnsi="Arial" w:cs="Arial"/>
        </w:rPr>
        <w:tab/>
        <w:t xml:space="preserve">Mức thuế suất hiệu </w:t>
      </w:r>
      <w:r w:rsidR="00131712" w:rsidRPr="00010F83">
        <w:rPr>
          <w:rFonts w:ascii="Arial" w:hAnsi="Arial" w:cs="Arial"/>
        </w:rPr>
        <w:t xml:space="preserve">quả </w:t>
      </w:r>
      <w:r w:rsidRPr="00010F83">
        <w:rPr>
          <w:rFonts w:ascii="Arial" w:hAnsi="Arial" w:cs="Arial"/>
        </w:rPr>
        <w:t xml:space="preserve">bình quân </w:t>
      </w:r>
      <w:r w:rsidR="00D82BB6" w:rsidRPr="00010F83">
        <w:rPr>
          <w:rFonts w:ascii="Arial" w:hAnsi="Arial" w:cs="Arial"/>
        </w:rPr>
        <w:t xml:space="preserve">được xác định </w:t>
      </w:r>
      <w:r w:rsidRPr="00010F83">
        <w:rPr>
          <w:rFonts w:ascii="Arial" w:hAnsi="Arial" w:cs="Arial"/>
        </w:rPr>
        <w:t xml:space="preserve">bằng chi phí (hoặc </w:t>
      </w:r>
      <w:proofErr w:type="gramStart"/>
      <w:r w:rsidRPr="00010F83">
        <w:rPr>
          <w:rFonts w:ascii="Arial" w:hAnsi="Arial" w:cs="Arial"/>
        </w:rPr>
        <w:t>thu</w:t>
      </w:r>
      <w:proofErr w:type="gramEnd"/>
      <w:r w:rsidRPr="00010F83">
        <w:rPr>
          <w:rFonts w:ascii="Arial" w:hAnsi="Arial" w:cs="Arial"/>
        </w:rPr>
        <w:t xml:space="preserve"> nhập) thuế chia cho lợi nhuận kế toán.</w:t>
      </w:r>
    </w:p>
    <w:p w:rsidR="00A83436" w:rsidRPr="00010F83" w:rsidRDefault="00A83436" w:rsidP="005117B2">
      <w:pPr>
        <w:spacing w:after="120"/>
        <w:ind w:left="720" w:hanging="720"/>
        <w:jc w:val="both"/>
        <w:rPr>
          <w:rFonts w:ascii="Arial" w:hAnsi="Arial" w:cs="Arial"/>
        </w:rPr>
      </w:pPr>
      <w:r w:rsidRPr="00010F83">
        <w:rPr>
          <w:rFonts w:ascii="Arial" w:hAnsi="Arial" w:cs="Arial"/>
        </w:rPr>
        <w:t>87</w:t>
      </w:r>
      <w:r w:rsidRPr="00010F83">
        <w:rPr>
          <w:rFonts w:ascii="Arial" w:hAnsi="Arial" w:cs="Arial"/>
        </w:rPr>
        <w:tab/>
      </w:r>
      <w:r w:rsidR="0029498E" w:rsidRPr="00010F83">
        <w:rPr>
          <w:rFonts w:ascii="Arial" w:hAnsi="Arial" w:cs="Arial"/>
        </w:rPr>
        <w:t>Việc</w:t>
      </w:r>
      <w:r w:rsidRPr="00010F83">
        <w:rPr>
          <w:rFonts w:ascii="Arial" w:hAnsi="Arial" w:cs="Arial"/>
        </w:rPr>
        <w:t xml:space="preserve"> tính </w:t>
      </w:r>
      <w:r w:rsidR="00731917" w:rsidRPr="00010F83">
        <w:rPr>
          <w:rFonts w:ascii="Arial" w:hAnsi="Arial" w:cs="Arial"/>
        </w:rPr>
        <w:t>thuế TNDN</w:t>
      </w:r>
      <w:r w:rsidR="006805F0" w:rsidRPr="00010F83">
        <w:rPr>
          <w:rFonts w:ascii="Arial" w:hAnsi="Arial" w:cs="Arial"/>
        </w:rPr>
        <w:t xml:space="preserve"> hoãn lại phải trả</w:t>
      </w:r>
      <w:r w:rsidRPr="00010F83">
        <w:rPr>
          <w:rFonts w:ascii="Arial" w:hAnsi="Arial" w:cs="Arial"/>
        </w:rPr>
        <w:t xml:space="preserve"> chưa được ghi nhận phát sinh từ khoản đầu tư vào các công ty con, chi nhánh, công ty liên kết và lợi ích trong các thỏa thuận </w:t>
      </w:r>
      <w:r w:rsidR="0029498E" w:rsidRPr="00010F83">
        <w:rPr>
          <w:rFonts w:ascii="Arial" w:hAnsi="Arial" w:cs="Arial"/>
        </w:rPr>
        <w:t>chung</w:t>
      </w:r>
      <w:r w:rsidRPr="00010F83">
        <w:rPr>
          <w:rFonts w:ascii="Arial" w:hAnsi="Arial" w:cs="Arial"/>
        </w:rPr>
        <w:t xml:space="preserve"> (xem đoạn 39)</w:t>
      </w:r>
      <w:r w:rsidR="0029498E" w:rsidRPr="00010F83">
        <w:rPr>
          <w:rFonts w:ascii="Arial" w:hAnsi="Arial" w:cs="Arial"/>
        </w:rPr>
        <w:t xml:space="preserve"> thường khó thực hiện</w:t>
      </w:r>
      <w:r w:rsidRPr="00010F83">
        <w:rPr>
          <w:rFonts w:ascii="Arial" w:hAnsi="Arial" w:cs="Arial"/>
        </w:rPr>
        <w:t xml:space="preserve">. </w:t>
      </w:r>
      <w:proofErr w:type="gramStart"/>
      <w:r w:rsidRPr="00010F83">
        <w:rPr>
          <w:rFonts w:ascii="Arial" w:hAnsi="Arial" w:cs="Arial"/>
        </w:rPr>
        <w:t xml:space="preserve">Vì vậy, chuẩn mực này </w:t>
      </w:r>
      <w:r w:rsidR="0036068E" w:rsidRPr="00010F83">
        <w:rPr>
          <w:rFonts w:ascii="Arial" w:hAnsi="Arial" w:cs="Arial"/>
        </w:rPr>
        <w:t>yêu cầu</w:t>
      </w:r>
      <w:r w:rsidRPr="00010F83">
        <w:rPr>
          <w:rFonts w:ascii="Arial" w:hAnsi="Arial" w:cs="Arial"/>
        </w:rPr>
        <w:t xml:space="preserve"> thuyết minh tổ</w:t>
      </w:r>
      <w:r w:rsidR="0036068E" w:rsidRPr="00010F83">
        <w:rPr>
          <w:rFonts w:ascii="Arial" w:hAnsi="Arial" w:cs="Arial"/>
        </w:rPr>
        <w:t xml:space="preserve">ng </w:t>
      </w:r>
      <w:r w:rsidRPr="00010F83">
        <w:rPr>
          <w:rFonts w:ascii="Arial" w:hAnsi="Arial" w:cs="Arial"/>
        </w:rPr>
        <w:t xml:space="preserve">các chênh lệch tạm thời là cơ sở của khoản </w:t>
      </w:r>
      <w:r w:rsidR="00731917" w:rsidRPr="00010F83">
        <w:rPr>
          <w:rFonts w:ascii="Arial" w:hAnsi="Arial" w:cs="Arial"/>
        </w:rPr>
        <w:t>thuế TNDN</w:t>
      </w:r>
      <w:r w:rsidR="006805F0" w:rsidRPr="00010F83">
        <w:rPr>
          <w:rFonts w:ascii="Arial" w:hAnsi="Arial" w:cs="Arial"/>
        </w:rPr>
        <w:t xml:space="preserve"> hoãn lại phải trả</w:t>
      </w:r>
      <w:r w:rsidRPr="00010F83">
        <w:rPr>
          <w:rFonts w:ascii="Arial" w:hAnsi="Arial" w:cs="Arial"/>
        </w:rPr>
        <w:t xml:space="preserve"> mà không </w:t>
      </w:r>
      <w:r w:rsidR="0036068E" w:rsidRPr="00010F83">
        <w:rPr>
          <w:rFonts w:ascii="Arial" w:hAnsi="Arial" w:cs="Arial"/>
        </w:rPr>
        <w:t>yêu cầu</w:t>
      </w:r>
      <w:r w:rsidRPr="00010F83">
        <w:rPr>
          <w:rFonts w:ascii="Arial" w:hAnsi="Arial" w:cs="Arial"/>
        </w:rPr>
        <w:t xml:space="preserve"> trình bày khoản </w:t>
      </w:r>
      <w:r w:rsidR="00731917" w:rsidRPr="00010F83">
        <w:rPr>
          <w:rFonts w:ascii="Arial" w:hAnsi="Arial" w:cs="Arial"/>
        </w:rPr>
        <w:t>thuế TNDN</w:t>
      </w:r>
      <w:r w:rsidR="006805F0" w:rsidRPr="00010F83">
        <w:rPr>
          <w:rFonts w:ascii="Arial" w:hAnsi="Arial" w:cs="Arial"/>
        </w:rPr>
        <w:t xml:space="preserve"> hoãn lại phải trả</w:t>
      </w:r>
      <w:r w:rsidRPr="00010F83">
        <w:rPr>
          <w:rFonts w:ascii="Arial" w:hAnsi="Arial" w:cs="Arial"/>
        </w:rPr>
        <w:t xml:space="preserve"> đó.</w:t>
      </w:r>
      <w:proofErr w:type="gramEnd"/>
      <w:r w:rsidRPr="00010F83">
        <w:rPr>
          <w:rFonts w:ascii="Arial" w:hAnsi="Arial" w:cs="Arial"/>
        </w:rPr>
        <w:t xml:space="preserve"> Tuy nhiên, đơn vị được khuyến khích trình bày giá trị các khoản </w:t>
      </w:r>
      <w:r w:rsidR="00731917" w:rsidRPr="00010F83">
        <w:rPr>
          <w:rFonts w:ascii="Arial" w:hAnsi="Arial" w:cs="Arial"/>
        </w:rPr>
        <w:t>thuế TNDN</w:t>
      </w:r>
      <w:r w:rsidR="006805F0" w:rsidRPr="00010F83">
        <w:rPr>
          <w:rFonts w:ascii="Arial" w:hAnsi="Arial" w:cs="Arial"/>
        </w:rPr>
        <w:t xml:space="preserve"> hoãn lại phải trả</w:t>
      </w:r>
      <w:r w:rsidRPr="00010F83">
        <w:rPr>
          <w:rFonts w:ascii="Arial" w:hAnsi="Arial" w:cs="Arial"/>
        </w:rPr>
        <w:t xml:space="preserve"> chưa được ghi nhận</w:t>
      </w:r>
      <w:r w:rsidR="0036068E" w:rsidRPr="00010F83">
        <w:rPr>
          <w:rFonts w:ascii="Arial" w:hAnsi="Arial" w:cs="Arial"/>
        </w:rPr>
        <w:t>,</w:t>
      </w:r>
      <w:r w:rsidRPr="00010F83">
        <w:rPr>
          <w:rFonts w:ascii="Arial" w:hAnsi="Arial" w:cs="Arial"/>
        </w:rPr>
        <w:t xml:space="preserve"> nếu </w:t>
      </w:r>
      <w:r w:rsidR="0036068E" w:rsidRPr="00010F83">
        <w:rPr>
          <w:rFonts w:ascii="Arial" w:hAnsi="Arial" w:cs="Arial"/>
        </w:rPr>
        <w:t>tính</w:t>
      </w:r>
      <w:r w:rsidRPr="00010F83">
        <w:rPr>
          <w:rFonts w:ascii="Arial" w:hAnsi="Arial" w:cs="Arial"/>
        </w:rPr>
        <w:t xml:space="preserve"> được</w:t>
      </w:r>
      <w:r w:rsidR="0036068E" w:rsidRPr="00010F83">
        <w:rPr>
          <w:rFonts w:ascii="Arial" w:hAnsi="Arial" w:cs="Arial"/>
        </w:rPr>
        <w:t>,</w:t>
      </w:r>
      <w:r w:rsidRPr="00010F83">
        <w:rPr>
          <w:rFonts w:ascii="Arial" w:hAnsi="Arial" w:cs="Arial"/>
        </w:rPr>
        <w:t xml:space="preserve"> bởi vì </w:t>
      </w:r>
      <w:r w:rsidR="0036068E" w:rsidRPr="00010F83">
        <w:rPr>
          <w:rFonts w:ascii="Arial" w:hAnsi="Arial" w:cs="Arial"/>
        </w:rPr>
        <w:t xml:space="preserve">thông tin đó có thể hữu ích với </w:t>
      </w:r>
      <w:r w:rsidRPr="00010F83">
        <w:rPr>
          <w:rFonts w:ascii="Arial" w:hAnsi="Arial" w:cs="Arial"/>
        </w:rPr>
        <w:t>người sử dụng báo cáo tài chính.</w:t>
      </w:r>
    </w:p>
    <w:p w:rsidR="0089740E" w:rsidRPr="00010F83" w:rsidRDefault="0089740E" w:rsidP="005117B2">
      <w:pPr>
        <w:spacing w:after="120"/>
        <w:ind w:left="720" w:hanging="720"/>
        <w:jc w:val="both"/>
        <w:rPr>
          <w:rFonts w:ascii="Arial" w:hAnsi="Arial" w:cs="Arial"/>
        </w:rPr>
      </w:pPr>
    </w:p>
    <w:p w:rsidR="00A83436" w:rsidRPr="00010F83" w:rsidRDefault="00A83436" w:rsidP="005117B2">
      <w:pPr>
        <w:spacing w:after="120"/>
        <w:ind w:left="720" w:hanging="720"/>
        <w:jc w:val="both"/>
        <w:rPr>
          <w:rFonts w:ascii="Arial" w:hAnsi="Arial" w:cs="Arial"/>
        </w:rPr>
      </w:pPr>
      <w:r w:rsidRPr="00010F83">
        <w:rPr>
          <w:rFonts w:ascii="Arial" w:hAnsi="Arial" w:cs="Arial"/>
        </w:rPr>
        <w:t xml:space="preserve">87A </w:t>
      </w:r>
      <w:r w:rsidRPr="00010F83">
        <w:rPr>
          <w:rFonts w:ascii="Arial" w:hAnsi="Arial" w:cs="Arial"/>
        </w:rPr>
        <w:tab/>
        <w:t xml:space="preserve">Đoạn 82A yêu cầu đơn vị thuyết minh </w:t>
      </w:r>
      <w:r w:rsidR="0036068E" w:rsidRPr="00010F83">
        <w:rPr>
          <w:rFonts w:ascii="Arial" w:hAnsi="Arial" w:cs="Arial"/>
        </w:rPr>
        <w:t>tính</w:t>
      </w:r>
      <w:r w:rsidRPr="00010F83">
        <w:rPr>
          <w:rFonts w:ascii="Arial" w:hAnsi="Arial" w:cs="Arial"/>
        </w:rPr>
        <w:t xml:space="preserve"> chất của khoản </w:t>
      </w:r>
      <w:r w:rsidR="00731917" w:rsidRPr="00010F83">
        <w:rPr>
          <w:rFonts w:ascii="Arial" w:hAnsi="Arial" w:cs="Arial"/>
        </w:rPr>
        <w:t>thuế TNDN</w:t>
      </w:r>
      <w:r w:rsidRPr="00010F83">
        <w:rPr>
          <w:rFonts w:ascii="Arial" w:hAnsi="Arial" w:cs="Arial"/>
        </w:rPr>
        <w:t xml:space="preserve"> có khả</w:t>
      </w:r>
      <w:r w:rsidR="0036068E" w:rsidRPr="00010F83">
        <w:rPr>
          <w:rFonts w:ascii="Arial" w:hAnsi="Arial" w:cs="Arial"/>
        </w:rPr>
        <w:t xml:space="preserve"> năng </w:t>
      </w:r>
      <w:r w:rsidRPr="00010F83">
        <w:rPr>
          <w:rFonts w:ascii="Arial" w:hAnsi="Arial" w:cs="Arial"/>
        </w:rPr>
        <w:t>phát sinh từ việc t</w:t>
      </w:r>
      <w:r w:rsidR="0036068E" w:rsidRPr="00010F83">
        <w:rPr>
          <w:rFonts w:ascii="Arial" w:hAnsi="Arial" w:cs="Arial"/>
        </w:rPr>
        <w:t>rả</w:t>
      </w:r>
      <w:r w:rsidRPr="00010F83">
        <w:rPr>
          <w:rFonts w:ascii="Arial" w:hAnsi="Arial" w:cs="Arial"/>
        </w:rPr>
        <w:t xml:space="preserve"> cổ tức cho các cổ đông. Đơn vị</w:t>
      </w:r>
      <w:r w:rsidR="0036068E" w:rsidRPr="00010F83">
        <w:rPr>
          <w:rFonts w:ascii="Arial" w:hAnsi="Arial" w:cs="Arial"/>
        </w:rPr>
        <w:t xml:space="preserve"> cũng cần</w:t>
      </w:r>
      <w:r w:rsidRPr="00010F83">
        <w:rPr>
          <w:rFonts w:ascii="Arial" w:hAnsi="Arial" w:cs="Arial"/>
        </w:rPr>
        <w:t xml:space="preserve"> thuyết minh những đặc điểm quan trọng của hệ thống </w:t>
      </w:r>
      <w:r w:rsidR="00731917" w:rsidRPr="00010F83">
        <w:rPr>
          <w:rFonts w:ascii="Arial" w:hAnsi="Arial" w:cs="Arial"/>
        </w:rPr>
        <w:t>thuế TNDN</w:t>
      </w:r>
      <w:r w:rsidRPr="00010F83">
        <w:rPr>
          <w:rFonts w:ascii="Arial" w:hAnsi="Arial" w:cs="Arial"/>
        </w:rPr>
        <w:t xml:space="preserve"> và những yếu tố ảnh hưởng đế</w:t>
      </w:r>
      <w:r w:rsidR="0036068E" w:rsidRPr="00010F83">
        <w:rPr>
          <w:rFonts w:ascii="Arial" w:hAnsi="Arial" w:cs="Arial"/>
        </w:rPr>
        <w:t>n</w:t>
      </w:r>
      <w:r w:rsidRPr="00010F83">
        <w:rPr>
          <w:rFonts w:ascii="Arial" w:hAnsi="Arial" w:cs="Arial"/>
        </w:rPr>
        <w:t xml:space="preserve"> khoản thuế có khả năng xảy ra do việc t</w:t>
      </w:r>
      <w:r w:rsidR="0036068E" w:rsidRPr="00010F83">
        <w:rPr>
          <w:rFonts w:ascii="Arial" w:hAnsi="Arial" w:cs="Arial"/>
        </w:rPr>
        <w:t>rả</w:t>
      </w:r>
      <w:r w:rsidRPr="00010F83">
        <w:rPr>
          <w:rFonts w:ascii="Arial" w:hAnsi="Arial" w:cs="Arial"/>
        </w:rPr>
        <w:t xml:space="preserve"> cổ tức. </w:t>
      </w:r>
    </w:p>
    <w:p w:rsidR="00A83436" w:rsidRPr="00010F83" w:rsidRDefault="00A83436" w:rsidP="005117B2">
      <w:pPr>
        <w:spacing w:after="120"/>
        <w:ind w:left="720" w:hanging="720"/>
        <w:jc w:val="both"/>
        <w:rPr>
          <w:rFonts w:ascii="Arial" w:hAnsi="Arial" w:cs="Arial"/>
        </w:rPr>
      </w:pPr>
      <w:r w:rsidRPr="00010F83">
        <w:rPr>
          <w:rFonts w:ascii="Arial" w:hAnsi="Arial" w:cs="Arial"/>
        </w:rPr>
        <w:t>87B</w:t>
      </w:r>
      <w:r w:rsidRPr="00010F83">
        <w:rPr>
          <w:rFonts w:ascii="Arial" w:hAnsi="Arial" w:cs="Arial"/>
        </w:rPr>
        <w:tab/>
        <w:t>Trong một số trường hợp, đơn vị không thể tính đượ</w:t>
      </w:r>
      <w:r w:rsidR="0015798E" w:rsidRPr="00010F83">
        <w:rPr>
          <w:rFonts w:ascii="Arial" w:hAnsi="Arial" w:cs="Arial"/>
        </w:rPr>
        <w:t>c</w:t>
      </w:r>
      <w:r w:rsidRPr="00010F83">
        <w:rPr>
          <w:rFonts w:ascii="Arial" w:hAnsi="Arial" w:cs="Arial"/>
        </w:rPr>
        <w:t xml:space="preserve"> giá trị khoản thuế </w:t>
      </w:r>
      <w:proofErr w:type="gramStart"/>
      <w:r w:rsidR="00131712" w:rsidRPr="00010F83">
        <w:rPr>
          <w:rFonts w:ascii="Arial" w:hAnsi="Arial" w:cs="Arial"/>
        </w:rPr>
        <w:t>thu</w:t>
      </w:r>
      <w:proofErr w:type="gramEnd"/>
      <w:r w:rsidR="00131712" w:rsidRPr="00010F83">
        <w:rPr>
          <w:rFonts w:ascii="Arial" w:hAnsi="Arial" w:cs="Arial"/>
        </w:rPr>
        <w:t xml:space="preserve"> nhập </w:t>
      </w:r>
      <w:r w:rsidRPr="00010F83">
        <w:rPr>
          <w:rFonts w:ascii="Arial" w:hAnsi="Arial" w:cs="Arial"/>
        </w:rPr>
        <w:t xml:space="preserve">có khả năng </w:t>
      </w:r>
      <w:r w:rsidR="00131712" w:rsidRPr="00010F83">
        <w:rPr>
          <w:rFonts w:ascii="Arial" w:hAnsi="Arial" w:cs="Arial"/>
        </w:rPr>
        <w:t>phát sinh</w:t>
      </w:r>
      <w:r w:rsidRPr="00010F83">
        <w:rPr>
          <w:rFonts w:ascii="Arial" w:hAnsi="Arial" w:cs="Arial"/>
        </w:rPr>
        <w:t xml:space="preserve"> do việc t</w:t>
      </w:r>
      <w:r w:rsidR="0015798E" w:rsidRPr="00010F83">
        <w:rPr>
          <w:rFonts w:ascii="Arial" w:hAnsi="Arial" w:cs="Arial"/>
        </w:rPr>
        <w:t>rả</w:t>
      </w:r>
      <w:r w:rsidRPr="00010F83">
        <w:rPr>
          <w:rFonts w:ascii="Arial" w:hAnsi="Arial" w:cs="Arial"/>
        </w:rPr>
        <w:t xml:space="preserve"> cổ tức cho các cổ đông. </w:t>
      </w:r>
      <w:r w:rsidR="0015798E" w:rsidRPr="00010F83">
        <w:rPr>
          <w:rFonts w:ascii="Arial" w:hAnsi="Arial" w:cs="Arial"/>
        </w:rPr>
        <w:t>V</w:t>
      </w:r>
      <w:r w:rsidRPr="00010F83">
        <w:rPr>
          <w:rFonts w:ascii="Arial" w:hAnsi="Arial" w:cs="Arial"/>
        </w:rPr>
        <w:t xml:space="preserve">í dụ </w:t>
      </w:r>
      <w:proofErr w:type="gramStart"/>
      <w:r w:rsidRPr="00010F83">
        <w:rPr>
          <w:rFonts w:ascii="Arial" w:hAnsi="Arial" w:cs="Arial"/>
        </w:rPr>
        <w:t>khi đơn</w:t>
      </w:r>
      <w:proofErr w:type="gramEnd"/>
      <w:r w:rsidRPr="00010F83">
        <w:rPr>
          <w:rFonts w:ascii="Arial" w:hAnsi="Arial" w:cs="Arial"/>
        </w:rPr>
        <w:t xml:space="preserve"> vị có một số </w:t>
      </w:r>
      <w:r w:rsidR="00131712" w:rsidRPr="00010F83">
        <w:rPr>
          <w:rFonts w:ascii="Arial" w:hAnsi="Arial" w:cs="Arial"/>
        </w:rPr>
        <w:t xml:space="preserve">lượng </w:t>
      </w:r>
      <w:r w:rsidRPr="00010F83">
        <w:rPr>
          <w:rFonts w:ascii="Arial" w:hAnsi="Arial" w:cs="Arial"/>
        </w:rPr>
        <w:t xml:space="preserve">lớn các công ty con ở nước ngoài. </w:t>
      </w:r>
      <w:proofErr w:type="gramStart"/>
      <w:r w:rsidRPr="00010F83">
        <w:rPr>
          <w:rFonts w:ascii="Arial" w:hAnsi="Arial" w:cs="Arial"/>
        </w:rPr>
        <w:t xml:space="preserve">Tuy nhiên, ngay cả trong những tình huống này, một phần giá trị của khoản thuế này có thể </w:t>
      </w:r>
      <w:r w:rsidR="00131712" w:rsidRPr="00010F83">
        <w:rPr>
          <w:rFonts w:ascii="Arial" w:hAnsi="Arial" w:cs="Arial"/>
        </w:rPr>
        <w:t xml:space="preserve">được </w:t>
      </w:r>
      <w:r w:rsidR="0015798E" w:rsidRPr="00010F83">
        <w:rPr>
          <w:rFonts w:ascii="Arial" w:hAnsi="Arial" w:cs="Arial"/>
        </w:rPr>
        <w:t xml:space="preserve">tính một cách </w:t>
      </w:r>
      <w:r w:rsidRPr="00010F83">
        <w:rPr>
          <w:rFonts w:ascii="Arial" w:hAnsi="Arial" w:cs="Arial"/>
        </w:rPr>
        <w:t>dễ</w:t>
      </w:r>
      <w:r w:rsidR="0015798E" w:rsidRPr="00010F83">
        <w:rPr>
          <w:rFonts w:ascii="Arial" w:hAnsi="Arial" w:cs="Arial"/>
        </w:rPr>
        <w:t xml:space="preserve"> dàng</w:t>
      </w:r>
      <w:r w:rsidRPr="00010F83">
        <w:rPr>
          <w:rFonts w:ascii="Arial" w:hAnsi="Arial" w:cs="Arial"/>
        </w:rPr>
        <w:t>.</w:t>
      </w:r>
      <w:proofErr w:type="gramEnd"/>
      <w:r w:rsidRPr="00010F83">
        <w:rPr>
          <w:rFonts w:ascii="Arial" w:hAnsi="Arial" w:cs="Arial"/>
        </w:rPr>
        <w:t xml:space="preserve"> Ví dụ, trong báo cáo hợp nhất, công ty mẹ và một vài công ty con có thể đã </w:t>
      </w:r>
      <w:r w:rsidR="0015798E" w:rsidRPr="00010F83">
        <w:rPr>
          <w:rFonts w:ascii="Arial" w:hAnsi="Arial" w:cs="Arial"/>
        </w:rPr>
        <w:t>nộp</w:t>
      </w:r>
      <w:r w:rsidRPr="00010F83">
        <w:rPr>
          <w:rFonts w:ascii="Arial" w:hAnsi="Arial" w:cs="Arial"/>
        </w:rPr>
        <w:t xml:space="preserve"> thuế </w:t>
      </w:r>
      <w:proofErr w:type="gramStart"/>
      <w:r w:rsidR="0015798E" w:rsidRPr="00010F83">
        <w:rPr>
          <w:rFonts w:ascii="Arial" w:hAnsi="Arial" w:cs="Arial"/>
        </w:rPr>
        <w:t>theo</w:t>
      </w:r>
      <w:proofErr w:type="gramEnd"/>
      <w:r w:rsidRPr="00010F83">
        <w:rPr>
          <w:rFonts w:ascii="Arial" w:hAnsi="Arial" w:cs="Arial"/>
        </w:rPr>
        <w:t xml:space="preserve"> thuế suấ</w:t>
      </w:r>
      <w:r w:rsidR="0015798E" w:rsidRPr="00010F83">
        <w:rPr>
          <w:rFonts w:ascii="Arial" w:hAnsi="Arial" w:cs="Arial"/>
        </w:rPr>
        <w:t xml:space="preserve">t cao </w:t>
      </w:r>
      <w:r w:rsidRPr="00010F83">
        <w:rPr>
          <w:rFonts w:ascii="Arial" w:hAnsi="Arial" w:cs="Arial"/>
        </w:rPr>
        <w:t xml:space="preserve">trên lợi nhuận chưa phân phối và </w:t>
      </w:r>
      <w:r w:rsidR="0015798E" w:rsidRPr="00010F83">
        <w:rPr>
          <w:rFonts w:ascii="Arial" w:hAnsi="Arial" w:cs="Arial"/>
        </w:rPr>
        <w:t>đã xác định được khoản thuế</w:t>
      </w:r>
      <w:r w:rsidRPr="00010F83">
        <w:rPr>
          <w:rFonts w:ascii="Arial" w:hAnsi="Arial" w:cs="Arial"/>
        </w:rPr>
        <w:t xml:space="preserve"> sẽ được hoàn lại khi t</w:t>
      </w:r>
      <w:r w:rsidR="0015798E" w:rsidRPr="00010F83">
        <w:rPr>
          <w:rFonts w:ascii="Arial" w:hAnsi="Arial" w:cs="Arial"/>
        </w:rPr>
        <w:t>rả</w:t>
      </w:r>
      <w:r w:rsidRPr="00010F83">
        <w:rPr>
          <w:rFonts w:ascii="Arial" w:hAnsi="Arial" w:cs="Arial"/>
        </w:rPr>
        <w:t xml:space="preserve"> cổ tức cho các cổ đông trong tương lai. </w:t>
      </w:r>
      <w:proofErr w:type="gramStart"/>
      <w:r w:rsidRPr="00010F83">
        <w:rPr>
          <w:rFonts w:ascii="Arial" w:hAnsi="Arial" w:cs="Arial"/>
        </w:rPr>
        <w:t>Trong trường hợp này, đơn vị phải thuyết minh khoản sẽ được hoàn lại.</w:t>
      </w:r>
      <w:proofErr w:type="gramEnd"/>
      <w:r w:rsidRPr="00010F83">
        <w:rPr>
          <w:rFonts w:ascii="Arial" w:hAnsi="Arial" w:cs="Arial"/>
        </w:rPr>
        <w:t xml:space="preserve"> </w:t>
      </w:r>
      <w:proofErr w:type="gramStart"/>
      <w:r w:rsidRPr="00010F83">
        <w:rPr>
          <w:rFonts w:ascii="Arial" w:hAnsi="Arial" w:cs="Arial"/>
        </w:rPr>
        <w:t xml:space="preserve">Nếu có thể, đơn vị cũng phải thuyết minh về việc có các </w:t>
      </w:r>
      <w:r w:rsidR="0015798E" w:rsidRPr="00010F83">
        <w:rPr>
          <w:rFonts w:ascii="Arial" w:hAnsi="Arial" w:cs="Arial"/>
        </w:rPr>
        <w:t>ảnh hưởng tiềm tàng về</w:t>
      </w:r>
      <w:r w:rsidRPr="00010F83">
        <w:rPr>
          <w:rFonts w:ascii="Arial" w:hAnsi="Arial" w:cs="Arial"/>
        </w:rPr>
        <w:t xml:space="preserve"> </w:t>
      </w:r>
      <w:r w:rsidR="00731917" w:rsidRPr="00010F83">
        <w:rPr>
          <w:rFonts w:ascii="Arial" w:hAnsi="Arial" w:cs="Arial"/>
        </w:rPr>
        <w:t>thuế TNDN</w:t>
      </w:r>
      <w:r w:rsidRPr="00010F83">
        <w:rPr>
          <w:rFonts w:ascii="Arial" w:hAnsi="Arial" w:cs="Arial"/>
        </w:rPr>
        <w:t xml:space="preserve"> chưa thể xác định được.</w:t>
      </w:r>
      <w:proofErr w:type="gramEnd"/>
      <w:r w:rsidRPr="00010F83">
        <w:rPr>
          <w:rFonts w:ascii="Arial" w:hAnsi="Arial" w:cs="Arial"/>
        </w:rPr>
        <w:t xml:space="preserve"> </w:t>
      </w:r>
      <w:proofErr w:type="gramStart"/>
      <w:r w:rsidRPr="00010F83">
        <w:rPr>
          <w:rFonts w:ascii="Arial" w:hAnsi="Arial" w:cs="Arial"/>
        </w:rPr>
        <w:t xml:space="preserve">Trên báo cáo tài chính </w:t>
      </w:r>
      <w:r w:rsidR="0015798E" w:rsidRPr="00010F83">
        <w:rPr>
          <w:rFonts w:ascii="Arial" w:hAnsi="Arial" w:cs="Arial"/>
        </w:rPr>
        <w:t xml:space="preserve">riêng </w:t>
      </w:r>
      <w:r w:rsidRPr="00010F83">
        <w:rPr>
          <w:rFonts w:ascii="Arial" w:hAnsi="Arial" w:cs="Arial"/>
        </w:rPr>
        <w:t xml:space="preserve">của công ty mẹ, </w:t>
      </w:r>
      <w:r w:rsidR="0015798E" w:rsidRPr="00010F83">
        <w:rPr>
          <w:rFonts w:ascii="Arial" w:hAnsi="Arial" w:cs="Arial"/>
        </w:rPr>
        <w:t>công ty mẹ cần</w:t>
      </w:r>
      <w:r w:rsidRPr="00010F83">
        <w:rPr>
          <w:rFonts w:ascii="Arial" w:hAnsi="Arial" w:cs="Arial"/>
        </w:rPr>
        <w:t xml:space="preserve"> </w:t>
      </w:r>
      <w:r w:rsidR="0015798E" w:rsidRPr="00010F83">
        <w:rPr>
          <w:rFonts w:ascii="Arial" w:hAnsi="Arial" w:cs="Arial"/>
        </w:rPr>
        <w:t xml:space="preserve">thuyết minh ảnh hưởng </w:t>
      </w:r>
      <w:r w:rsidR="00731917" w:rsidRPr="00010F83">
        <w:rPr>
          <w:rFonts w:ascii="Arial" w:hAnsi="Arial" w:cs="Arial"/>
        </w:rPr>
        <w:t>thuế TNDN</w:t>
      </w:r>
      <w:r w:rsidRPr="00010F83">
        <w:rPr>
          <w:rFonts w:ascii="Arial" w:hAnsi="Arial" w:cs="Arial"/>
        </w:rPr>
        <w:t xml:space="preserve"> </w:t>
      </w:r>
      <w:r w:rsidR="0015798E" w:rsidRPr="00010F83">
        <w:rPr>
          <w:rFonts w:ascii="Arial" w:hAnsi="Arial" w:cs="Arial"/>
        </w:rPr>
        <w:t>tiềm tàng</w:t>
      </w:r>
      <w:r w:rsidRPr="00010F83">
        <w:rPr>
          <w:rFonts w:ascii="Arial" w:hAnsi="Arial" w:cs="Arial"/>
        </w:rPr>
        <w:t xml:space="preserve"> liên quan đến lợi nhuận </w:t>
      </w:r>
      <w:r w:rsidR="0015798E" w:rsidRPr="00010F83">
        <w:rPr>
          <w:rFonts w:ascii="Arial" w:hAnsi="Arial" w:cs="Arial"/>
        </w:rPr>
        <w:t>chưa phân phối</w:t>
      </w:r>
      <w:r w:rsidRPr="00010F83">
        <w:rPr>
          <w:rFonts w:ascii="Arial" w:hAnsi="Arial" w:cs="Arial"/>
        </w:rPr>
        <w:t xml:space="preserve"> của công ty mẹ</w:t>
      </w:r>
      <w:r w:rsidR="0015798E" w:rsidRPr="00010F83">
        <w:rPr>
          <w:rFonts w:ascii="Arial" w:hAnsi="Arial" w:cs="Arial"/>
        </w:rPr>
        <w:t>.</w:t>
      </w:r>
      <w:proofErr w:type="gramEnd"/>
    </w:p>
    <w:p w:rsidR="00A83436" w:rsidRPr="00010F83" w:rsidRDefault="00A83436" w:rsidP="005117B2">
      <w:pPr>
        <w:spacing w:after="120"/>
        <w:ind w:left="720" w:hanging="720"/>
        <w:jc w:val="both"/>
        <w:rPr>
          <w:rFonts w:ascii="Arial" w:hAnsi="Arial" w:cs="Arial"/>
        </w:rPr>
      </w:pPr>
      <w:r w:rsidRPr="00010F83">
        <w:rPr>
          <w:rFonts w:ascii="Arial" w:hAnsi="Arial" w:cs="Arial"/>
        </w:rPr>
        <w:t xml:space="preserve">87C </w:t>
      </w:r>
      <w:r w:rsidRPr="00010F83">
        <w:rPr>
          <w:rFonts w:ascii="Arial" w:hAnsi="Arial" w:cs="Arial"/>
        </w:rPr>
        <w:tab/>
        <w:t xml:space="preserve">Một đơn vị </w:t>
      </w:r>
      <w:r w:rsidR="0015798E" w:rsidRPr="00010F83">
        <w:rPr>
          <w:rFonts w:ascii="Arial" w:hAnsi="Arial" w:cs="Arial"/>
        </w:rPr>
        <w:t>phải</w:t>
      </w:r>
      <w:r w:rsidRPr="00010F83">
        <w:rPr>
          <w:rFonts w:ascii="Arial" w:hAnsi="Arial" w:cs="Arial"/>
        </w:rPr>
        <w:t xml:space="preserve"> thuyết minh các thông tin </w:t>
      </w:r>
      <w:r w:rsidR="0015798E" w:rsidRPr="00010F83">
        <w:rPr>
          <w:rFonts w:ascii="Arial" w:hAnsi="Arial" w:cs="Arial"/>
        </w:rPr>
        <w:t>theo</w:t>
      </w:r>
      <w:r w:rsidRPr="00010F83">
        <w:rPr>
          <w:rFonts w:ascii="Arial" w:hAnsi="Arial" w:cs="Arial"/>
        </w:rPr>
        <w:t xml:space="preserve"> đoạn 82A cũng </w:t>
      </w:r>
      <w:r w:rsidR="0015798E" w:rsidRPr="00010F83">
        <w:rPr>
          <w:rFonts w:ascii="Arial" w:hAnsi="Arial" w:cs="Arial"/>
        </w:rPr>
        <w:t>sẽ phải</w:t>
      </w:r>
      <w:r w:rsidRPr="00010F83">
        <w:rPr>
          <w:rFonts w:ascii="Arial" w:hAnsi="Arial" w:cs="Arial"/>
        </w:rPr>
        <w:t xml:space="preserve"> thuyết minh thêm về chênh lệch tạm thời phát sinh từ việc đầu tư vào các công ty con, chi nhánh, các công ty liên kết, hoặc lợi ích trong các thỏa thuận </w:t>
      </w:r>
      <w:r w:rsidR="0015798E" w:rsidRPr="00010F83">
        <w:rPr>
          <w:rFonts w:ascii="Arial" w:hAnsi="Arial" w:cs="Arial"/>
        </w:rPr>
        <w:t>chung</w:t>
      </w:r>
      <w:r w:rsidRPr="00010F83">
        <w:rPr>
          <w:rFonts w:ascii="Arial" w:hAnsi="Arial" w:cs="Arial"/>
        </w:rPr>
        <w:t xml:space="preserve">. </w:t>
      </w:r>
      <w:proofErr w:type="gramStart"/>
      <w:r w:rsidRPr="00010F83">
        <w:rPr>
          <w:rFonts w:ascii="Arial" w:hAnsi="Arial" w:cs="Arial"/>
        </w:rPr>
        <w:t xml:space="preserve">Trong các trường hợp này, đơn vị xem xét </w:t>
      </w:r>
      <w:r w:rsidR="0015798E" w:rsidRPr="00010F83">
        <w:rPr>
          <w:rFonts w:ascii="Arial" w:hAnsi="Arial" w:cs="Arial"/>
        </w:rPr>
        <w:t>tổng thể các</w:t>
      </w:r>
      <w:r w:rsidRPr="00010F83">
        <w:rPr>
          <w:rFonts w:ascii="Arial" w:hAnsi="Arial" w:cs="Arial"/>
        </w:rPr>
        <w:t xml:space="preserve"> thông tin được trình bày ở đoạn 82A.</w:t>
      </w:r>
      <w:proofErr w:type="gramEnd"/>
      <w:r w:rsidRPr="00010F83">
        <w:rPr>
          <w:rFonts w:ascii="Arial" w:hAnsi="Arial" w:cs="Arial"/>
        </w:rPr>
        <w:t xml:space="preserve"> Ví dụ, đơn vị có thể được yêu cầu trình bày tổ</w:t>
      </w:r>
      <w:r w:rsidR="0015798E" w:rsidRPr="00010F83">
        <w:rPr>
          <w:rFonts w:ascii="Arial" w:hAnsi="Arial" w:cs="Arial"/>
        </w:rPr>
        <w:t xml:space="preserve">ng </w:t>
      </w:r>
      <w:r w:rsidRPr="00010F83">
        <w:rPr>
          <w:rFonts w:ascii="Arial" w:hAnsi="Arial" w:cs="Arial"/>
        </w:rPr>
        <w:t xml:space="preserve">giá trị chênh lệch tạm thời phát sinh từ việc đầu tư vào các công ty con mà </w:t>
      </w:r>
      <w:r w:rsidR="00731917" w:rsidRPr="00010F83">
        <w:rPr>
          <w:rFonts w:ascii="Arial" w:hAnsi="Arial" w:cs="Arial"/>
        </w:rPr>
        <w:t>thuế TNDN</w:t>
      </w:r>
      <w:r w:rsidR="006805F0" w:rsidRPr="00010F83">
        <w:rPr>
          <w:rFonts w:ascii="Arial" w:hAnsi="Arial" w:cs="Arial"/>
        </w:rPr>
        <w:t xml:space="preserve"> hoãn lại phải trả</w:t>
      </w:r>
      <w:r w:rsidRPr="00010F83">
        <w:rPr>
          <w:rFonts w:ascii="Arial" w:hAnsi="Arial" w:cs="Arial"/>
        </w:rPr>
        <w:t xml:space="preserve"> </w:t>
      </w:r>
      <w:r w:rsidR="0015798E" w:rsidRPr="00010F83">
        <w:rPr>
          <w:rFonts w:ascii="Arial" w:hAnsi="Arial" w:cs="Arial"/>
        </w:rPr>
        <w:t xml:space="preserve">không </w:t>
      </w:r>
      <w:r w:rsidRPr="00010F83">
        <w:rPr>
          <w:rFonts w:ascii="Arial" w:hAnsi="Arial" w:cs="Arial"/>
        </w:rPr>
        <w:t>được ghi nhận (xem đoạn 81</w:t>
      </w:r>
      <w:r w:rsidR="000B1EC8" w:rsidRPr="00010F83">
        <w:rPr>
          <w:rFonts w:ascii="Arial" w:hAnsi="Arial" w:cs="Arial"/>
        </w:rPr>
        <w:t>(</w:t>
      </w:r>
      <w:r w:rsidRPr="00010F83">
        <w:rPr>
          <w:rFonts w:ascii="Arial" w:hAnsi="Arial" w:cs="Arial"/>
        </w:rPr>
        <w:t>f</w:t>
      </w:r>
      <w:r w:rsidR="000B1EC8" w:rsidRPr="00010F83">
        <w:rPr>
          <w:rFonts w:ascii="Arial" w:hAnsi="Arial" w:cs="Arial"/>
        </w:rPr>
        <w:t>)</w:t>
      </w:r>
      <w:r w:rsidRPr="00010F83">
        <w:rPr>
          <w:rFonts w:ascii="Arial" w:hAnsi="Arial" w:cs="Arial"/>
        </w:rPr>
        <w:t xml:space="preserve">). Nếu không thể thực hiện được việc tính toán giá trị khoản </w:t>
      </w:r>
      <w:r w:rsidR="00731917" w:rsidRPr="00010F83">
        <w:rPr>
          <w:rFonts w:ascii="Arial" w:hAnsi="Arial" w:cs="Arial"/>
        </w:rPr>
        <w:t>thuế TNDN</w:t>
      </w:r>
      <w:r w:rsidR="006805F0" w:rsidRPr="00010F83">
        <w:rPr>
          <w:rFonts w:ascii="Arial" w:hAnsi="Arial" w:cs="Arial"/>
        </w:rPr>
        <w:t xml:space="preserve"> hoãn lại phải trả</w:t>
      </w:r>
      <w:r w:rsidRPr="00010F83">
        <w:rPr>
          <w:rFonts w:ascii="Arial" w:hAnsi="Arial" w:cs="Arial"/>
        </w:rPr>
        <w:t xml:space="preserve"> chưa được ghi nhận (xem đoạn 87), thì có thể có khoản tiền thuế </w:t>
      </w:r>
      <w:r w:rsidR="0015798E" w:rsidRPr="00010F83">
        <w:rPr>
          <w:rFonts w:ascii="Arial" w:hAnsi="Arial" w:cs="Arial"/>
        </w:rPr>
        <w:t>tiềm tàng</w:t>
      </w:r>
      <w:r w:rsidRPr="00010F83">
        <w:rPr>
          <w:rFonts w:ascii="Arial" w:hAnsi="Arial" w:cs="Arial"/>
        </w:rPr>
        <w:t xml:space="preserve"> do việc chia cổ tức liên quan đến các công ty con đó</w:t>
      </w:r>
      <w:r w:rsidR="0015798E" w:rsidRPr="00010F83">
        <w:rPr>
          <w:rFonts w:ascii="Arial" w:hAnsi="Arial" w:cs="Arial"/>
        </w:rPr>
        <w:t xml:space="preserve"> cũng có thể không xác định được</w:t>
      </w:r>
      <w:r w:rsidRPr="00010F83">
        <w:rPr>
          <w:rFonts w:ascii="Arial" w:hAnsi="Arial" w:cs="Arial"/>
        </w:rPr>
        <w:t>.</w:t>
      </w:r>
    </w:p>
    <w:p w:rsidR="00A83436" w:rsidRPr="00010F83" w:rsidRDefault="00A83436" w:rsidP="005117B2">
      <w:pPr>
        <w:spacing w:after="120"/>
        <w:ind w:left="720" w:hanging="720"/>
        <w:jc w:val="both"/>
        <w:rPr>
          <w:rFonts w:ascii="Arial" w:hAnsi="Arial" w:cs="Arial"/>
        </w:rPr>
      </w:pPr>
      <w:r w:rsidRPr="00010F83">
        <w:rPr>
          <w:rFonts w:ascii="Arial" w:hAnsi="Arial" w:cs="Arial"/>
        </w:rPr>
        <w:t>88</w:t>
      </w:r>
      <w:r w:rsidRPr="00010F83">
        <w:rPr>
          <w:rFonts w:ascii="Arial" w:hAnsi="Arial" w:cs="Arial"/>
        </w:rPr>
        <w:tab/>
        <w:t xml:space="preserve">Đơn vị thuyết minh các khoản nợ tiềm tàng và tài sản tiềm tàng liên quan thuế đến </w:t>
      </w:r>
      <w:proofErr w:type="gramStart"/>
      <w:r w:rsidRPr="00010F83">
        <w:rPr>
          <w:rFonts w:ascii="Arial" w:hAnsi="Arial" w:cs="Arial"/>
        </w:rPr>
        <w:t>theo</w:t>
      </w:r>
      <w:proofErr w:type="gramEnd"/>
      <w:r w:rsidRPr="00010F83">
        <w:rPr>
          <w:rFonts w:ascii="Arial" w:hAnsi="Arial" w:cs="Arial"/>
        </w:rPr>
        <w:t xml:space="preserve"> chuẩn mực IAS 37 </w:t>
      </w:r>
      <w:r w:rsidRPr="00010F83">
        <w:rPr>
          <w:rFonts w:ascii="Arial" w:hAnsi="Arial" w:cs="Arial"/>
          <w:i/>
        </w:rPr>
        <w:t>Các khoản dự phòng, tài sản và nợ tiềm tàng</w:t>
      </w:r>
      <w:r w:rsidRPr="00010F83">
        <w:rPr>
          <w:rFonts w:ascii="Arial" w:hAnsi="Arial" w:cs="Arial"/>
        </w:rPr>
        <w:t xml:space="preserve">. </w:t>
      </w:r>
      <w:proofErr w:type="gramStart"/>
      <w:r w:rsidRPr="00010F83">
        <w:rPr>
          <w:rFonts w:ascii="Arial" w:hAnsi="Arial" w:cs="Arial"/>
        </w:rPr>
        <w:t>Tài sản và nợ tiềm tàng có thể phát sinh, ví dụ, từ tranh chấp chưa được giải quyết với cơ quan thuế.</w:t>
      </w:r>
      <w:proofErr w:type="gramEnd"/>
      <w:r w:rsidRPr="00010F83">
        <w:rPr>
          <w:rFonts w:ascii="Arial" w:hAnsi="Arial" w:cs="Arial"/>
        </w:rPr>
        <w:t xml:space="preserve"> Tương tự, nếu </w:t>
      </w:r>
      <w:r w:rsidR="00A20311" w:rsidRPr="00010F83">
        <w:rPr>
          <w:rFonts w:ascii="Arial" w:hAnsi="Arial" w:cs="Arial"/>
        </w:rPr>
        <w:t xml:space="preserve">có </w:t>
      </w:r>
      <w:r w:rsidRPr="00010F83">
        <w:rPr>
          <w:rFonts w:ascii="Arial" w:hAnsi="Arial" w:cs="Arial"/>
        </w:rPr>
        <w:t xml:space="preserve">các thay đổi về thuế suất hoặc </w:t>
      </w:r>
      <w:r w:rsidR="00A20311" w:rsidRPr="00010F83">
        <w:rPr>
          <w:rFonts w:ascii="Arial" w:hAnsi="Arial" w:cs="Arial"/>
        </w:rPr>
        <w:t>qu</w:t>
      </w:r>
      <w:r w:rsidR="00131712" w:rsidRPr="00010F83">
        <w:rPr>
          <w:rFonts w:ascii="Arial" w:hAnsi="Arial" w:cs="Arial"/>
        </w:rPr>
        <w:t>y</w:t>
      </w:r>
      <w:r w:rsidR="00A20311" w:rsidRPr="00010F83">
        <w:rPr>
          <w:rFonts w:ascii="Arial" w:hAnsi="Arial" w:cs="Arial"/>
        </w:rPr>
        <w:t xml:space="preserve"> định </w:t>
      </w:r>
      <w:r w:rsidR="00131712" w:rsidRPr="00010F83">
        <w:rPr>
          <w:rFonts w:ascii="Arial" w:hAnsi="Arial" w:cs="Arial"/>
        </w:rPr>
        <w:t xml:space="preserve">thuế </w:t>
      </w:r>
      <w:r w:rsidRPr="00010F83">
        <w:rPr>
          <w:rFonts w:ascii="Arial" w:hAnsi="Arial" w:cs="Arial"/>
        </w:rPr>
        <w:t xml:space="preserve">sau ngày kết thúc kỳ báo cáo, đơn vị thuyết minh ảnh hưởng quan trọng của các thay đổi này đối với </w:t>
      </w:r>
      <w:r w:rsidR="006805F0" w:rsidRPr="00010F83">
        <w:rPr>
          <w:rFonts w:ascii="Arial" w:hAnsi="Arial" w:cs="Arial"/>
        </w:rPr>
        <w:t xml:space="preserve">tài sản </w:t>
      </w:r>
      <w:r w:rsidR="00731917" w:rsidRPr="00010F83">
        <w:rPr>
          <w:rFonts w:ascii="Arial" w:hAnsi="Arial" w:cs="Arial"/>
        </w:rPr>
        <w:t>thuế TNDN</w:t>
      </w:r>
      <w:r w:rsidR="006805F0" w:rsidRPr="00010F83">
        <w:rPr>
          <w:rFonts w:ascii="Arial" w:hAnsi="Arial" w:cs="Arial"/>
        </w:rPr>
        <w:t xml:space="preserve"> hoãn lại</w:t>
      </w:r>
      <w:r w:rsidRPr="00010F83">
        <w:rPr>
          <w:rFonts w:ascii="Arial" w:hAnsi="Arial" w:cs="Arial"/>
        </w:rPr>
        <w:t xml:space="preserve"> và </w:t>
      </w:r>
      <w:r w:rsidR="00731917" w:rsidRPr="00010F83">
        <w:rPr>
          <w:rFonts w:ascii="Arial" w:hAnsi="Arial" w:cs="Arial"/>
        </w:rPr>
        <w:t>thuế TNDN</w:t>
      </w:r>
      <w:r w:rsidR="006805F0" w:rsidRPr="00010F83">
        <w:rPr>
          <w:rFonts w:ascii="Arial" w:hAnsi="Arial" w:cs="Arial"/>
        </w:rPr>
        <w:t xml:space="preserve"> hoãn lại phải trả</w:t>
      </w:r>
      <w:r w:rsidRPr="00010F83">
        <w:rPr>
          <w:rFonts w:ascii="Arial" w:hAnsi="Arial" w:cs="Arial"/>
        </w:rPr>
        <w:t xml:space="preserve"> và thuế </w:t>
      </w:r>
      <w:r w:rsidR="00131712" w:rsidRPr="00010F83">
        <w:rPr>
          <w:rFonts w:ascii="Arial" w:hAnsi="Arial" w:cs="Arial"/>
        </w:rPr>
        <w:t xml:space="preserve">TNDN </w:t>
      </w:r>
      <w:r w:rsidRPr="00010F83">
        <w:rPr>
          <w:rFonts w:ascii="Arial" w:hAnsi="Arial" w:cs="Arial"/>
        </w:rPr>
        <w:t xml:space="preserve">hiện hành của đơn vị (xem Chuẩn mực kế toán </w:t>
      </w:r>
      <w:r w:rsidR="0032429B" w:rsidRPr="00010F83">
        <w:rPr>
          <w:rFonts w:ascii="Arial" w:hAnsi="Arial" w:cs="Arial"/>
        </w:rPr>
        <w:t>IAS</w:t>
      </w:r>
      <w:r w:rsidR="000B1EC8" w:rsidRPr="00010F83">
        <w:rPr>
          <w:rFonts w:ascii="Arial" w:hAnsi="Arial" w:cs="Arial"/>
        </w:rPr>
        <w:t xml:space="preserve"> </w:t>
      </w:r>
      <w:r w:rsidR="0032429B" w:rsidRPr="00010F83">
        <w:rPr>
          <w:rFonts w:ascii="Arial" w:hAnsi="Arial" w:cs="Arial"/>
        </w:rPr>
        <w:t>10</w:t>
      </w:r>
      <w:r w:rsidRPr="00010F83">
        <w:rPr>
          <w:rFonts w:ascii="Arial" w:hAnsi="Arial" w:cs="Arial"/>
        </w:rPr>
        <w:t xml:space="preserve"> </w:t>
      </w:r>
      <w:r w:rsidRPr="00010F83">
        <w:rPr>
          <w:rFonts w:ascii="Arial" w:hAnsi="Arial" w:cs="Arial"/>
          <w:i/>
        </w:rPr>
        <w:t>Các sự kiện phát sinh sau ngày kết thúc kỳ báo cáo</w:t>
      </w:r>
      <w:r w:rsidRPr="00010F83">
        <w:rPr>
          <w:rFonts w:ascii="Arial" w:hAnsi="Arial" w:cs="Arial"/>
        </w:rPr>
        <w:t>).</w:t>
      </w:r>
    </w:p>
    <w:p w:rsidR="00A83436" w:rsidRPr="00010F83" w:rsidRDefault="00A83436" w:rsidP="0089740E">
      <w:pPr>
        <w:spacing w:before="240" w:after="120"/>
        <w:jc w:val="both"/>
        <w:rPr>
          <w:rFonts w:ascii="Arial" w:hAnsi="Arial" w:cs="Arial"/>
          <w:b/>
          <w:sz w:val="24"/>
          <w:szCs w:val="24"/>
        </w:rPr>
      </w:pPr>
      <w:r w:rsidRPr="00010F83">
        <w:rPr>
          <w:rFonts w:ascii="Arial" w:hAnsi="Arial" w:cs="Arial"/>
          <w:b/>
          <w:sz w:val="24"/>
          <w:szCs w:val="24"/>
        </w:rPr>
        <w:t>Ngày hiệu lực</w:t>
      </w:r>
    </w:p>
    <w:p w:rsidR="00A83436" w:rsidRPr="00010F83" w:rsidRDefault="007B64CF" w:rsidP="000B1EC8">
      <w:pPr>
        <w:spacing w:before="360" w:after="120"/>
        <w:ind w:left="720" w:hanging="720"/>
        <w:jc w:val="both"/>
        <w:rPr>
          <w:rFonts w:ascii="Arial" w:hAnsi="Arial" w:cs="Arial"/>
        </w:rPr>
      </w:pPr>
      <w:r w:rsidRPr="00010F83">
        <w:rPr>
          <w:rFonts w:ascii="Arial" w:hAnsi="Arial" w:cs="Arial"/>
          <w:b/>
          <w:bCs/>
          <w:noProof/>
        </w:rPr>
        <w:pict>
          <v:line id="Straight Connector 11" o:spid="_x0000_s1032" style="position:absolute;left:0;text-align:left;z-index:251680768;visibility:visible;mso-wrap-style:square;mso-wrap-distance-left:9pt;mso-wrap-distance-top:0;mso-wrap-distance-right:9pt;mso-wrap-distance-bottom:0;mso-position-horizontal:absolute;mso-position-horizontal-relative:text;mso-position-vertical:absolute;mso-position-vertical-relative:text" from="0,-.05pt" to="46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" strokecolor="black [3200]" strokeweight=".5pt">
            <v:stroke joinstyle="miter"/>
          </v:line>
        </w:pict>
      </w:r>
      <w:r w:rsidR="00A83436" w:rsidRPr="00010F83">
        <w:rPr>
          <w:rFonts w:ascii="Arial" w:hAnsi="Arial" w:cs="Arial"/>
        </w:rPr>
        <w:t xml:space="preserve">89 </w:t>
      </w:r>
      <w:r w:rsidR="00A83436" w:rsidRPr="00010F83">
        <w:rPr>
          <w:rFonts w:ascii="Arial" w:hAnsi="Arial" w:cs="Arial"/>
        </w:rPr>
        <w:tab/>
        <w:t xml:space="preserve">Chuẩn mực này có hiệu lực đối với các báo cáo tài chính cho kỳ kế toán bắt đầu vào hoặc sau ngày 1 tháng 1 năm 1998, trừ </w:t>
      </w:r>
      <w:r w:rsidR="00A20311" w:rsidRPr="00010F83">
        <w:rPr>
          <w:rFonts w:ascii="Arial" w:hAnsi="Arial" w:cs="Arial"/>
        </w:rPr>
        <w:t>những</w:t>
      </w:r>
      <w:r w:rsidR="00A83436" w:rsidRPr="00010F83">
        <w:rPr>
          <w:rFonts w:ascii="Arial" w:hAnsi="Arial" w:cs="Arial"/>
        </w:rPr>
        <w:t xml:space="preserve"> quy định trong đoạn 91. Nếu đơn vị áp dụng chuẩn mực này đối với các báo cáo tài chính cho kỳ kế toán bắt đầu trước ngày 1 tháng 1 năm 1998, thì đơn vị cần phải thuyết minh việc đã thực hiện áp dụng chuẩn mực này thay </w:t>
      </w:r>
      <w:r w:rsidR="00A20311" w:rsidRPr="00010F83">
        <w:rPr>
          <w:rFonts w:ascii="Arial" w:hAnsi="Arial" w:cs="Arial"/>
        </w:rPr>
        <w:t>cho chuẩn mực</w:t>
      </w:r>
      <w:r w:rsidR="00A83436" w:rsidRPr="00010F83">
        <w:rPr>
          <w:rFonts w:ascii="Arial" w:hAnsi="Arial" w:cs="Arial"/>
        </w:rPr>
        <w:t xml:space="preserve"> IAS 12 </w:t>
      </w:r>
      <w:r w:rsidR="000B1EC8" w:rsidRPr="00010F83">
        <w:rPr>
          <w:rFonts w:ascii="Arial" w:hAnsi="Arial" w:cs="Arial"/>
          <w:i/>
        </w:rPr>
        <w:t xml:space="preserve">Hạch toán kế </w:t>
      </w:r>
      <w:r w:rsidR="00A83436" w:rsidRPr="00010F83">
        <w:rPr>
          <w:rFonts w:ascii="Arial" w:hAnsi="Arial" w:cs="Arial"/>
          <w:i/>
        </w:rPr>
        <w:t xml:space="preserve">toán </w:t>
      </w:r>
      <w:r w:rsidR="00731917" w:rsidRPr="00010F83">
        <w:rPr>
          <w:rFonts w:ascii="Arial" w:hAnsi="Arial" w:cs="Arial"/>
          <w:i/>
        </w:rPr>
        <w:t xml:space="preserve">thuế </w:t>
      </w:r>
      <w:r w:rsidR="00D82BB6" w:rsidRPr="00010F83">
        <w:rPr>
          <w:rFonts w:ascii="Arial" w:hAnsi="Arial" w:cs="Arial"/>
          <w:i/>
        </w:rPr>
        <w:t>thu nhập doanh nghiệp</w:t>
      </w:r>
      <w:r w:rsidR="00A83436" w:rsidRPr="00010F83">
        <w:rPr>
          <w:rFonts w:ascii="Arial" w:hAnsi="Arial" w:cs="Arial"/>
        </w:rPr>
        <w:t>, được phê duyệ</w:t>
      </w:r>
      <w:r w:rsidR="0032429B" w:rsidRPr="00010F83">
        <w:rPr>
          <w:rFonts w:ascii="Arial" w:hAnsi="Arial" w:cs="Arial"/>
        </w:rPr>
        <w:t>t</w:t>
      </w:r>
      <w:r w:rsidR="00A83436" w:rsidRPr="00010F83">
        <w:rPr>
          <w:rFonts w:ascii="Arial" w:hAnsi="Arial" w:cs="Arial"/>
        </w:rPr>
        <w:t xml:space="preserve"> năm 1979.</w:t>
      </w:r>
    </w:p>
    <w:p w:rsidR="0089740E" w:rsidRPr="00010F83" w:rsidRDefault="0089740E">
      <w:pPr>
        <w:rPr>
          <w:rFonts w:ascii="Arial" w:hAnsi="Arial" w:cs="Arial"/>
        </w:rPr>
      </w:pPr>
      <w:r w:rsidRPr="00010F83">
        <w:rPr>
          <w:rFonts w:ascii="Arial" w:hAnsi="Arial" w:cs="Arial"/>
        </w:rPr>
        <w:br w:type="page"/>
      </w:r>
    </w:p>
    <w:p w:rsidR="00A83436" w:rsidRPr="00010F83" w:rsidRDefault="002F2CB5" w:rsidP="000B1EC8">
      <w:pPr>
        <w:spacing w:after="120"/>
        <w:ind w:left="720" w:hanging="720"/>
        <w:jc w:val="both"/>
        <w:rPr>
          <w:rFonts w:ascii="Arial" w:hAnsi="Arial" w:cs="Arial"/>
        </w:rPr>
      </w:pPr>
      <w:r w:rsidRPr="00010F83">
        <w:rPr>
          <w:rFonts w:ascii="Arial" w:hAnsi="Arial" w:cs="Arial"/>
        </w:rPr>
        <w:t>90</w:t>
      </w:r>
      <w:r w:rsidRPr="00010F83">
        <w:rPr>
          <w:rFonts w:ascii="Arial" w:hAnsi="Arial" w:cs="Arial"/>
        </w:rPr>
        <w:tab/>
      </w:r>
      <w:r w:rsidR="00A83436" w:rsidRPr="00010F83">
        <w:rPr>
          <w:rFonts w:ascii="Arial" w:hAnsi="Arial" w:cs="Arial"/>
        </w:rPr>
        <w:t xml:space="preserve">Chuẩn mực này thay thế IAS 12 </w:t>
      </w:r>
      <w:r w:rsidR="000B1EC8" w:rsidRPr="00010F83">
        <w:rPr>
          <w:rFonts w:ascii="Arial" w:hAnsi="Arial" w:cs="Arial"/>
          <w:i/>
        </w:rPr>
        <w:t xml:space="preserve">Hạch toán </w:t>
      </w:r>
      <w:r w:rsidR="00583ECF" w:rsidRPr="00010F83">
        <w:rPr>
          <w:rFonts w:ascii="Arial" w:hAnsi="Arial" w:cs="Arial"/>
          <w:i/>
        </w:rPr>
        <w:t>K</w:t>
      </w:r>
      <w:r w:rsidR="000B1EC8" w:rsidRPr="00010F83">
        <w:rPr>
          <w:rFonts w:ascii="Arial" w:hAnsi="Arial" w:cs="Arial"/>
          <w:i/>
        </w:rPr>
        <w:t xml:space="preserve">ế </w:t>
      </w:r>
      <w:r w:rsidR="00A83436" w:rsidRPr="00010F83">
        <w:rPr>
          <w:rFonts w:ascii="Arial" w:hAnsi="Arial" w:cs="Arial"/>
          <w:i/>
        </w:rPr>
        <w:t xml:space="preserve">toán </w:t>
      </w:r>
      <w:r w:rsidR="00731917" w:rsidRPr="00010F83">
        <w:rPr>
          <w:rFonts w:ascii="Arial" w:hAnsi="Arial" w:cs="Arial"/>
          <w:i/>
        </w:rPr>
        <w:t xml:space="preserve">thuế </w:t>
      </w:r>
      <w:proofErr w:type="gramStart"/>
      <w:r w:rsidR="00D82BB6" w:rsidRPr="00010F83">
        <w:rPr>
          <w:rFonts w:ascii="Arial" w:hAnsi="Arial" w:cs="Arial"/>
          <w:i/>
        </w:rPr>
        <w:t>thu</w:t>
      </w:r>
      <w:proofErr w:type="gramEnd"/>
      <w:r w:rsidR="00D82BB6" w:rsidRPr="00010F83">
        <w:rPr>
          <w:rFonts w:ascii="Arial" w:hAnsi="Arial" w:cs="Arial"/>
          <w:i/>
        </w:rPr>
        <w:t xml:space="preserve"> nhập doanh nghiệp</w:t>
      </w:r>
      <w:r w:rsidR="00A83436" w:rsidRPr="00010F83">
        <w:rPr>
          <w:rFonts w:ascii="Arial" w:hAnsi="Arial" w:cs="Arial"/>
        </w:rPr>
        <w:t>, được phê duyệ</w:t>
      </w:r>
      <w:r w:rsidR="0032429B" w:rsidRPr="00010F83">
        <w:rPr>
          <w:rFonts w:ascii="Arial" w:hAnsi="Arial" w:cs="Arial"/>
        </w:rPr>
        <w:t>t</w:t>
      </w:r>
      <w:r w:rsidR="00A83436" w:rsidRPr="00010F83">
        <w:rPr>
          <w:rFonts w:ascii="Arial" w:hAnsi="Arial" w:cs="Arial"/>
        </w:rPr>
        <w:t xml:space="preserve"> năm 1979.</w:t>
      </w:r>
    </w:p>
    <w:p w:rsidR="00A83436" w:rsidRPr="00010F83" w:rsidRDefault="0089740E" w:rsidP="005117B2">
      <w:pPr>
        <w:spacing w:after="120"/>
        <w:ind w:left="720" w:hanging="720"/>
        <w:jc w:val="both"/>
        <w:rPr>
          <w:rFonts w:ascii="Arial" w:hAnsi="Arial" w:cs="Arial"/>
        </w:rPr>
      </w:pPr>
      <w:r w:rsidRPr="00010F83">
        <w:rPr>
          <w:rFonts w:ascii="Arial" w:hAnsi="Arial" w:cs="Arial"/>
        </w:rPr>
        <w:t xml:space="preserve">91       </w:t>
      </w:r>
      <w:r w:rsidR="00A83436" w:rsidRPr="00010F83">
        <w:rPr>
          <w:rFonts w:ascii="Arial" w:hAnsi="Arial" w:cs="Arial"/>
        </w:rPr>
        <w:t xml:space="preserve">Các đoạn 52A, 52B, 65A, 81(i), 82A, 87A, 87B, 87C và việc loại bỏ các đoạn 3 và 50 </w:t>
      </w:r>
      <w:r w:rsidR="0032429B" w:rsidRPr="00010F83">
        <w:rPr>
          <w:rFonts w:ascii="Arial" w:hAnsi="Arial" w:cs="Arial"/>
        </w:rPr>
        <w:t>có</w:t>
      </w:r>
      <w:r w:rsidR="00A83436" w:rsidRPr="00010F83">
        <w:rPr>
          <w:rFonts w:ascii="Arial" w:hAnsi="Arial" w:cs="Arial"/>
        </w:rPr>
        <w:t xml:space="preserve"> hiệu </w:t>
      </w:r>
      <w:r w:rsidR="0032429B" w:rsidRPr="00010F83">
        <w:rPr>
          <w:rFonts w:ascii="Arial" w:hAnsi="Arial" w:cs="Arial"/>
        </w:rPr>
        <w:t>lực đối với báo cáo tài chính năm</w:t>
      </w:r>
      <w:r w:rsidR="000B1EC8" w:rsidRPr="00010F83">
        <w:rPr>
          <w:rStyle w:val="FootnoteReference"/>
          <w:rFonts w:ascii="Arial" w:hAnsi="Arial" w:cs="Arial"/>
        </w:rPr>
        <w:footnoteReference w:id="2"/>
      </w:r>
      <w:r w:rsidR="00A83436" w:rsidRPr="00010F83">
        <w:rPr>
          <w:rFonts w:ascii="Arial" w:hAnsi="Arial" w:cs="Arial"/>
        </w:rPr>
        <w:t xml:space="preserve"> bắt đầu vào hoặc sau ngày 1 tháng 1 năm 2001. </w:t>
      </w:r>
      <w:r w:rsidR="0032429B" w:rsidRPr="00010F83">
        <w:rPr>
          <w:rFonts w:ascii="Arial" w:hAnsi="Arial" w:cs="Arial"/>
        </w:rPr>
        <w:t xml:space="preserve">Đơn vị được </w:t>
      </w:r>
      <w:r w:rsidR="00A83436" w:rsidRPr="00010F83">
        <w:rPr>
          <w:rFonts w:ascii="Arial" w:hAnsi="Arial" w:cs="Arial"/>
        </w:rPr>
        <w:t>khuyến khích</w:t>
      </w:r>
      <w:r w:rsidR="0032429B" w:rsidRPr="00010F83">
        <w:rPr>
          <w:rFonts w:ascii="Arial" w:hAnsi="Arial" w:cs="Arial"/>
        </w:rPr>
        <w:t xml:space="preserve"> áp dụng sớm</w:t>
      </w:r>
      <w:r w:rsidR="00A83436" w:rsidRPr="00010F83">
        <w:rPr>
          <w:rFonts w:ascii="Arial" w:hAnsi="Arial" w:cs="Arial"/>
        </w:rPr>
        <w:t xml:space="preserve">. </w:t>
      </w:r>
      <w:proofErr w:type="gramStart"/>
      <w:r w:rsidR="00A83436" w:rsidRPr="00010F83">
        <w:rPr>
          <w:rFonts w:ascii="Arial" w:hAnsi="Arial" w:cs="Arial"/>
        </w:rPr>
        <w:t>Nếu việc áp dụng sớm tác động đến báo cáo tài chính, đơn vị cần phải thuyế</w:t>
      </w:r>
      <w:r w:rsidR="0032429B" w:rsidRPr="00010F83">
        <w:rPr>
          <w:rFonts w:ascii="Arial" w:hAnsi="Arial" w:cs="Arial"/>
        </w:rPr>
        <w:t>t minh</w:t>
      </w:r>
      <w:r w:rsidR="00A83436" w:rsidRPr="00010F83">
        <w:rPr>
          <w:rFonts w:ascii="Arial" w:hAnsi="Arial" w:cs="Arial"/>
        </w:rPr>
        <w:t xml:space="preserve"> điều này.</w:t>
      </w:r>
      <w:proofErr w:type="gramEnd"/>
    </w:p>
    <w:p w:rsidR="00A83436" w:rsidRPr="00010F83" w:rsidRDefault="0032429B" w:rsidP="0089740E">
      <w:pPr>
        <w:spacing w:after="120"/>
        <w:ind w:left="720" w:hanging="720"/>
        <w:jc w:val="both"/>
        <w:rPr>
          <w:rFonts w:ascii="Arial" w:hAnsi="Arial" w:cs="Arial"/>
        </w:rPr>
      </w:pPr>
      <w:r w:rsidRPr="00010F83">
        <w:rPr>
          <w:rFonts w:ascii="Arial" w:hAnsi="Arial" w:cs="Arial"/>
        </w:rPr>
        <w:t>92        IAS 1 (</w:t>
      </w:r>
      <w:r w:rsidR="00A83436" w:rsidRPr="00010F83">
        <w:rPr>
          <w:rFonts w:ascii="Arial" w:hAnsi="Arial" w:cs="Arial"/>
        </w:rPr>
        <w:t xml:space="preserve">sửa </w:t>
      </w:r>
      <w:r w:rsidRPr="00010F83">
        <w:rPr>
          <w:rFonts w:ascii="Arial" w:hAnsi="Arial" w:cs="Arial"/>
        </w:rPr>
        <w:t xml:space="preserve">đổi năm </w:t>
      </w:r>
      <w:r w:rsidR="00A83436" w:rsidRPr="00010F83">
        <w:rPr>
          <w:rFonts w:ascii="Arial" w:hAnsi="Arial" w:cs="Arial"/>
        </w:rPr>
        <w:t xml:space="preserve">2007) đã thay đổi thuật ngữ được sử dụng trong IFRS. </w:t>
      </w:r>
      <w:proofErr w:type="gramStart"/>
      <w:r w:rsidR="00A83436" w:rsidRPr="00010F83">
        <w:rPr>
          <w:rFonts w:ascii="Arial" w:hAnsi="Arial" w:cs="Arial"/>
        </w:rPr>
        <w:t xml:space="preserve">Hơn nữa, </w:t>
      </w:r>
      <w:r w:rsidRPr="00010F83">
        <w:rPr>
          <w:rFonts w:ascii="Arial" w:hAnsi="Arial" w:cs="Arial"/>
        </w:rPr>
        <w:t>Bả</w:t>
      </w:r>
      <w:r w:rsidR="0089740E" w:rsidRPr="00010F83">
        <w:rPr>
          <w:rFonts w:ascii="Arial" w:hAnsi="Arial" w:cs="Arial"/>
        </w:rPr>
        <w:t xml:space="preserve">n </w:t>
      </w:r>
      <w:r w:rsidR="00A83436" w:rsidRPr="00010F83">
        <w:rPr>
          <w:rFonts w:ascii="Arial" w:hAnsi="Arial" w:cs="Arial"/>
        </w:rPr>
        <w:t>IAS 1</w:t>
      </w:r>
      <w:r w:rsidRPr="00010F83">
        <w:rPr>
          <w:rFonts w:ascii="Arial" w:hAnsi="Arial" w:cs="Arial"/>
        </w:rPr>
        <w:t xml:space="preserve"> này cũng</w:t>
      </w:r>
      <w:r w:rsidR="00A83436" w:rsidRPr="00010F83">
        <w:rPr>
          <w:rFonts w:ascii="Arial" w:hAnsi="Arial" w:cs="Arial"/>
        </w:rPr>
        <w:t xml:space="preserve"> thay đổi các đoạn 23, 52, 58, 6</w:t>
      </w:r>
      <w:r w:rsidRPr="00010F83">
        <w:rPr>
          <w:rFonts w:ascii="Arial" w:hAnsi="Arial" w:cs="Arial"/>
        </w:rPr>
        <w:t>0, 62, 63, 65, 68C, 77 và 81,</w:t>
      </w:r>
      <w:r w:rsidR="00A83436" w:rsidRPr="00010F83">
        <w:rPr>
          <w:rFonts w:ascii="Arial" w:hAnsi="Arial" w:cs="Arial"/>
        </w:rPr>
        <w:t xml:space="preserve"> bỏ đoạ</w:t>
      </w:r>
      <w:r w:rsidRPr="00010F83">
        <w:rPr>
          <w:rFonts w:ascii="Arial" w:hAnsi="Arial" w:cs="Arial"/>
        </w:rPr>
        <w:t>n 61 và thêm các</w:t>
      </w:r>
      <w:r w:rsidR="00A83436" w:rsidRPr="00010F83">
        <w:rPr>
          <w:rFonts w:ascii="Arial" w:hAnsi="Arial" w:cs="Arial"/>
        </w:rPr>
        <w:t xml:space="preserve"> đoạn 61A, 62A và 77A.</w:t>
      </w:r>
      <w:proofErr w:type="gramEnd"/>
      <w:r w:rsidR="00A83436" w:rsidRPr="00010F83">
        <w:rPr>
          <w:rFonts w:ascii="Arial" w:hAnsi="Arial" w:cs="Arial"/>
        </w:rPr>
        <w:t xml:space="preserve"> Đơn vị phải áp dụng nhữ</w:t>
      </w:r>
      <w:r w:rsidRPr="00010F83">
        <w:rPr>
          <w:rFonts w:ascii="Arial" w:hAnsi="Arial" w:cs="Arial"/>
        </w:rPr>
        <w:t>ng</w:t>
      </w:r>
      <w:r w:rsidR="00A83436" w:rsidRPr="00010F83">
        <w:rPr>
          <w:rFonts w:ascii="Arial" w:hAnsi="Arial" w:cs="Arial"/>
        </w:rPr>
        <w:t xml:space="preserve"> sửa đổ</w:t>
      </w:r>
      <w:r w:rsidRPr="00010F83">
        <w:rPr>
          <w:rFonts w:ascii="Arial" w:hAnsi="Arial" w:cs="Arial"/>
        </w:rPr>
        <w:t>i này cho</w:t>
      </w:r>
      <w:r w:rsidR="00A83436" w:rsidRPr="00010F83">
        <w:rPr>
          <w:rFonts w:ascii="Arial" w:hAnsi="Arial" w:cs="Arial"/>
        </w:rPr>
        <w:t xml:space="preserve"> kỳ kế toán năm bắt đầu vào hoặc sau ngày 1 tháng 1 năm 2009. Nếu đơn vị áp dụng IAS 1 (</w:t>
      </w:r>
      <w:r w:rsidRPr="00010F83">
        <w:rPr>
          <w:rFonts w:ascii="Arial" w:hAnsi="Arial" w:cs="Arial"/>
        </w:rPr>
        <w:t>bản</w:t>
      </w:r>
      <w:r w:rsidR="00A83436" w:rsidRPr="00010F83">
        <w:rPr>
          <w:rFonts w:ascii="Arial" w:hAnsi="Arial" w:cs="Arial"/>
        </w:rPr>
        <w:t xml:space="preserve"> sửa</w:t>
      </w:r>
      <w:r w:rsidRPr="00010F83">
        <w:rPr>
          <w:rFonts w:ascii="Arial" w:hAnsi="Arial" w:cs="Arial"/>
        </w:rPr>
        <w:t xml:space="preserve"> đổi năm 2007) </w:t>
      </w:r>
      <w:r w:rsidR="00A83436" w:rsidRPr="00010F83">
        <w:rPr>
          <w:rFonts w:ascii="Arial" w:hAnsi="Arial" w:cs="Arial"/>
        </w:rPr>
        <w:t>sớm hơn</w:t>
      </w:r>
      <w:r w:rsidRPr="00010F83">
        <w:rPr>
          <w:rFonts w:ascii="Arial" w:hAnsi="Arial" w:cs="Arial"/>
        </w:rPr>
        <w:t xml:space="preserve"> ngày hiệu lực</w:t>
      </w:r>
      <w:r w:rsidR="00A83436" w:rsidRPr="00010F83">
        <w:rPr>
          <w:rFonts w:ascii="Arial" w:hAnsi="Arial" w:cs="Arial"/>
        </w:rPr>
        <w:t xml:space="preserve">, các thay đổi </w:t>
      </w:r>
      <w:r w:rsidRPr="00010F83">
        <w:rPr>
          <w:rFonts w:ascii="Arial" w:hAnsi="Arial" w:cs="Arial"/>
        </w:rPr>
        <w:t xml:space="preserve">trên </w:t>
      </w:r>
      <w:r w:rsidR="00A83436" w:rsidRPr="00010F83">
        <w:rPr>
          <w:rFonts w:ascii="Arial" w:hAnsi="Arial" w:cs="Arial"/>
        </w:rPr>
        <w:t>cũng sẽ phải được áp dụng cho kỳ kế toán sớm đó.</w:t>
      </w:r>
    </w:p>
    <w:p w:rsidR="00A83436" w:rsidRPr="00010F83" w:rsidRDefault="0089740E" w:rsidP="0089740E">
      <w:pPr>
        <w:spacing w:after="120"/>
        <w:ind w:left="720" w:hanging="720"/>
        <w:jc w:val="both"/>
        <w:rPr>
          <w:rFonts w:ascii="Arial" w:hAnsi="Arial" w:cs="Arial"/>
        </w:rPr>
      </w:pPr>
      <w:proofErr w:type="gramStart"/>
      <w:r w:rsidRPr="00010F83">
        <w:rPr>
          <w:rFonts w:ascii="Arial" w:hAnsi="Arial" w:cs="Arial"/>
        </w:rPr>
        <w:t xml:space="preserve">93       </w:t>
      </w:r>
      <w:r w:rsidR="00A83436" w:rsidRPr="00010F83">
        <w:rPr>
          <w:rFonts w:ascii="Arial" w:hAnsi="Arial" w:cs="Arial"/>
        </w:rPr>
        <w:t xml:space="preserve">Đoạn 68 sẽ được áp dụng </w:t>
      </w:r>
      <w:r w:rsidR="0032429B" w:rsidRPr="00010F83">
        <w:rPr>
          <w:rFonts w:ascii="Arial" w:hAnsi="Arial" w:cs="Arial"/>
        </w:rPr>
        <w:t xml:space="preserve">phi hồi tố </w:t>
      </w:r>
      <w:r w:rsidR="00A83436" w:rsidRPr="00010F83">
        <w:rPr>
          <w:rFonts w:ascii="Arial" w:hAnsi="Arial" w:cs="Arial"/>
        </w:rPr>
        <w:t xml:space="preserve">kể từ ngày hiệu lực của IFRS 3 (sửa </w:t>
      </w:r>
      <w:r w:rsidR="0032429B" w:rsidRPr="00010F83">
        <w:rPr>
          <w:rFonts w:ascii="Arial" w:hAnsi="Arial" w:cs="Arial"/>
        </w:rPr>
        <w:t xml:space="preserve">đổi năm </w:t>
      </w:r>
      <w:r w:rsidR="00A83436" w:rsidRPr="00010F83">
        <w:rPr>
          <w:rFonts w:ascii="Arial" w:hAnsi="Arial" w:cs="Arial"/>
        </w:rPr>
        <w:t xml:space="preserve">2008) cho việc ghi nhận tài sản </w:t>
      </w:r>
      <w:r w:rsidR="00731917" w:rsidRPr="00010F83">
        <w:rPr>
          <w:rFonts w:ascii="Arial" w:hAnsi="Arial" w:cs="Arial"/>
        </w:rPr>
        <w:t>thuế TNDN</w:t>
      </w:r>
      <w:r w:rsidR="00A83436" w:rsidRPr="00010F83">
        <w:rPr>
          <w:rFonts w:ascii="Arial" w:hAnsi="Arial" w:cs="Arial"/>
        </w:rPr>
        <w:t xml:space="preserve"> hoãn lại </w:t>
      </w:r>
      <w:r w:rsidR="0032429B" w:rsidRPr="00010F83">
        <w:rPr>
          <w:rFonts w:ascii="Arial" w:hAnsi="Arial" w:cs="Arial"/>
        </w:rPr>
        <w:t>mua</w:t>
      </w:r>
      <w:r w:rsidR="00A83436" w:rsidRPr="00010F83">
        <w:rPr>
          <w:rFonts w:ascii="Arial" w:hAnsi="Arial" w:cs="Arial"/>
        </w:rPr>
        <w:t xml:space="preserve"> được trong </w:t>
      </w:r>
      <w:r w:rsidR="0032429B" w:rsidRPr="00010F83">
        <w:rPr>
          <w:rFonts w:ascii="Arial" w:hAnsi="Arial" w:cs="Arial"/>
        </w:rPr>
        <w:t>một giao dịch</w:t>
      </w:r>
      <w:r w:rsidR="00A83436" w:rsidRPr="00010F83">
        <w:rPr>
          <w:rFonts w:ascii="Arial" w:hAnsi="Arial" w:cs="Arial"/>
        </w:rPr>
        <w:t xml:space="preserve"> hợp nhất kinh doanh.</w:t>
      </w:r>
      <w:proofErr w:type="gramEnd"/>
    </w:p>
    <w:p w:rsidR="00A83436" w:rsidRPr="00010F83" w:rsidRDefault="00A83436" w:rsidP="0089740E">
      <w:pPr>
        <w:spacing w:after="120"/>
        <w:ind w:left="720" w:hanging="720"/>
        <w:jc w:val="both"/>
        <w:rPr>
          <w:rFonts w:ascii="Arial" w:hAnsi="Arial" w:cs="Arial"/>
        </w:rPr>
      </w:pPr>
      <w:r w:rsidRPr="00010F83">
        <w:rPr>
          <w:rFonts w:ascii="Arial" w:hAnsi="Arial" w:cs="Arial"/>
        </w:rPr>
        <w:t xml:space="preserve">94        Do đó, các đơn vị không được điều chỉnh </w:t>
      </w:r>
      <w:r w:rsidR="00601828" w:rsidRPr="00010F83">
        <w:rPr>
          <w:rFonts w:ascii="Arial" w:hAnsi="Arial" w:cs="Arial"/>
        </w:rPr>
        <w:t>cho các giao dịch</w:t>
      </w:r>
      <w:r w:rsidRPr="00010F83">
        <w:rPr>
          <w:rFonts w:ascii="Arial" w:hAnsi="Arial" w:cs="Arial"/>
        </w:rPr>
        <w:t xml:space="preserve"> hợp nhất kinh doanh </w:t>
      </w:r>
      <w:r w:rsidR="00601828" w:rsidRPr="00010F83">
        <w:rPr>
          <w:rFonts w:ascii="Arial" w:hAnsi="Arial" w:cs="Arial"/>
        </w:rPr>
        <w:t xml:space="preserve">trước đó </w:t>
      </w:r>
      <w:r w:rsidRPr="00010F83">
        <w:rPr>
          <w:rFonts w:ascii="Arial" w:hAnsi="Arial" w:cs="Arial"/>
        </w:rPr>
        <w:t xml:space="preserve">nếu lợi ích thuế không đáp ứng tiêu chuẩn cho việc ghi nhận riêng tại ngày mua và </w:t>
      </w:r>
      <w:r w:rsidR="00601828" w:rsidRPr="00010F83">
        <w:rPr>
          <w:rFonts w:ascii="Arial" w:hAnsi="Arial" w:cs="Arial"/>
        </w:rPr>
        <w:t>chỉ được hạch toán vào thời điểm sau ngày mua</w:t>
      </w:r>
      <w:r w:rsidRPr="00010F83">
        <w:rPr>
          <w:rFonts w:ascii="Arial" w:hAnsi="Arial" w:cs="Arial"/>
        </w:rPr>
        <w:t xml:space="preserve">, trừ khi các lợi ích </w:t>
      </w:r>
      <w:r w:rsidR="00601828" w:rsidRPr="00010F83">
        <w:rPr>
          <w:rFonts w:ascii="Arial" w:hAnsi="Arial" w:cs="Arial"/>
        </w:rPr>
        <w:t xml:space="preserve">thuế đó </w:t>
      </w:r>
      <w:r w:rsidRPr="00010F83">
        <w:rPr>
          <w:rFonts w:ascii="Arial" w:hAnsi="Arial" w:cs="Arial"/>
        </w:rPr>
        <w:t xml:space="preserve">được ghi nhận trong </w:t>
      </w:r>
      <w:r w:rsidR="00601828" w:rsidRPr="00010F83">
        <w:rPr>
          <w:rFonts w:ascii="Arial" w:hAnsi="Arial" w:cs="Arial"/>
        </w:rPr>
        <w:t xml:space="preserve">khoảng </w:t>
      </w:r>
      <w:r w:rsidRPr="00010F83">
        <w:rPr>
          <w:rFonts w:ascii="Arial" w:hAnsi="Arial" w:cs="Arial"/>
        </w:rPr>
        <w:t xml:space="preserve">thời gian </w:t>
      </w:r>
      <w:r w:rsidR="00601828" w:rsidRPr="00010F83">
        <w:rPr>
          <w:rFonts w:ascii="Arial" w:hAnsi="Arial" w:cs="Arial"/>
        </w:rPr>
        <w:t>cho phép điều chỉnh hạch toán hợp nhất kinh doanh</w:t>
      </w:r>
      <w:r w:rsidRPr="00010F83">
        <w:rPr>
          <w:rFonts w:ascii="Arial" w:hAnsi="Arial" w:cs="Arial"/>
        </w:rPr>
        <w:t xml:space="preserve"> và là kết quả từ các thông tin mới về các sự kiện và trường hợp </w:t>
      </w:r>
      <w:r w:rsidR="00601828" w:rsidRPr="00010F83">
        <w:rPr>
          <w:rFonts w:ascii="Arial" w:hAnsi="Arial" w:cs="Arial"/>
        </w:rPr>
        <w:t>đã hiện hữu</w:t>
      </w:r>
      <w:r w:rsidRPr="00010F83">
        <w:rPr>
          <w:rFonts w:ascii="Arial" w:hAnsi="Arial" w:cs="Arial"/>
        </w:rPr>
        <w:t xml:space="preserve"> tại ngày mua. Các lợi ích thuế khác được ghi nhận trong </w:t>
      </w:r>
      <w:r w:rsidR="007B64CF" w:rsidRPr="00010F83">
        <w:rPr>
          <w:rFonts w:ascii="Arial" w:hAnsi="Arial" w:cs="Arial"/>
        </w:rPr>
        <w:t>Báo cáo kết quả hoạt động kinh doanh (hoặc ghi nhận ngoài Báo cáo kết quả hoạt động kinh doanh</w:t>
      </w:r>
      <w:r w:rsidRPr="00010F83">
        <w:rPr>
          <w:rFonts w:ascii="Arial" w:hAnsi="Arial" w:cs="Arial"/>
        </w:rPr>
        <w:t>, nếu chuẩn</w:t>
      </w:r>
      <w:r w:rsidR="00601828" w:rsidRPr="00010F83">
        <w:rPr>
          <w:rFonts w:ascii="Arial" w:hAnsi="Arial" w:cs="Arial"/>
        </w:rPr>
        <w:t xml:space="preserve"> mực</w:t>
      </w:r>
      <w:r w:rsidRPr="00010F83">
        <w:rPr>
          <w:rFonts w:ascii="Arial" w:hAnsi="Arial" w:cs="Arial"/>
        </w:rPr>
        <w:t xml:space="preserve"> </w:t>
      </w:r>
      <w:r w:rsidR="00601828" w:rsidRPr="00010F83">
        <w:rPr>
          <w:rFonts w:ascii="Arial" w:hAnsi="Arial" w:cs="Arial"/>
        </w:rPr>
        <w:t>qui định</w:t>
      </w:r>
      <w:r w:rsidRPr="00010F83">
        <w:rPr>
          <w:rFonts w:ascii="Arial" w:hAnsi="Arial" w:cs="Arial"/>
        </w:rPr>
        <w:t>)</w:t>
      </w:r>
    </w:p>
    <w:p w:rsidR="00A83436" w:rsidRPr="00010F83" w:rsidRDefault="00A83436" w:rsidP="00590853">
      <w:pPr>
        <w:spacing w:after="120"/>
        <w:ind w:left="720" w:hanging="720"/>
        <w:jc w:val="both"/>
        <w:rPr>
          <w:rFonts w:ascii="Arial" w:hAnsi="Arial" w:cs="Arial"/>
        </w:rPr>
      </w:pPr>
      <w:r w:rsidRPr="00010F83">
        <w:rPr>
          <w:rFonts w:ascii="Arial" w:hAnsi="Arial" w:cs="Arial"/>
        </w:rPr>
        <w:t xml:space="preserve">95      </w:t>
      </w:r>
      <w:r w:rsidR="006A481C" w:rsidRPr="00010F83">
        <w:rPr>
          <w:rFonts w:ascii="Arial" w:hAnsi="Arial" w:cs="Arial"/>
        </w:rPr>
        <w:tab/>
      </w:r>
      <w:r w:rsidR="00601828" w:rsidRPr="00010F83">
        <w:rPr>
          <w:rFonts w:ascii="Arial" w:hAnsi="Arial" w:cs="Arial"/>
        </w:rPr>
        <w:t>IFRS 3 (</w:t>
      </w:r>
      <w:r w:rsidRPr="00010F83">
        <w:rPr>
          <w:rFonts w:ascii="Arial" w:hAnsi="Arial" w:cs="Arial"/>
        </w:rPr>
        <w:t>sửa</w:t>
      </w:r>
      <w:r w:rsidR="00601828" w:rsidRPr="00010F83">
        <w:rPr>
          <w:rFonts w:ascii="Arial" w:hAnsi="Arial" w:cs="Arial"/>
        </w:rPr>
        <w:t xml:space="preserve"> đổi</w:t>
      </w:r>
      <w:r w:rsidRPr="00010F83">
        <w:rPr>
          <w:rFonts w:ascii="Arial" w:hAnsi="Arial" w:cs="Arial"/>
        </w:rPr>
        <w:t xml:space="preserve"> </w:t>
      </w:r>
      <w:r w:rsidR="00601828" w:rsidRPr="00010F83">
        <w:rPr>
          <w:rFonts w:ascii="Arial" w:hAnsi="Arial" w:cs="Arial"/>
        </w:rPr>
        <w:t xml:space="preserve">năm </w:t>
      </w:r>
      <w:r w:rsidRPr="00010F83">
        <w:rPr>
          <w:rFonts w:ascii="Arial" w:hAnsi="Arial" w:cs="Arial"/>
        </w:rPr>
        <w:t xml:space="preserve">2008) đã </w:t>
      </w:r>
      <w:r w:rsidR="00601828" w:rsidRPr="00010F83">
        <w:rPr>
          <w:rFonts w:ascii="Arial" w:hAnsi="Arial" w:cs="Arial"/>
        </w:rPr>
        <w:t>thay đổi</w:t>
      </w:r>
      <w:r w:rsidRPr="00010F83">
        <w:rPr>
          <w:rFonts w:ascii="Arial" w:hAnsi="Arial" w:cs="Arial"/>
        </w:rPr>
        <w:t xml:space="preserve"> đoạn 21 và 67 và thêm vào đoạ</w:t>
      </w:r>
      <w:r w:rsidR="00601828" w:rsidRPr="00010F83">
        <w:rPr>
          <w:rFonts w:ascii="Arial" w:hAnsi="Arial" w:cs="Arial"/>
        </w:rPr>
        <w:t>n 32A,</w:t>
      </w:r>
      <w:r w:rsidRPr="00010F83">
        <w:rPr>
          <w:rFonts w:ascii="Arial" w:hAnsi="Arial" w:cs="Arial"/>
        </w:rPr>
        <w:t xml:space="preserve"> 81(j) và (k). Đơn vị cầ</w:t>
      </w:r>
      <w:r w:rsidR="00601828" w:rsidRPr="00010F83">
        <w:rPr>
          <w:rFonts w:ascii="Arial" w:hAnsi="Arial" w:cs="Arial"/>
        </w:rPr>
        <w:t>n</w:t>
      </w:r>
      <w:r w:rsidRPr="00010F83">
        <w:rPr>
          <w:rFonts w:ascii="Arial" w:hAnsi="Arial" w:cs="Arial"/>
        </w:rPr>
        <w:t xml:space="preserve"> áp dụng </w:t>
      </w:r>
      <w:r w:rsidR="00601828" w:rsidRPr="00010F83">
        <w:rPr>
          <w:rFonts w:ascii="Arial" w:hAnsi="Arial" w:cs="Arial"/>
        </w:rPr>
        <w:t>những</w:t>
      </w:r>
      <w:r w:rsidRPr="00010F83">
        <w:rPr>
          <w:rFonts w:ascii="Arial" w:hAnsi="Arial" w:cs="Arial"/>
        </w:rPr>
        <w:t xml:space="preserve"> thay đổi này cho các kỳ kế toán năm bắt đầu vào hoặc sau ngày 1 tháng 7 năm 2009. Nếu đơn vị áp dụng IFRS 3 (sửa</w:t>
      </w:r>
      <w:r w:rsidR="00601828" w:rsidRPr="00010F83">
        <w:rPr>
          <w:rFonts w:ascii="Arial" w:hAnsi="Arial" w:cs="Arial"/>
        </w:rPr>
        <w:t xml:space="preserve"> đổi</w:t>
      </w:r>
      <w:r w:rsidRPr="00010F83">
        <w:rPr>
          <w:rFonts w:ascii="Arial" w:hAnsi="Arial" w:cs="Arial"/>
        </w:rPr>
        <w:t xml:space="preserve"> 2008) cho kỳ kế toán sớm hơn, các thay đổi cũng sẽ phải được áp dụng cho kỳ kế toán sớm đó.</w:t>
      </w:r>
    </w:p>
    <w:p w:rsidR="00A83436" w:rsidRPr="00010F83" w:rsidRDefault="00A83436" w:rsidP="00590853">
      <w:pPr>
        <w:spacing w:after="120"/>
        <w:ind w:left="720" w:hanging="720"/>
        <w:jc w:val="both"/>
        <w:rPr>
          <w:rFonts w:ascii="Arial" w:hAnsi="Arial" w:cs="Arial"/>
        </w:rPr>
      </w:pPr>
      <w:r w:rsidRPr="00010F83">
        <w:rPr>
          <w:rFonts w:ascii="Arial" w:hAnsi="Arial" w:cs="Arial"/>
        </w:rPr>
        <w:t xml:space="preserve">96     </w:t>
      </w:r>
      <w:r w:rsidR="006A481C" w:rsidRPr="00010F83">
        <w:rPr>
          <w:rFonts w:ascii="Arial" w:hAnsi="Arial" w:cs="Arial"/>
        </w:rPr>
        <w:tab/>
      </w:r>
      <w:r w:rsidR="00DF0CD1" w:rsidRPr="00010F83">
        <w:rPr>
          <w:rFonts w:ascii="Arial" w:hAnsi="Arial" w:cs="Arial"/>
        </w:rPr>
        <w:t>[</w:t>
      </w:r>
      <w:r w:rsidR="006A481C" w:rsidRPr="00010F83">
        <w:rPr>
          <w:rFonts w:ascii="Arial" w:hAnsi="Arial" w:cs="Arial"/>
        </w:rPr>
        <w:t>Bỏ đoạn này</w:t>
      </w:r>
      <w:r w:rsidR="00DF0CD1" w:rsidRPr="00010F83">
        <w:rPr>
          <w:rFonts w:ascii="Arial" w:hAnsi="Arial" w:cs="Arial"/>
        </w:rPr>
        <w:t>]</w:t>
      </w:r>
    </w:p>
    <w:p w:rsidR="006A481C" w:rsidRPr="00010F83" w:rsidRDefault="00A83436" w:rsidP="00590853">
      <w:pPr>
        <w:spacing w:after="120"/>
        <w:ind w:left="720" w:hanging="720"/>
        <w:jc w:val="both"/>
        <w:rPr>
          <w:rFonts w:ascii="Arial" w:hAnsi="Arial" w:cs="Arial"/>
        </w:rPr>
      </w:pPr>
      <w:r w:rsidRPr="00010F83">
        <w:rPr>
          <w:rFonts w:ascii="Arial" w:hAnsi="Arial" w:cs="Arial"/>
        </w:rPr>
        <w:t xml:space="preserve">97    </w:t>
      </w:r>
      <w:r w:rsidR="006A481C" w:rsidRPr="00010F83">
        <w:rPr>
          <w:rFonts w:ascii="Arial" w:hAnsi="Arial" w:cs="Arial"/>
        </w:rPr>
        <w:tab/>
      </w:r>
      <w:r w:rsidR="00DF0CD1" w:rsidRPr="00010F83">
        <w:rPr>
          <w:rFonts w:ascii="Arial" w:hAnsi="Arial" w:cs="Arial"/>
        </w:rPr>
        <w:t>[</w:t>
      </w:r>
      <w:r w:rsidR="006A481C" w:rsidRPr="00010F83">
        <w:rPr>
          <w:rFonts w:ascii="Arial" w:hAnsi="Arial" w:cs="Arial"/>
        </w:rPr>
        <w:t>Bỏ đoạn này</w:t>
      </w:r>
      <w:r w:rsidR="00DF0CD1" w:rsidRPr="00010F83">
        <w:rPr>
          <w:rFonts w:ascii="Arial" w:hAnsi="Arial" w:cs="Arial"/>
        </w:rPr>
        <w:t>]</w:t>
      </w:r>
    </w:p>
    <w:p w:rsidR="00A83436" w:rsidRPr="00010F83" w:rsidRDefault="006A481C" w:rsidP="00262D58">
      <w:pPr>
        <w:spacing w:after="120"/>
        <w:ind w:left="720" w:hanging="720"/>
        <w:jc w:val="both"/>
        <w:rPr>
          <w:rFonts w:ascii="Arial" w:hAnsi="Arial" w:cs="Arial"/>
        </w:rPr>
      </w:pPr>
      <w:r w:rsidRPr="00010F83">
        <w:rPr>
          <w:rFonts w:ascii="Arial" w:hAnsi="Arial" w:cs="Arial"/>
        </w:rPr>
        <w:t>98</w:t>
      </w:r>
      <w:r w:rsidRPr="00010F83">
        <w:rPr>
          <w:rFonts w:ascii="Arial" w:hAnsi="Arial" w:cs="Arial"/>
        </w:rPr>
        <w:tab/>
      </w:r>
      <w:r w:rsidR="00A83436" w:rsidRPr="00010F83">
        <w:rPr>
          <w:rFonts w:ascii="Arial" w:hAnsi="Arial" w:cs="Arial"/>
        </w:rPr>
        <w:t>Đoạn 52 được đánh số lại thành 51A, đoạn 10 và các ví dụ liên quan đến đoạn 51A đượ</w:t>
      </w:r>
      <w:r w:rsidR="003204B0" w:rsidRPr="00010F83">
        <w:rPr>
          <w:rFonts w:ascii="Arial" w:hAnsi="Arial" w:cs="Arial"/>
        </w:rPr>
        <w:t>c sửa</w:t>
      </w:r>
      <w:r w:rsidR="00A83436" w:rsidRPr="00010F83">
        <w:rPr>
          <w:rFonts w:ascii="Arial" w:hAnsi="Arial" w:cs="Arial"/>
        </w:rPr>
        <w:t xml:space="preserve"> đổi, các đoạn 51B, 51C và các ví dụ liên quan cùng với đoạn 51D, 51E và 99 được thêm vào bởi </w:t>
      </w:r>
      <w:r w:rsidR="003204B0" w:rsidRPr="00010F83">
        <w:rPr>
          <w:rFonts w:ascii="Arial" w:hAnsi="Arial" w:cs="Arial"/>
        </w:rPr>
        <w:t xml:space="preserve">công bố </w:t>
      </w:r>
      <w:r w:rsidR="00A83436" w:rsidRPr="00010F83">
        <w:rPr>
          <w:rFonts w:ascii="Arial" w:hAnsi="Arial" w:cs="Arial"/>
          <w:i/>
        </w:rPr>
        <w:t xml:space="preserve">Thuế hoãn lại: </w:t>
      </w:r>
      <w:r w:rsidR="00153916" w:rsidRPr="00010F83">
        <w:rPr>
          <w:rFonts w:ascii="Arial" w:hAnsi="Arial" w:cs="Arial"/>
          <w:i/>
        </w:rPr>
        <w:t>thu hồi</w:t>
      </w:r>
      <w:r w:rsidR="00A83436" w:rsidRPr="00010F83">
        <w:rPr>
          <w:rFonts w:ascii="Arial" w:hAnsi="Arial" w:cs="Arial"/>
          <w:i/>
        </w:rPr>
        <w:t xml:space="preserve"> tài sản </w:t>
      </w:r>
      <w:r w:rsidR="00153916" w:rsidRPr="00010F83">
        <w:rPr>
          <w:rFonts w:ascii="Arial" w:hAnsi="Arial" w:cs="Arial"/>
          <w:i/>
        </w:rPr>
        <w:t>gốc</w:t>
      </w:r>
      <w:r w:rsidR="00A83436" w:rsidRPr="00010F83">
        <w:rPr>
          <w:rFonts w:ascii="Arial" w:hAnsi="Arial" w:cs="Arial"/>
        </w:rPr>
        <w:t xml:space="preserve">, được </w:t>
      </w:r>
      <w:r w:rsidR="00153916" w:rsidRPr="00010F83">
        <w:rPr>
          <w:rFonts w:ascii="Arial" w:hAnsi="Arial" w:cs="Arial"/>
        </w:rPr>
        <w:t>công bố</w:t>
      </w:r>
      <w:r w:rsidR="00A83436" w:rsidRPr="00010F83">
        <w:rPr>
          <w:rFonts w:ascii="Arial" w:hAnsi="Arial" w:cs="Arial"/>
        </w:rPr>
        <w:t xml:space="preserve"> tháng 12 năm 2010. Đơn vị phải áp dụng các thay đổi </w:t>
      </w:r>
      <w:r w:rsidR="00153916" w:rsidRPr="00010F83">
        <w:rPr>
          <w:rFonts w:ascii="Arial" w:hAnsi="Arial" w:cs="Arial"/>
        </w:rPr>
        <w:t xml:space="preserve">này cho </w:t>
      </w:r>
      <w:r w:rsidR="00A83436" w:rsidRPr="00010F83">
        <w:rPr>
          <w:rFonts w:ascii="Arial" w:hAnsi="Arial" w:cs="Arial"/>
        </w:rPr>
        <w:t xml:space="preserve">kỳ kế toán năm bắt đầu vào hoặc sau ngày 1 tháng 1 năm 2012. </w:t>
      </w:r>
      <w:proofErr w:type="gramStart"/>
      <w:r w:rsidR="00A83436" w:rsidRPr="00010F83">
        <w:rPr>
          <w:rFonts w:ascii="Arial" w:hAnsi="Arial" w:cs="Arial"/>
        </w:rPr>
        <w:t>Việc áp dụng sớm hơn được cho phép.</w:t>
      </w:r>
      <w:proofErr w:type="gramEnd"/>
      <w:r w:rsidR="00A83436" w:rsidRPr="00010F83">
        <w:rPr>
          <w:rFonts w:ascii="Arial" w:hAnsi="Arial" w:cs="Arial"/>
        </w:rPr>
        <w:t xml:space="preserve"> Nếu đơn vị áp dụng các thay đổi sớm hơn</w:t>
      </w:r>
      <w:r w:rsidR="00153916" w:rsidRPr="00010F83">
        <w:rPr>
          <w:rFonts w:ascii="Arial" w:hAnsi="Arial" w:cs="Arial"/>
        </w:rPr>
        <w:t xml:space="preserve"> ngày hiệu lực,</w:t>
      </w:r>
      <w:r w:rsidR="00A83436" w:rsidRPr="00010F83">
        <w:rPr>
          <w:rFonts w:ascii="Arial" w:hAnsi="Arial" w:cs="Arial"/>
        </w:rPr>
        <w:t xml:space="preserve"> cần thuyết minh </w:t>
      </w:r>
      <w:r w:rsidR="00153916" w:rsidRPr="00010F83">
        <w:rPr>
          <w:rFonts w:ascii="Arial" w:hAnsi="Arial" w:cs="Arial"/>
        </w:rPr>
        <w:t>việc</w:t>
      </w:r>
      <w:r w:rsidR="00A83436" w:rsidRPr="00010F83">
        <w:rPr>
          <w:rFonts w:ascii="Arial" w:hAnsi="Arial" w:cs="Arial"/>
        </w:rPr>
        <w:t xml:space="preserve"> này.</w:t>
      </w:r>
    </w:p>
    <w:p w:rsidR="00A83436" w:rsidRPr="00010F83" w:rsidRDefault="00A83436" w:rsidP="002F2CB5">
      <w:pPr>
        <w:spacing w:after="120"/>
        <w:ind w:left="720" w:hanging="720"/>
        <w:jc w:val="both"/>
        <w:rPr>
          <w:rFonts w:ascii="Arial" w:hAnsi="Arial" w:cs="Arial"/>
        </w:rPr>
      </w:pPr>
      <w:r w:rsidRPr="00010F83">
        <w:rPr>
          <w:rFonts w:ascii="Arial" w:hAnsi="Arial" w:cs="Arial"/>
        </w:rPr>
        <w:t xml:space="preserve">98A  </w:t>
      </w:r>
      <w:r w:rsidR="002F2CB5" w:rsidRPr="00010F83">
        <w:rPr>
          <w:rFonts w:ascii="Arial" w:hAnsi="Arial" w:cs="Arial"/>
        </w:rPr>
        <w:tab/>
      </w:r>
      <w:r w:rsidRPr="00010F83">
        <w:rPr>
          <w:rFonts w:ascii="Arial" w:hAnsi="Arial" w:cs="Arial"/>
        </w:rPr>
        <w:t xml:space="preserve">IFRS 11 </w:t>
      </w:r>
      <w:r w:rsidRPr="00010F83">
        <w:rPr>
          <w:rFonts w:ascii="Arial" w:hAnsi="Arial" w:cs="Arial"/>
          <w:i/>
        </w:rPr>
        <w:t xml:space="preserve">Thỏa thuận </w:t>
      </w:r>
      <w:r w:rsidR="006A481C" w:rsidRPr="00010F83">
        <w:rPr>
          <w:rFonts w:ascii="Arial" w:hAnsi="Arial" w:cs="Arial"/>
          <w:i/>
        </w:rPr>
        <w:t>chung</w:t>
      </w:r>
      <w:r w:rsidR="00153916" w:rsidRPr="00010F83">
        <w:rPr>
          <w:rFonts w:ascii="Arial" w:hAnsi="Arial" w:cs="Arial"/>
        </w:rPr>
        <w:t>, ban hành</w:t>
      </w:r>
      <w:r w:rsidRPr="00010F83">
        <w:rPr>
          <w:rFonts w:ascii="Arial" w:hAnsi="Arial" w:cs="Arial"/>
        </w:rPr>
        <w:t xml:space="preserve"> tháng 5 năm 2011, sửa đổi các đoạn 2, 15, 18(e), 24, 38, 39, 43-45, 81(f), 87 và 87C. Đơn vị phải áp dụng những sửa đổi này khi áp dụng IFRS 11.</w:t>
      </w:r>
    </w:p>
    <w:p w:rsidR="002F2CB5" w:rsidRPr="00010F83" w:rsidRDefault="002F2CB5">
      <w:pPr>
        <w:rPr>
          <w:rFonts w:ascii="Arial" w:hAnsi="Arial" w:cs="Arial"/>
        </w:rPr>
      </w:pPr>
      <w:r w:rsidRPr="00010F83">
        <w:rPr>
          <w:rFonts w:ascii="Arial" w:hAnsi="Arial" w:cs="Arial"/>
        </w:rPr>
        <w:br w:type="page"/>
      </w:r>
    </w:p>
    <w:p w:rsidR="00A83436" w:rsidRPr="00010F83" w:rsidRDefault="00A83436" w:rsidP="002F2CB5">
      <w:pPr>
        <w:spacing w:after="120"/>
        <w:ind w:left="720" w:hanging="720"/>
        <w:jc w:val="both"/>
        <w:rPr>
          <w:rFonts w:ascii="Arial" w:hAnsi="Arial" w:cs="Arial"/>
        </w:rPr>
      </w:pPr>
      <w:r w:rsidRPr="00010F83">
        <w:rPr>
          <w:rFonts w:ascii="Arial" w:hAnsi="Arial" w:cs="Arial"/>
        </w:rPr>
        <w:t xml:space="preserve">98B   </w:t>
      </w:r>
      <w:r w:rsidR="006A481C" w:rsidRPr="00010F83">
        <w:rPr>
          <w:rFonts w:ascii="Arial" w:hAnsi="Arial" w:cs="Arial"/>
        </w:rPr>
        <w:tab/>
      </w:r>
      <w:r w:rsidRPr="00010F83">
        <w:rPr>
          <w:rFonts w:ascii="Arial" w:hAnsi="Arial" w:cs="Arial"/>
          <w:i/>
        </w:rPr>
        <w:t>Trình bày các khoản mục của Thu Nhập Toàn Diện Khác</w:t>
      </w:r>
      <w:r w:rsidR="00AA39A8" w:rsidRPr="00010F83">
        <w:rPr>
          <w:rFonts w:ascii="Arial" w:hAnsi="Arial" w:cs="Arial"/>
        </w:rPr>
        <w:t xml:space="preserve"> (sửa đổi</w:t>
      </w:r>
      <w:r w:rsidRPr="00010F83">
        <w:rPr>
          <w:rFonts w:ascii="Arial" w:hAnsi="Arial" w:cs="Arial"/>
        </w:rPr>
        <w:t xml:space="preserve"> IAS</w:t>
      </w:r>
      <w:r w:rsidR="000B1EC8" w:rsidRPr="00010F83">
        <w:rPr>
          <w:rFonts w:ascii="Arial" w:hAnsi="Arial" w:cs="Arial"/>
        </w:rPr>
        <w:t xml:space="preserve"> </w:t>
      </w:r>
      <w:r w:rsidRPr="00010F83">
        <w:rPr>
          <w:rFonts w:ascii="Arial" w:hAnsi="Arial" w:cs="Arial"/>
        </w:rPr>
        <w:t xml:space="preserve">1), được </w:t>
      </w:r>
      <w:r w:rsidR="00AA39A8" w:rsidRPr="00010F83">
        <w:rPr>
          <w:rFonts w:ascii="Arial" w:hAnsi="Arial" w:cs="Arial"/>
        </w:rPr>
        <w:t xml:space="preserve">ban hành vào tháng 6 năm 2011, </w:t>
      </w:r>
      <w:r w:rsidRPr="00010F83">
        <w:rPr>
          <w:rFonts w:ascii="Arial" w:hAnsi="Arial" w:cs="Arial"/>
        </w:rPr>
        <w:t>sửa đổi đoạ</w:t>
      </w:r>
      <w:r w:rsidR="00AA39A8" w:rsidRPr="00010F83">
        <w:rPr>
          <w:rFonts w:ascii="Arial" w:hAnsi="Arial" w:cs="Arial"/>
        </w:rPr>
        <w:t xml:space="preserve">n 77 và </w:t>
      </w:r>
      <w:r w:rsidRPr="00010F83">
        <w:rPr>
          <w:rFonts w:ascii="Arial" w:hAnsi="Arial" w:cs="Arial"/>
        </w:rPr>
        <w:t>bỏ đoạn 77A. Đơn vị phải áp dụng các thay đổi này khi áp dụng IAS</w:t>
      </w:r>
      <w:r w:rsidR="000B1EC8" w:rsidRPr="00010F83">
        <w:rPr>
          <w:rFonts w:ascii="Arial" w:hAnsi="Arial" w:cs="Arial"/>
        </w:rPr>
        <w:t xml:space="preserve"> </w:t>
      </w:r>
      <w:r w:rsidRPr="00010F83">
        <w:rPr>
          <w:rFonts w:ascii="Arial" w:hAnsi="Arial" w:cs="Arial"/>
        </w:rPr>
        <w:t xml:space="preserve">1 </w:t>
      </w:r>
      <w:r w:rsidR="00AA39A8" w:rsidRPr="00010F83">
        <w:rPr>
          <w:rFonts w:ascii="Arial" w:hAnsi="Arial" w:cs="Arial"/>
        </w:rPr>
        <w:t>bản sửa đổi</w:t>
      </w:r>
      <w:r w:rsidRPr="00010F83">
        <w:rPr>
          <w:rFonts w:ascii="Arial" w:hAnsi="Arial" w:cs="Arial"/>
        </w:rPr>
        <w:t xml:space="preserve"> tháng 6 năm 2011.</w:t>
      </w:r>
    </w:p>
    <w:p w:rsidR="00A83436" w:rsidRPr="00010F83" w:rsidRDefault="00A83436" w:rsidP="002F2CB5">
      <w:pPr>
        <w:spacing w:after="120"/>
        <w:ind w:left="720" w:hanging="720"/>
        <w:jc w:val="both"/>
        <w:rPr>
          <w:rFonts w:ascii="Arial" w:hAnsi="Arial" w:cs="Arial"/>
        </w:rPr>
      </w:pPr>
      <w:r w:rsidRPr="00010F83">
        <w:rPr>
          <w:rFonts w:ascii="Arial" w:hAnsi="Arial" w:cs="Arial"/>
        </w:rPr>
        <w:t xml:space="preserve">98C   </w:t>
      </w:r>
      <w:r w:rsidR="006A481C" w:rsidRPr="00010F83">
        <w:rPr>
          <w:rFonts w:ascii="Arial" w:hAnsi="Arial" w:cs="Arial"/>
        </w:rPr>
        <w:tab/>
      </w:r>
      <w:r w:rsidR="006A481C" w:rsidRPr="00010F83">
        <w:rPr>
          <w:rFonts w:ascii="Arial" w:hAnsi="Arial" w:cs="Arial"/>
          <w:i/>
        </w:rPr>
        <w:t>Đơn vị đầu tư</w:t>
      </w:r>
      <w:r w:rsidRPr="00010F83">
        <w:rPr>
          <w:rFonts w:ascii="Arial" w:hAnsi="Arial" w:cs="Arial"/>
        </w:rPr>
        <w:t xml:space="preserve"> (</w:t>
      </w:r>
      <w:r w:rsidR="00AA39A8" w:rsidRPr="00010F83">
        <w:rPr>
          <w:rFonts w:ascii="Arial" w:hAnsi="Arial" w:cs="Arial"/>
        </w:rPr>
        <w:t>sửa đổi</w:t>
      </w:r>
      <w:r w:rsidRPr="00010F83">
        <w:rPr>
          <w:rFonts w:ascii="Arial" w:hAnsi="Arial" w:cs="Arial"/>
        </w:rPr>
        <w:t xml:space="preserve"> IFRS 10, IFRS 12 và IAS 27), </w:t>
      </w:r>
      <w:r w:rsidR="00AA39A8" w:rsidRPr="00010F83">
        <w:rPr>
          <w:rFonts w:ascii="Arial" w:hAnsi="Arial" w:cs="Arial"/>
        </w:rPr>
        <w:t xml:space="preserve">ban hành </w:t>
      </w:r>
      <w:r w:rsidRPr="00010F83">
        <w:rPr>
          <w:rFonts w:ascii="Arial" w:hAnsi="Arial" w:cs="Arial"/>
        </w:rPr>
        <w:t xml:space="preserve">tháng 10 năm 2012, đã sửa đổi đoạn 58 và 68C. Đơn vị phải áp dụng các thay đổi này </w:t>
      </w:r>
      <w:r w:rsidR="00AA39A8" w:rsidRPr="00010F83">
        <w:rPr>
          <w:rFonts w:ascii="Arial" w:hAnsi="Arial" w:cs="Arial"/>
        </w:rPr>
        <w:t xml:space="preserve">cho </w:t>
      </w:r>
      <w:r w:rsidRPr="00010F83">
        <w:rPr>
          <w:rFonts w:ascii="Arial" w:hAnsi="Arial" w:cs="Arial"/>
        </w:rPr>
        <w:t xml:space="preserve">kỳ kế toán năm bắt đầu vào hoặc sau ngày 1 tháng 1 năm 2014. </w:t>
      </w:r>
      <w:r w:rsidR="00D82BB6" w:rsidRPr="00010F83">
        <w:rPr>
          <w:rFonts w:ascii="Arial" w:hAnsi="Arial" w:cs="Arial"/>
        </w:rPr>
        <w:t xml:space="preserve">Nội </w:t>
      </w:r>
      <w:r w:rsidR="00AA39A8" w:rsidRPr="00010F83">
        <w:rPr>
          <w:rFonts w:ascii="Arial" w:hAnsi="Arial" w:cs="Arial"/>
        </w:rPr>
        <w:t>dung</w:t>
      </w:r>
      <w:r w:rsidRPr="00010F83">
        <w:rPr>
          <w:rFonts w:ascii="Arial" w:hAnsi="Arial" w:cs="Arial"/>
        </w:rPr>
        <w:t xml:space="preserve"> </w:t>
      </w:r>
      <w:r w:rsidR="00AA39A8" w:rsidRPr="00010F83">
        <w:rPr>
          <w:rFonts w:ascii="Arial" w:hAnsi="Arial" w:cs="Arial"/>
          <w:i/>
        </w:rPr>
        <w:t>Đơn vị đ</w:t>
      </w:r>
      <w:r w:rsidRPr="00010F83">
        <w:rPr>
          <w:rFonts w:ascii="Arial" w:hAnsi="Arial" w:cs="Arial"/>
          <w:i/>
        </w:rPr>
        <w:t>ầu</w:t>
      </w:r>
      <w:r w:rsidR="00AA39A8" w:rsidRPr="00010F83">
        <w:rPr>
          <w:rFonts w:ascii="Arial" w:hAnsi="Arial" w:cs="Arial"/>
          <w:i/>
        </w:rPr>
        <w:t xml:space="preserve"> tư</w:t>
      </w:r>
      <w:r w:rsidR="00D82BB6" w:rsidRPr="00010F83">
        <w:rPr>
          <w:rFonts w:ascii="Arial" w:hAnsi="Arial" w:cs="Arial"/>
          <w:i/>
        </w:rPr>
        <w:t xml:space="preserve"> </w:t>
      </w:r>
      <w:r w:rsidR="00D82BB6" w:rsidRPr="00010F83">
        <w:rPr>
          <w:rFonts w:ascii="Arial" w:hAnsi="Arial" w:cs="Arial"/>
        </w:rPr>
        <w:t>được phép áp dụng sớm</w:t>
      </w:r>
      <w:r w:rsidRPr="00010F83">
        <w:rPr>
          <w:rFonts w:ascii="Arial" w:hAnsi="Arial" w:cs="Arial"/>
        </w:rPr>
        <w:t>. Đơn vị áp dụ</w:t>
      </w:r>
      <w:r w:rsidR="00AA39A8" w:rsidRPr="00010F83">
        <w:rPr>
          <w:rFonts w:ascii="Arial" w:hAnsi="Arial" w:cs="Arial"/>
        </w:rPr>
        <w:t xml:space="preserve">ng </w:t>
      </w:r>
      <w:r w:rsidR="000B1EC8" w:rsidRPr="00010F83">
        <w:rPr>
          <w:rFonts w:ascii="Arial" w:hAnsi="Arial" w:cs="Arial"/>
        </w:rPr>
        <w:t xml:space="preserve">sớm </w:t>
      </w:r>
      <w:r w:rsidR="00AA39A8" w:rsidRPr="00010F83">
        <w:rPr>
          <w:rFonts w:ascii="Arial" w:hAnsi="Arial" w:cs="Arial"/>
        </w:rPr>
        <w:t xml:space="preserve">các </w:t>
      </w:r>
      <w:r w:rsidRPr="00010F83">
        <w:rPr>
          <w:rFonts w:ascii="Arial" w:hAnsi="Arial" w:cs="Arial"/>
        </w:rPr>
        <w:t xml:space="preserve">thay đổi </w:t>
      </w:r>
      <w:r w:rsidR="00AA39A8" w:rsidRPr="00010F83">
        <w:rPr>
          <w:rFonts w:ascii="Arial" w:hAnsi="Arial" w:cs="Arial"/>
        </w:rPr>
        <w:t xml:space="preserve">này cũng </w:t>
      </w:r>
      <w:r w:rsidRPr="00010F83">
        <w:rPr>
          <w:rFonts w:ascii="Arial" w:hAnsi="Arial" w:cs="Arial"/>
        </w:rPr>
        <w:t>cần phải áp dụng tất cả các thay đổi được đề cập trong</w:t>
      </w:r>
      <w:r w:rsidR="00AA39A8" w:rsidRPr="00010F83">
        <w:rPr>
          <w:rFonts w:ascii="Arial" w:hAnsi="Arial" w:cs="Arial"/>
        </w:rPr>
        <w:t xml:space="preserve"> nội dung</w:t>
      </w:r>
      <w:r w:rsidRPr="00010F83">
        <w:rPr>
          <w:rFonts w:ascii="Arial" w:hAnsi="Arial" w:cs="Arial"/>
        </w:rPr>
        <w:t xml:space="preserve"> </w:t>
      </w:r>
      <w:r w:rsidR="00AA39A8" w:rsidRPr="00010F83">
        <w:rPr>
          <w:rFonts w:ascii="Arial" w:hAnsi="Arial" w:cs="Arial"/>
          <w:i/>
        </w:rPr>
        <w:t>Đơn vị đầu tư</w:t>
      </w:r>
      <w:r w:rsidRPr="00010F83">
        <w:rPr>
          <w:rFonts w:ascii="Arial" w:hAnsi="Arial" w:cs="Arial"/>
          <w:i/>
        </w:rPr>
        <w:t xml:space="preserve"> </w:t>
      </w:r>
      <w:r w:rsidRPr="00010F83">
        <w:rPr>
          <w:rFonts w:ascii="Arial" w:hAnsi="Arial" w:cs="Arial"/>
        </w:rPr>
        <w:t>vào cùng thời điểm.</w:t>
      </w:r>
    </w:p>
    <w:p w:rsidR="00A83436" w:rsidRPr="00010F83" w:rsidRDefault="00A83436" w:rsidP="00590853">
      <w:pPr>
        <w:spacing w:after="120"/>
        <w:jc w:val="both"/>
        <w:rPr>
          <w:rFonts w:ascii="Arial" w:hAnsi="Arial" w:cs="Arial"/>
        </w:rPr>
      </w:pPr>
      <w:r w:rsidRPr="00010F83">
        <w:rPr>
          <w:rFonts w:ascii="Arial" w:hAnsi="Arial" w:cs="Arial"/>
        </w:rPr>
        <w:t xml:space="preserve">98D  </w:t>
      </w:r>
      <w:r w:rsidR="006A481C" w:rsidRPr="00010F83">
        <w:rPr>
          <w:rFonts w:ascii="Arial" w:hAnsi="Arial" w:cs="Arial"/>
        </w:rPr>
        <w:tab/>
      </w:r>
      <w:r w:rsidR="00AA39A8" w:rsidRPr="00010F83">
        <w:rPr>
          <w:rFonts w:ascii="Arial" w:hAnsi="Arial" w:cs="Arial"/>
        </w:rPr>
        <w:t>[</w:t>
      </w:r>
      <w:r w:rsidR="006A481C" w:rsidRPr="00010F83">
        <w:rPr>
          <w:rFonts w:ascii="Arial" w:hAnsi="Arial" w:cs="Arial"/>
        </w:rPr>
        <w:t>Bỏ đoạn này</w:t>
      </w:r>
      <w:r w:rsidR="00AA39A8" w:rsidRPr="00010F83">
        <w:rPr>
          <w:rFonts w:ascii="Arial" w:hAnsi="Arial" w:cs="Arial"/>
        </w:rPr>
        <w:t>]</w:t>
      </w:r>
    </w:p>
    <w:p w:rsidR="00A83436" w:rsidRPr="00010F83" w:rsidRDefault="00A83436" w:rsidP="002F2CB5">
      <w:pPr>
        <w:spacing w:after="120"/>
        <w:ind w:left="720" w:hanging="720"/>
        <w:jc w:val="both"/>
        <w:rPr>
          <w:rFonts w:ascii="Arial" w:hAnsi="Arial" w:cs="Arial"/>
        </w:rPr>
      </w:pPr>
      <w:r w:rsidRPr="00010F83">
        <w:rPr>
          <w:rFonts w:ascii="Arial" w:hAnsi="Arial" w:cs="Arial"/>
        </w:rPr>
        <w:t xml:space="preserve">98E   </w:t>
      </w:r>
      <w:r w:rsidR="006A481C" w:rsidRPr="00010F83">
        <w:rPr>
          <w:rFonts w:ascii="Arial" w:hAnsi="Arial" w:cs="Arial"/>
        </w:rPr>
        <w:tab/>
      </w:r>
      <w:r w:rsidRPr="00010F83">
        <w:rPr>
          <w:rFonts w:ascii="Arial" w:hAnsi="Arial" w:cs="Arial"/>
        </w:rPr>
        <w:t xml:space="preserve">IFRS 15 </w:t>
      </w:r>
      <w:r w:rsidRPr="00010F83">
        <w:rPr>
          <w:rFonts w:ascii="Arial" w:hAnsi="Arial" w:cs="Arial"/>
          <w:i/>
        </w:rPr>
        <w:t xml:space="preserve">Doanh </w:t>
      </w:r>
      <w:proofErr w:type="gramStart"/>
      <w:r w:rsidRPr="00010F83">
        <w:rPr>
          <w:rFonts w:ascii="Arial" w:hAnsi="Arial" w:cs="Arial"/>
          <w:i/>
        </w:rPr>
        <w:t>thu</w:t>
      </w:r>
      <w:proofErr w:type="gramEnd"/>
      <w:r w:rsidRPr="00010F83">
        <w:rPr>
          <w:rFonts w:ascii="Arial" w:hAnsi="Arial" w:cs="Arial"/>
          <w:i/>
        </w:rPr>
        <w:t xml:space="preserve"> từ hợp đồng với khách hàng, </w:t>
      </w:r>
      <w:r w:rsidR="00AA39A8" w:rsidRPr="00010F83">
        <w:rPr>
          <w:rFonts w:ascii="Arial" w:hAnsi="Arial" w:cs="Arial"/>
        </w:rPr>
        <w:t>ban hành</w:t>
      </w:r>
      <w:r w:rsidRPr="00010F83">
        <w:rPr>
          <w:rFonts w:ascii="Arial" w:hAnsi="Arial" w:cs="Arial"/>
        </w:rPr>
        <w:t xml:space="preserve"> tháng 5 năm 2014, đã sửa đổi đoạn 59. Đơn vị cần phải áp dụ</w:t>
      </w:r>
      <w:r w:rsidR="00AA39A8" w:rsidRPr="00010F83">
        <w:rPr>
          <w:rFonts w:ascii="Arial" w:hAnsi="Arial" w:cs="Arial"/>
        </w:rPr>
        <w:t xml:space="preserve">ng </w:t>
      </w:r>
      <w:r w:rsidRPr="00010F83">
        <w:rPr>
          <w:rFonts w:ascii="Arial" w:hAnsi="Arial" w:cs="Arial"/>
        </w:rPr>
        <w:t xml:space="preserve">thay đổi </w:t>
      </w:r>
      <w:r w:rsidR="00AA39A8" w:rsidRPr="00010F83">
        <w:rPr>
          <w:rFonts w:ascii="Arial" w:hAnsi="Arial" w:cs="Arial"/>
        </w:rPr>
        <w:t xml:space="preserve">này </w:t>
      </w:r>
      <w:r w:rsidRPr="00010F83">
        <w:rPr>
          <w:rFonts w:ascii="Arial" w:hAnsi="Arial" w:cs="Arial"/>
        </w:rPr>
        <w:t>khi áp dụng IFRS 15.</w:t>
      </w:r>
    </w:p>
    <w:p w:rsidR="00A83436" w:rsidRPr="00010F83" w:rsidRDefault="00A83436" w:rsidP="002F2CB5">
      <w:pPr>
        <w:spacing w:after="120"/>
        <w:ind w:left="720" w:hanging="720"/>
        <w:jc w:val="both"/>
        <w:rPr>
          <w:rFonts w:ascii="Arial" w:hAnsi="Arial" w:cs="Arial"/>
        </w:rPr>
      </w:pPr>
      <w:r w:rsidRPr="00010F83">
        <w:rPr>
          <w:rFonts w:ascii="Arial" w:hAnsi="Arial" w:cs="Arial"/>
        </w:rPr>
        <w:t xml:space="preserve">98F  </w:t>
      </w:r>
      <w:r w:rsidR="006A481C" w:rsidRPr="00010F83">
        <w:rPr>
          <w:rFonts w:ascii="Arial" w:hAnsi="Arial" w:cs="Arial"/>
        </w:rPr>
        <w:tab/>
      </w:r>
      <w:r w:rsidR="008C6805" w:rsidRPr="00010F83">
        <w:rPr>
          <w:rFonts w:ascii="Arial" w:hAnsi="Arial" w:cs="Arial"/>
        </w:rPr>
        <w:t>IFRS 9, ban hành</w:t>
      </w:r>
      <w:r w:rsidRPr="00010F83">
        <w:rPr>
          <w:rFonts w:ascii="Arial" w:hAnsi="Arial" w:cs="Arial"/>
        </w:rPr>
        <w:t xml:space="preserve"> tháng 7 năm 2014, đã sửa đổi đoạn 20 và</w:t>
      </w:r>
      <w:r w:rsidR="008C6805" w:rsidRPr="00010F83">
        <w:rPr>
          <w:rFonts w:ascii="Arial" w:hAnsi="Arial" w:cs="Arial"/>
        </w:rPr>
        <w:t xml:space="preserve"> </w:t>
      </w:r>
      <w:r w:rsidRPr="00010F83">
        <w:rPr>
          <w:rFonts w:ascii="Arial" w:hAnsi="Arial" w:cs="Arial"/>
        </w:rPr>
        <w:t xml:space="preserve">bỏ đoạn 96, 97 và 98D. Đơn vị cần phải áp dụng các thay đổi </w:t>
      </w:r>
      <w:r w:rsidR="008C6805" w:rsidRPr="00010F83">
        <w:rPr>
          <w:rFonts w:ascii="Arial" w:hAnsi="Arial" w:cs="Arial"/>
        </w:rPr>
        <w:t xml:space="preserve">này </w:t>
      </w:r>
      <w:r w:rsidRPr="00010F83">
        <w:rPr>
          <w:rFonts w:ascii="Arial" w:hAnsi="Arial" w:cs="Arial"/>
        </w:rPr>
        <w:t>khi áp dụng IFRS 9.</w:t>
      </w:r>
    </w:p>
    <w:p w:rsidR="00A83436" w:rsidRPr="00010F83" w:rsidRDefault="00A83436" w:rsidP="002F2CB5">
      <w:pPr>
        <w:spacing w:after="120"/>
        <w:ind w:left="720" w:hanging="720"/>
        <w:jc w:val="both"/>
        <w:rPr>
          <w:rFonts w:ascii="Arial" w:hAnsi="Arial" w:cs="Arial"/>
        </w:rPr>
      </w:pPr>
      <w:proofErr w:type="gramStart"/>
      <w:r w:rsidRPr="00010F83">
        <w:rPr>
          <w:rFonts w:ascii="Arial" w:hAnsi="Arial" w:cs="Arial"/>
        </w:rPr>
        <w:t xml:space="preserve">98G  </w:t>
      </w:r>
      <w:r w:rsidR="006A481C" w:rsidRPr="00010F83">
        <w:rPr>
          <w:rFonts w:ascii="Arial" w:hAnsi="Arial" w:cs="Arial"/>
        </w:rPr>
        <w:tab/>
      </w:r>
      <w:r w:rsidRPr="00010F83">
        <w:rPr>
          <w:rFonts w:ascii="Arial" w:hAnsi="Arial" w:cs="Arial"/>
        </w:rPr>
        <w:t xml:space="preserve">IFRS 16, </w:t>
      </w:r>
      <w:r w:rsidR="00AA39A8" w:rsidRPr="00010F83">
        <w:rPr>
          <w:rFonts w:ascii="Arial" w:hAnsi="Arial" w:cs="Arial"/>
        </w:rPr>
        <w:t>ban hành</w:t>
      </w:r>
      <w:r w:rsidRPr="00010F83">
        <w:rPr>
          <w:rFonts w:ascii="Arial" w:hAnsi="Arial" w:cs="Arial"/>
        </w:rPr>
        <w:t xml:space="preserve"> tháng 1 năm 2016, đã sửa đổi đ</w:t>
      </w:r>
      <w:r w:rsidR="000B1EC8" w:rsidRPr="00010F83">
        <w:rPr>
          <w:rFonts w:ascii="Arial" w:hAnsi="Arial" w:cs="Arial"/>
        </w:rPr>
        <w:t>o</w:t>
      </w:r>
      <w:r w:rsidRPr="00010F83">
        <w:rPr>
          <w:rFonts w:ascii="Arial" w:hAnsi="Arial" w:cs="Arial"/>
        </w:rPr>
        <w:t>ạn 20.</w:t>
      </w:r>
      <w:proofErr w:type="gramEnd"/>
      <w:r w:rsidRPr="00010F83">
        <w:rPr>
          <w:rFonts w:ascii="Arial" w:hAnsi="Arial" w:cs="Arial"/>
        </w:rPr>
        <w:t xml:space="preserve"> Đơn vị cần phải áp dụng thay đổi </w:t>
      </w:r>
      <w:r w:rsidR="007E05DA" w:rsidRPr="00010F83">
        <w:rPr>
          <w:rFonts w:ascii="Arial" w:hAnsi="Arial" w:cs="Arial"/>
        </w:rPr>
        <w:t xml:space="preserve">này </w:t>
      </w:r>
      <w:r w:rsidRPr="00010F83">
        <w:rPr>
          <w:rFonts w:ascii="Arial" w:hAnsi="Arial" w:cs="Arial"/>
        </w:rPr>
        <w:t>khi áp dụng IFRS 16.</w:t>
      </w:r>
    </w:p>
    <w:p w:rsidR="00A83436" w:rsidRPr="00010F83" w:rsidRDefault="00A83436" w:rsidP="002F2CB5">
      <w:pPr>
        <w:spacing w:after="120"/>
        <w:ind w:left="720" w:hanging="720"/>
        <w:jc w:val="both"/>
        <w:rPr>
          <w:rFonts w:ascii="Arial" w:hAnsi="Arial" w:cs="Arial"/>
        </w:rPr>
      </w:pPr>
      <w:r w:rsidRPr="00010F83">
        <w:rPr>
          <w:rFonts w:ascii="Arial" w:hAnsi="Arial" w:cs="Arial"/>
        </w:rPr>
        <w:t xml:space="preserve">98H  </w:t>
      </w:r>
      <w:r w:rsidR="006A481C" w:rsidRPr="00010F83">
        <w:rPr>
          <w:rFonts w:ascii="Arial" w:hAnsi="Arial" w:cs="Arial"/>
        </w:rPr>
        <w:tab/>
      </w:r>
      <w:r w:rsidRPr="00010F83">
        <w:rPr>
          <w:rFonts w:ascii="Arial" w:hAnsi="Arial" w:cs="Arial"/>
          <w:i/>
        </w:rPr>
        <w:t xml:space="preserve">Ghi nhận tài sản </w:t>
      </w:r>
      <w:r w:rsidR="00731917" w:rsidRPr="00010F83">
        <w:rPr>
          <w:rFonts w:ascii="Arial" w:hAnsi="Arial" w:cs="Arial"/>
          <w:i/>
        </w:rPr>
        <w:t>thuế TNDN</w:t>
      </w:r>
      <w:r w:rsidRPr="00010F83">
        <w:rPr>
          <w:rFonts w:ascii="Arial" w:hAnsi="Arial" w:cs="Arial"/>
          <w:i/>
        </w:rPr>
        <w:t xml:space="preserve"> hoãn lại cho các khoản lỗ chưa thực hiện </w:t>
      </w:r>
      <w:r w:rsidRPr="00010F83">
        <w:rPr>
          <w:rFonts w:ascii="Arial" w:hAnsi="Arial" w:cs="Arial"/>
        </w:rPr>
        <w:t>(</w:t>
      </w:r>
      <w:r w:rsidR="008C6805" w:rsidRPr="00010F83">
        <w:rPr>
          <w:rFonts w:ascii="Arial" w:hAnsi="Arial" w:cs="Arial"/>
        </w:rPr>
        <w:t>sửa đổi</w:t>
      </w:r>
      <w:r w:rsidRPr="00010F83">
        <w:rPr>
          <w:rFonts w:ascii="Arial" w:hAnsi="Arial" w:cs="Arial"/>
        </w:rPr>
        <w:t xml:space="preserve"> IAS 12), </w:t>
      </w:r>
      <w:r w:rsidR="008C6805" w:rsidRPr="00010F83">
        <w:rPr>
          <w:rFonts w:ascii="Arial" w:hAnsi="Arial" w:cs="Arial"/>
        </w:rPr>
        <w:t>ban hành</w:t>
      </w:r>
      <w:r w:rsidRPr="00010F83">
        <w:rPr>
          <w:rFonts w:ascii="Arial" w:hAnsi="Arial" w:cs="Arial"/>
        </w:rPr>
        <w:t xml:space="preserve"> tháng 1 năm 2016, đã thay đổi đoạn 29 và thêm vào đoạn 27A, 29A và ví dụ liên quan đến đoạn 26. Đơn vị</w:t>
      </w:r>
      <w:r w:rsidR="008C6805" w:rsidRPr="00010F83">
        <w:rPr>
          <w:rFonts w:ascii="Arial" w:hAnsi="Arial" w:cs="Arial"/>
        </w:rPr>
        <w:t xml:space="preserve"> </w:t>
      </w:r>
      <w:r w:rsidRPr="00010F83">
        <w:rPr>
          <w:rFonts w:ascii="Arial" w:hAnsi="Arial" w:cs="Arial"/>
        </w:rPr>
        <w:t>phải áp dụng các thay đổi này cho các kỳ kế toán năm bắt đầu vào hoặc sau ngày 1 tháng 1 năm 2017</w:t>
      </w:r>
      <w:r w:rsidR="00D82BB6" w:rsidRPr="00010F83">
        <w:rPr>
          <w:rFonts w:ascii="Arial" w:hAnsi="Arial" w:cs="Arial"/>
        </w:rPr>
        <w:t>,</w:t>
      </w:r>
      <w:r w:rsidRPr="00010F83">
        <w:rPr>
          <w:rFonts w:ascii="Arial" w:hAnsi="Arial" w:cs="Arial"/>
        </w:rPr>
        <w:t xml:space="preserve"> </w:t>
      </w:r>
      <w:r w:rsidR="00D82BB6" w:rsidRPr="00010F83">
        <w:rPr>
          <w:rFonts w:ascii="Arial" w:hAnsi="Arial" w:cs="Arial"/>
        </w:rPr>
        <w:t xml:space="preserve">và được </w:t>
      </w:r>
      <w:r w:rsidR="008C6805" w:rsidRPr="00010F83">
        <w:rPr>
          <w:rFonts w:ascii="Arial" w:hAnsi="Arial" w:cs="Arial"/>
        </w:rPr>
        <w:t>phép</w:t>
      </w:r>
      <w:r w:rsidRPr="00010F83">
        <w:rPr>
          <w:rFonts w:ascii="Arial" w:hAnsi="Arial" w:cs="Arial"/>
        </w:rPr>
        <w:t xml:space="preserve"> áp dụng sớm. Nếu đơn vị áp dụng </w:t>
      </w:r>
      <w:r w:rsidR="008C6805" w:rsidRPr="00010F83">
        <w:rPr>
          <w:rFonts w:ascii="Arial" w:hAnsi="Arial" w:cs="Arial"/>
        </w:rPr>
        <w:t xml:space="preserve">sớm </w:t>
      </w:r>
      <w:r w:rsidRPr="00010F83">
        <w:rPr>
          <w:rFonts w:ascii="Arial" w:hAnsi="Arial" w:cs="Arial"/>
        </w:rPr>
        <w:t>những thay đổi này</w:t>
      </w:r>
      <w:r w:rsidR="008C6805" w:rsidRPr="00010F83">
        <w:rPr>
          <w:rFonts w:ascii="Arial" w:hAnsi="Arial" w:cs="Arial"/>
        </w:rPr>
        <w:t>,</w:t>
      </w:r>
      <w:r w:rsidRPr="00010F83">
        <w:rPr>
          <w:rFonts w:ascii="Arial" w:hAnsi="Arial" w:cs="Arial"/>
        </w:rPr>
        <w:t xml:space="preserve"> cần phải thuyết minh. Đơn vị</w:t>
      </w:r>
      <w:r w:rsidR="008C6805" w:rsidRPr="00010F83">
        <w:rPr>
          <w:rFonts w:ascii="Arial" w:hAnsi="Arial" w:cs="Arial"/>
        </w:rPr>
        <w:t xml:space="preserve"> </w:t>
      </w:r>
      <w:r w:rsidRPr="00010F83">
        <w:rPr>
          <w:rFonts w:ascii="Arial" w:hAnsi="Arial" w:cs="Arial"/>
        </w:rPr>
        <w:t>phải áp dụng hồi tố các thay đổ</w:t>
      </w:r>
      <w:r w:rsidR="008C6805" w:rsidRPr="00010F83">
        <w:rPr>
          <w:rFonts w:ascii="Arial" w:hAnsi="Arial" w:cs="Arial"/>
        </w:rPr>
        <w:t xml:space="preserve">i này </w:t>
      </w:r>
      <w:proofErr w:type="gramStart"/>
      <w:r w:rsidR="008C6805" w:rsidRPr="00010F83">
        <w:rPr>
          <w:rFonts w:ascii="Arial" w:hAnsi="Arial" w:cs="Arial"/>
        </w:rPr>
        <w:t>theo</w:t>
      </w:r>
      <w:proofErr w:type="gramEnd"/>
      <w:r w:rsidR="008C6805" w:rsidRPr="00010F83">
        <w:rPr>
          <w:rFonts w:ascii="Arial" w:hAnsi="Arial" w:cs="Arial"/>
        </w:rPr>
        <w:t xml:space="preserve"> qui định của </w:t>
      </w:r>
      <w:r w:rsidRPr="00010F83">
        <w:rPr>
          <w:rFonts w:ascii="Arial" w:hAnsi="Arial" w:cs="Arial"/>
        </w:rPr>
        <w:t xml:space="preserve">chuẩn mực IAS 8 </w:t>
      </w:r>
      <w:r w:rsidRPr="00010F83">
        <w:rPr>
          <w:rFonts w:ascii="Arial" w:hAnsi="Arial" w:cs="Arial"/>
          <w:i/>
        </w:rPr>
        <w:t>Chính sách kế toán, thay đổi ước tính kế toán và các sai sót</w:t>
      </w:r>
      <w:r w:rsidRPr="00010F83">
        <w:rPr>
          <w:rFonts w:ascii="Arial" w:hAnsi="Arial" w:cs="Arial"/>
        </w:rPr>
        <w:t xml:space="preserve">. Tuy nhiên, ở </w:t>
      </w:r>
      <w:r w:rsidR="008C6805" w:rsidRPr="00010F83">
        <w:rPr>
          <w:rFonts w:ascii="Arial" w:hAnsi="Arial" w:cs="Arial"/>
        </w:rPr>
        <w:t>l</w:t>
      </w:r>
      <w:r w:rsidR="007E05DA" w:rsidRPr="00010F83">
        <w:rPr>
          <w:rFonts w:ascii="Arial" w:hAnsi="Arial" w:cs="Arial"/>
        </w:rPr>
        <w:t>ầ</w:t>
      </w:r>
      <w:r w:rsidR="008C6805" w:rsidRPr="00010F83">
        <w:rPr>
          <w:rFonts w:ascii="Arial" w:hAnsi="Arial" w:cs="Arial"/>
        </w:rPr>
        <w:t>n đầu</w:t>
      </w:r>
      <w:r w:rsidRPr="00010F83">
        <w:rPr>
          <w:rFonts w:ascii="Arial" w:hAnsi="Arial" w:cs="Arial"/>
        </w:rPr>
        <w:t xml:space="preserve"> áp dụng việc sửa đổi này, </w:t>
      </w:r>
      <w:r w:rsidR="008C6805" w:rsidRPr="00010F83">
        <w:rPr>
          <w:rFonts w:ascii="Arial" w:hAnsi="Arial" w:cs="Arial"/>
        </w:rPr>
        <w:t>điều</w:t>
      </w:r>
      <w:r w:rsidRPr="00010F83">
        <w:rPr>
          <w:rFonts w:ascii="Arial" w:hAnsi="Arial" w:cs="Arial"/>
        </w:rPr>
        <w:t xml:space="preserve"> </w:t>
      </w:r>
      <w:r w:rsidR="008C6805" w:rsidRPr="00010F83">
        <w:rPr>
          <w:rFonts w:ascii="Arial" w:hAnsi="Arial" w:cs="Arial"/>
        </w:rPr>
        <w:t xml:space="preserve">chỉnh </w:t>
      </w:r>
      <w:r w:rsidRPr="00010F83">
        <w:rPr>
          <w:rFonts w:ascii="Arial" w:hAnsi="Arial" w:cs="Arial"/>
        </w:rPr>
        <w:t>số đầu kỳ</w:t>
      </w:r>
      <w:r w:rsidR="008C6805" w:rsidRPr="00010F83">
        <w:rPr>
          <w:rFonts w:ascii="Arial" w:hAnsi="Arial" w:cs="Arial"/>
        </w:rPr>
        <w:t xml:space="preserve"> </w:t>
      </w:r>
      <w:r w:rsidRPr="00010F83">
        <w:rPr>
          <w:rFonts w:ascii="Arial" w:hAnsi="Arial" w:cs="Arial"/>
        </w:rPr>
        <w:t xml:space="preserve">Vốn chủ sở hữu </w:t>
      </w:r>
      <w:r w:rsidR="008C6805" w:rsidRPr="00010F83">
        <w:rPr>
          <w:rFonts w:ascii="Arial" w:hAnsi="Arial" w:cs="Arial"/>
        </w:rPr>
        <w:t>của kỳ</w:t>
      </w:r>
      <w:r w:rsidRPr="00010F83">
        <w:rPr>
          <w:rFonts w:ascii="Arial" w:hAnsi="Arial" w:cs="Arial"/>
        </w:rPr>
        <w:t xml:space="preserve"> </w:t>
      </w:r>
      <w:r w:rsidR="008C6805" w:rsidRPr="00010F83">
        <w:rPr>
          <w:rFonts w:ascii="Arial" w:hAnsi="Arial" w:cs="Arial"/>
        </w:rPr>
        <w:t xml:space="preserve">so sánh </w:t>
      </w:r>
      <w:r w:rsidRPr="00010F83">
        <w:rPr>
          <w:rFonts w:ascii="Arial" w:hAnsi="Arial" w:cs="Arial"/>
        </w:rPr>
        <w:t>sớm nhất</w:t>
      </w:r>
      <w:r w:rsidR="008C6805" w:rsidRPr="00010F83">
        <w:rPr>
          <w:rFonts w:ascii="Arial" w:hAnsi="Arial" w:cs="Arial"/>
        </w:rPr>
        <w:t xml:space="preserve"> trình bày trong báo cáo tài chính</w:t>
      </w:r>
      <w:r w:rsidRPr="00010F83">
        <w:rPr>
          <w:rFonts w:ascii="Arial" w:hAnsi="Arial" w:cs="Arial"/>
        </w:rPr>
        <w:t xml:space="preserve"> có thể được </w:t>
      </w:r>
      <w:r w:rsidR="008C6805" w:rsidRPr="00010F83">
        <w:rPr>
          <w:rFonts w:ascii="Arial" w:hAnsi="Arial" w:cs="Arial"/>
        </w:rPr>
        <w:t>thực hiện</w:t>
      </w:r>
      <w:r w:rsidRPr="00010F83">
        <w:rPr>
          <w:rFonts w:ascii="Arial" w:hAnsi="Arial" w:cs="Arial"/>
        </w:rPr>
        <w:t xml:space="preserve"> </w:t>
      </w:r>
      <w:r w:rsidR="008C6805" w:rsidRPr="00010F83">
        <w:rPr>
          <w:rFonts w:ascii="Arial" w:hAnsi="Arial" w:cs="Arial"/>
        </w:rPr>
        <w:t>vào</w:t>
      </w:r>
      <w:r w:rsidRPr="00010F83">
        <w:rPr>
          <w:rFonts w:ascii="Arial" w:hAnsi="Arial" w:cs="Arial"/>
        </w:rPr>
        <w:t xml:space="preserve"> số đầu k</w:t>
      </w:r>
      <w:r w:rsidR="007E05DA" w:rsidRPr="00010F83">
        <w:rPr>
          <w:rFonts w:ascii="Arial" w:hAnsi="Arial" w:cs="Arial"/>
        </w:rPr>
        <w:t>ỳ</w:t>
      </w:r>
      <w:r w:rsidRPr="00010F83">
        <w:rPr>
          <w:rFonts w:ascii="Arial" w:hAnsi="Arial" w:cs="Arial"/>
        </w:rPr>
        <w:t xml:space="preserve"> của lợi nhuận </w:t>
      </w:r>
      <w:r w:rsidR="008C6805" w:rsidRPr="00010F83">
        <w:rPr>
          <w:rFonts w:ascii="Arial" w:hAnsi="Arial" w:cs="Arial"/>
        </w:rPr>
        <w:t>chưa phân phối</w:t>
      </w:r>
      <w:r w:rsidRPr="00010F83">
        <w:rPr>
          <w:rFonts w:ascii="Arial" w:hAnsi="Arial" w:cs="Arial"/>
        </w:rPr>
        <w:t xml:space="preserve"> (hoặ</w:t>
      </w:r>
      <w:r w:rsidR="008C6805" w:rsidRPr="00010F83">
        <w:rPr>
          <w:rFonts w:ascii="Arial" w:hAnsi="Arial" w:cs="Arial"/>
        </w:rPr>
        <w:t xml:space="preserve">c vào </w:t>
      </w:r>
      <w:r w:rsidRPr="00010F83">
        <w:rPr>
          <w:rFonts w:ascii="Arial" w:hAnsi="Arial" w:cs="Arial"/>
        </w:rPr>
        <w:t xml:space="preserve">một thành phần khác của chủ sở hữu, nếu phù hợp), mà không cần </w:t>
      </w:r>
      <w:r w:rsidR="008C6805" w:rsidRPr="00010F83">
        <w:rPr>
          <w:rFonts w:ascii="Arial" w:hAnsi="Arial" w:cs="Arial"/>
        </w:rPr>
        <w:t>tách chi tiết</w:t>
      </w:r>
      <w:r w:rsidRPr="00010F83">
        <w:rPr>
          <w:rFonts w:ascii="Arial" w:hAnsi="Arial" w:cs="Arial"/>
        </w:rPr>
        <w:t xml:space="preserve"> </w:t>
      </w:r>
      <w:r w:rsidR="008C6805" w:rsidRPr="00010F83">
        <w:rPr>
          <w:rFonts w:ascii="Arial" w:hAnsi="Arial" w:cs="Arial"/>
        </w:rPr>
        <w:t>điều chỉnh vào</w:t>
      </w:r>
      <w:r w:rsidRPr="00010F83">
        <w:rPr>
          <w:rFonts w:ascii="Arial" w:hAnsi="Arial" w:cs="Arial"/>
        </w:rPr>
        <w:t xml:space="preserve"> lợi nhuận </w:t>
      </w:r>
      <w:r w:rsidR="008C6805" w:rsidRPr="00010F83">
        <w:rPr>
          <w:rFonts w:ascii="Arial" w:hAnsi="Arial" w:cs="Arial"/>
        </w:rPr>
        <w:t>chưa phân phối</w:t>
      </w:r>
      <w:r w:rsidRPr="00010F83">
        <w:rPr>
          <w:rFonts w:ascii="Arial" w:hAnsi="Arial" w:cs="Arial"/>
        </w:rPr>
        <w:t xml:space="preserve"> và các thành phần khác của vốn chủ sở hữu. Nếu đơn vị áp dụng </w:t>
      </w:r>
      <w:r w:rsidR="008C6805" w:rsidRPr="00010F83">
        <w:rPr>
          <w:rFonts w:ascii="Arial" w:hAnsi="Arial" w:cs="Arial"/>
        </w:rPr>
        <w:t>lựa chọn đơn giản hóa này,</w:t>
      </w:r>
      <w:r w:rsidRPr="00010F83">
        <w:rPr>
          <w:rFonts w:ascii="Arial" w:hAnsi="Arial" w:cs="Arial"/>
        </w:rPr>
        <w:t xml:space="preserve"> cầ</w:t>
      </w:r>
      <w:r w:rsidR="008C6805" w:rsidRPr="00010F83">
        <w:rPr>
          <w:rFonts w:ascii="Arial" w:hAnsi="Arial" w:cs="Arial"/>
        </w:rPr>
        <w:t>n</w:t>
      </w:r>
      <w:r w:rsidRPr="00010F83">
        <w:rPr>
          <w:rFonts w:ascii="Arial" w:hAnsi="Arial" w:cs="Arial"/>
        </w:rPr>
        <w:t xml:space="preserve"> thuyết minh trên báo cáo. </w:t>
      </w:r>
    </w:p>
    <w:p w:rsidR="00A83436" w:rsidRPr="00010F83" w:rsidRDefault="00A83436" w:rsidP="002F2CB5">
      <w:pPr>
        <w:spacing w:after="120"/>
        <w:ind w:left="720" w:hanging="720"/>
        <w:jc w:val="both"/>
        <w:rPr>
          <w:rFonts w:ascii="Arial" w:hAnsi="Arial" w:cs="Arial"/>
        </w:rPr>
      </w:pPr>
      <w:r w:rsidRPr="00010F83">
        <w:rPr>
          <w:rFonts w:ascii="Arial" w:hAnsi="Arial" w:cs="Arial"/>
        </w:rPr>
        <w:t xml:space="preserve">98I     </w:t>
      </w:r>
      <w:r w:rsidR="006A481C" w:rsidRPr="00010F83">
        <w:rPr>
          <w:rFonts w:ascii="Arial" w:hAnsi="Arial" w:cs="Arial"/>
        </w:rPr>
        <w:tab/>
      </w:r>
      <w:r w:rsidR="006A481C" w:rsidRPr="00010F83">
        <w:rPr>
          <w:rFonts w:ascii="Arial" w:hAnsi="Arial" w:cs="Arial"/>
          <w:i/>
        </w:rPr>
        <w:t>Hoàn thiện</w:t>
      </w:r>
      <w:r w:rsidRPr="00010F83">
        <w:rPr>
          <w:rFonts w:ascii="Arial" w:hAnsi="Arial" w:cs="Arial"/>
          <w:i/>
        </w:rPr>
        <w:t xml:space="preserve"> thường niên </w:t>
      </w:r>
      <w:r w:rsidR="006A481C" w:rsidRPr="00010F83">
        <w:rPr>
          <w:rFonts w:ascii="Arial" w:hAnsi="Arial" w:cs="Arial"/>
          <w:i/>
        </w:rPr>
        <w:t>các Chuẩn mực IFRS kỳ 2015-</w:t>
      </w:r>
      <w:r w:rsidRPr="00010F83">
        <w:rPr>
          <w:rFonts w:ascii="Arial" w:hAnsi="Arial" w:cs="Arial"/>
          <w:i/>
        </w:rPr>
        <w:t>2017</w:t>
      </w:r>
      <w:r w:rsidRPr="00010F83">
        <w:rPr>
          <w:rFonts w:ascii="Arial" w:hAnsi="Arial" w:cs="Arial"/>
        </w:rPr>
        <w:t xml:space="preserve">, </w:t>
      </w:r>
      <w:r w:rsidR="00DB76F6" w:rsidRPr="00010F83">
        <w:rPr>
          <w:rFonts w:ascii="Arial" w:hAnsi="Arial" w:cs="Arial"/>
        </w:rPr>
        <w:t xml:space="preserve">ban hành tháng 12 năm 2017, đã thêm </w:t>
      </w:r>
      <w:r w:rsidRPr="00010F83">
        <w:rPr>
          <w:rFonts w:ascii="Arial" w:hAnsi="Arial" w:cs="Arial"/>
        </w:rPr>
        <w:t>đoạ</w:t>
      </w:r>
      <w:r w:rsidR="00DB76F6" w:rsidRPr="00010F83">
        <w:rPr>
          <w:rFonts w:ascii="Arial" w:hAnsi="Arial" w:cs="Arial"/>
        </w:rPr>
        <w:t>n 57A và</w:t>
      </w:r>
      <w:r w:rsidRPr="00010F83">
        <w:rPr>
          <w:rFonts w:ascii="Arial" w:hAnsi="Arial" w:cs="Arial"/>
        </w:rPr>
        <w:t xml:space="preserve"> bỏ đoạn 52B. Đơn vị phải áp dụ</w:t>
      </w:r>
      <w:r w:rsidR="00DB76F6" w:rsidRPr="00010F83">
        <w:rPr>
          <w:rFonts w:ascii="Arial" w:hAnsi="Arial" w:cs="Arial"/>
        </w:rPr>
        <w:t xml:space="preserve">ng các </w:t>
      </w:r>
      <w:r w:rsidRPr="00010F83">
        <w:rPr>
          <w:rFonts w:ascii="Arial" w:hAnsi="Arial" w:cs="Arial"/>
        </w:rPr>
        <w:t>thay đổ</w:t>
      </w:r>
      <w:r w:rsidR="00DB76F6" w:rsidRPr="00010F83">
        <w:rPr>
          <w:rFonts w:ascii="Arial" w:hAnsi="Arial" w:cs="Arial"/>
        </w:rPr>
        <w:t>i này cho</w:t>
      </w:r>
      <w:r w:rsidRPr="00010F83">
        <w:rPr>
          <w:rFonts w:ascii="Arial" w:hAnsi="Arial" w:cs="Arial"/>
        </w:rPr>
        <w:t xml:space="preserve"> kỳ báo cáo hàng năm bắt đầu vào hoặc sau ngày 1 tháng 1 năm 2019</w:t>
      </w:r>
      <w:r w:rsidR="00D82BB6" w:rsidRPr="00010F83">
        <w:rPr>
          <w:rFonts w:ascii="Arial" w:hAnsi="Arial" w:cs="Arial"/>
        </w:rPr>
        <w:t>,</w:t>
      </w:r>
      <w:r w:rsidRPr="00010F83">
        <w:rPr>
          <w:rFonts w:ascii="Arial" w:hAnsi="Arial" w:cs="Arial"/>
        </w:rPr>
        <w:t xml:space="preserve"> </w:t>
      </w:r>
      <w:r w:rsidR="00D82BB6" w:rsidRPr="00010F83">
        <w:rPr>
          <w:rFonts w:ascii="Arial" w:hAnsi="Arial" w:cs="Arial"/>
        </w:rPr>
        <w:t xml:space="preserve">và được </w:t>
      </w:r>
      <w:r w:rsidR="00DB76F6" w:rsidRPr="00010F83">
        <w:rPr>
          <w:rFonts w:ascii="Arial" w:hAnsi="Arial" w:cs="Arial"/>
        </w:rPr>
        <w:t>phép</w:t>
      </w:r>
      <w:r w:rsidRPr="00010F83">
        <w:rPr>
          <w:rFonts w:ascii="Arial" w:hAnsi="Arial" w:cs="Arial"/>
        </w:rPr>
        <w:t xml:space="preserve"> áp dụng sớm. Nếu đơn vị áp dụng sớm</w:t>
      </w:r>
      <w:r w:rsidR="00DB76F6" w:rsidRPr="00010F83">
        <w:rPr>
          <w:rFonts w:ascii="Arial" w:hAnsi="Arial" w:cs="Arial"/>
        </w:rPr>
        <w:t>,</w:t>
      </w:r>
      <w:r w:rsidRPr="00010F83">
        <w:rPr>
          <w:rFonts w:ascii="Arial" w:hAnsi="Arial" w:cs="Arial"/>
        </w:rPr>
        <w:t xml:space="preserve"> cầ</w:t>
      </w:r>
      <w:r w:rsidR="00DB76F6" w:rsidRPr="00010F83">
        <w:rPr>
          <w:rFonts w:ascii="Arial" w:hAnsi="Arial" w:cs="Arial"/>
        </w:rPr>
        <w:t>n</w:t>
      </w:r>
      <w:r w:rsidRPr="00010F83">
        <w:rPr>
          <w:rFonts w:ascii="Arial" w:hAnsi="Arial" w:cs="Arial"/>
        </w:rPr>
        <w:t xml:space="preserve"> thuyế</w:t>
      </w:r>
      <w:r w:rsidR="00DB76F6" w:rsidRPr="00010F83">
        <w:rPr>
          <w:rFonts w:ascii="Arial" w:hAnsi="Arial" w:cs="Arial"/>
        </w:rPr>
        <w:t xml:space="preserve">t minh </w:t>
      </w:r>
      <w:r w:rsidRPr="00010F83">
        <w:rPr>
          <w:rFonts w:ascii="Arial" w:hAnsi="Arial" w:cs="Arial"/>
        </w:rPr>
        <w:t xml:space="preserve">điều này. Khi đơn vị lần đầu áp dụng các thay đổi này, </w:t>
      </w:r>
      <w:r w:rsidR="00DB76F6" w:rsidRPr="00010F83">
        <w:rPr>
          <w:rFonts w:ascii="Arial" w:hAnsi="Arial" w:cs="Arial"/>
        </w:rPr>
        <w:t xml:space="preserve">chỉ </w:t>
      </w:r>
      <w:r w:rsidRPr="00010F83">
        <w:rPr>
          <w:rFonts w:ascii="Arial" w:hAnsi="Arial" w:cs="Arial"/>
        </w:rPr>
        <w:t xml:space="preserve">áp dụng </w:t>
      </w:r>
      <w:r w:rsidR="00DB76F6" w:rsidRPr="00010F83">
        <w:rPr>
          <w:rFonts w:ascii="Arial" w:hAnsi="Arial" w:cs="Arial"/>
        </w:rPr>
        <w:t>cho các</w:t>
      </w:r>
      <w:r w:rsidRPr="00010F83">
        <w:rPr>
          <w:rFonts w:ascii="Arial" w:hAnsi="Arial" w:cs="Arial"/>
        </w:rPr>
        <w:t xml:space="preserve"> khoản </w:t>
      </w:r>
      <w:r w:rsidR="00731917" w:rsidRPr="00010F83">
        <w:rPr>
          <w:rFonts w:ascii="Arial" w:hAnsi="Arial" w:cs="Arial"/>
        </w:rPr>
        <w:t>thuế TNDN</w:t>
      </w:r>
      <w:r w:rsidRPr="00010F83">
        <w:rPr>
          <w:rFonts w:ascii="Arial" w:hAnsi="Arial" w:cs="Arial"/>
        </w:rPr>
        <w:t xml:space="preserve"> phát sinh từ việc t</w:t>
      </w:r>
      <w:r w:rsidR="00DB76F6" w:rsidRPr="00010F83">
        <w:rPr>
          <w:rFonts w:ascii="Arial" w:hAnsi="Arial" w:cs="Arial"/>
        </w:rPr>
        <w:t>rả</w:t>
      </w:r>
      <w:r w:rsidRPr="00010F83">
        <w:rPr>
          <w:rFonts w:ascii="Arial" w:hAnsi="Arial" w:cs="Arial"/>
        </w:rPr>
        <w:t xml:space="preserve"> cổ tức được ghi nhận vào hoặc sau kỳ kế toán </w:t>
      </w:r>
      <w:r w:rsidR="00DB76F6" w:rsidRPr="00010F83">
        <w:rPr>
          <w:rFonts w:ascii="Arial" w:hAnsi="Arial" w:cs="Arial"/>
        </w:rPr>
        <w:t xml:space="preserve">so sánh </w:t>
      </w:r>
      <w:r w:rsidRPr="00010F83">
        <w:rPr>
          <w:rFonts w:ascii="Arial" w:hAnsi="Arial" w:cs="Arial"/>
        </w:rPr>
        <w:t xml:space="preserve">sớm nhất </w:t>
      </w:r>
      <w:r w:rsidR="00DB76F6" w:rsidRPr="00010F83">
        <w:rPr>
          <w:rFonts w:ascii="Arial" w:hAnsi="Arial" w:cs="Arial"/>
        </w:rPr>
        <w:t>trên báo cáo tài chính</w:t>
      </w:r>
      <w:r w:rsidRPr="00010F83">
        <w:rPr>
          <w:rFonts w:ascii="Arial" w:hAnsi="Arial" w:cs="Arial"/>
        </w:rPr>
        <w:t>.</w:t>
      </w:r>
    </w:p>
    <w:p w:rsidR="002F2CB5" w:rsidRPr="00010F83" w:rsidRDefault="002F2CB5" w:rsidP="002F2CB5">
      <w:pPr>
        <w:spacing w:after="0"/>
        <w:ind w:left="720" w:hanging="720"/>
        <w:jc w:val="both"/>
        <w:rPr>
          <w:rFonts w:ascii="Arial" w:hAnsi="Arial" w:cs="Arial"/>
          <w:sz w:val="24"/>
          <w:szCs w:val="24"/>
        </w:rPr>
      </w:pPr>
    </w:p>
    <w:p w:rsidR="00A83436" w:rsidRPr="00010F83" w:rsidRDefault="006A481C" w:rsidP="00590853">
      <w:pPr>
        <w:spacing w:after="120"/>
        <w:jc w:val="both"/>
        <w:rPr>
          <w:rFonts w:ascii="Arial" w:hAnsi="Arial" w:cs="Arial"/>
          <w:b/>
          <w:sz w:val="24"/>
          <w:szCs w:val="24"/>
        </w:rPr>
      </w:pPr>
      <w:r w:rsidRPr="00010F83">
        <w:rPr>
          <w:rFonts w:ascii="Arial" w:hAnsi="Arial" w:cs="Arial"/>
          <w:b/>
          <w:sz w:val="24"/>
          <w:szCs w:val="24"/>
        </w:rPr>
        <w:t>Thu hồi</w:t>
      </w:r>
      <w:r w:rsidR="00A83436" w:rsidRPr="00010F83">
        <w:rPr>
          <w:rFonts w:ascii="Arial" w:hAnsi="Arial" w:cs="Arial"/>
          <w:b/>
          <w:sz w:val="24"/>
          <w:szCs w:val="24"/>
        </w:rPr>
        <w:t xml:space="preserve"> SIC-21</w:t>
      </w:r>
    </w:p>
    <w:p w:rsidR="002F2CB5" w:rsidRPr="00010F83" w:rsidRDefault="007B64CF" w:rsidP="00876BDD">
      <w:pPr>
        <w:spacing w:before="360" w:after="120"/>
        <w:ind w:left="720" w:hanging="720"/>
        <w:jc w:val="both"/>
        <w:rPr>
          <w:rFonts w:ascii="Arial" w:hAnsi="Arial" w:cs="Arial"/>
        </w:rPr>
      </w:pPr>
      <w:r w:rsidRPr="00010F83">
        <w:rPr>
          <w:rFonts w:ascii="Arial" w:hAnsi="Arial" w:cs="Arial"/>
          <w:b/>
          <w:bCs/>
          <w:noProof/>
        </w:rPr>
        <w:pict>
          <v:line id="Straight Connector 12" o:spid="_x0000_s1031" style="position:absolute;left:0;text-align:left;z-index:251682816;visibility:visible;mso-wrap-style:square;mso-wrap-distance-left:9pt;mso-wrap-distance-top:0;mso-wrap-distance-right:9pt;mso-wrap-distance-bottom:0;mso-position-horizontal:absolute;mso-position-horizontal-relative:text;mso-position-vertical:absolute;mso-position-vertical-relative:text" from="0,-.05pt" to="46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" strokecolor="black [3200]" strokeweight=".5pt">
            <v:stroke joinstyle="miter"/>
          </v:line>
        </w:pict>
      </w:r>
      <w:r w:rsidR="00A83436" w:rsidRPr="00010F83">
        <w:rPr>
          <w:rFonts w:ascii="Arial" w:hAnsi="Arial" w:cs="Arial"/>
        </w:rPr>
        <w:t xml:space="preserve">99   </w:t>
      </w:r>
      <w:r w:rsidR="006A481C" w:rsidRPr="00010F83">
        <w:rPr>
          <w:rFonts w:ascii="Arial" w:hAnsi="Arial" w:cs="Arial"/>
        </w:rPr>
        <w:tab/>
      </w:r>
      <w:r w:rsidR="00A83436" w:rsidRPr="00010F83">
        <w:rPr>
          <w:rFonts w:ascii="Arial" w:hAnsi="Arial" w:cs="Arial"/>
        </w:rPr>
        <w:t>Những sự thay đổ</w:t>
      </w:r>
      <w:r w:rsidR="00DB76F6" w:rsidRPr="00010F83">
        <w:rPr>
          <w:rFonts w:ascii="Arial" w:hAnsi="Arial" w:cs="Arial"/>
        </w:rPr>
        <w:t>i mà</w:t>
      </w:r>
      <w:r w:rsidR="00A83436" w:rsidRPr="00010F83">
        <w:rPr>
          <w:rFonts w:ascii="Arial" w:hAnsi="Arial" w:cs="Arial"/>
        </w:rPr>
        <w:t xml:space="preserve"> </w:t>
      </w:r>
      <w:r w:rsidR="00731917" w:rsidRPr="00010F83">
        <w:rPr>
          <w:rFonts w:ascii="Arial" w:hAnsi="Arial" w:cs="Arial"/>
          <w:i/>
        </w:rPr>
        <w:t>Thuế TNDN</w:t>
      </w:r>
      <w:r w:rsidR="00A83436" w:rsidRPr="00010F83">
        <w:rPr>
          <w:rFonts w:ascii="Arial" w:hAnsi="Arial" w:cs="Arial"/>
          <w:i/>
        </w:rPr>
        <w:t xml:space="preserve"> hoãn lại: Sự hồi phục của tài sản cơ sở</w:t>
      </w:r>
      <w:r w:rsidR="00DB76F6" w:rsidRPr="00010F83">
        <w:rPr>
          <w:rFonts w:ascii="Arial" w:hAnsi="Arial" w:cs="Arial"/>
          <w:i/>
        </w:rPr>
        <w:t xml:space="preserve"> </w:t>
      </w:r>
      <w:r w:rsidR="00DB76F6" w:rsidRPr="00010F83">
        <w:rPr>
          <w:rFonts w:ascii="Arial" w:hAnsi="Arial" w:cs="Arial"/>
        </w:rPr>
        <w:t>đưa ra</w:t>
      </w:r>
      <w:r w:rsidR="00A83436" w:rsidRPr="00010F83">
        <w:rPr>
          <w:rFonts w:ascii="Arial" w:hAnsi="Arial" w:cs="Arial"/>
        </w:rPr>
        <w:t xml:space="preserve">, </w:t>
      </w:r>
      <w:r w:rsidR="00DB76F6" w:rsidRPr="00010F83">
        <w:rPr>
          <w:rFonts w:ascii="Arial" w:hAnsi="Arial" w:cs="Arial"/>
        </w:rPr>
        <w:t>ban hành</w:t>
      </w:r>
      <w:r w:rsidR="00A83436" w:rsidRPr="00010F83">
        <w:rPr>
          <w:rFonts w:ascii="Arial" w:hAnsi="Arial" w:cs="Arial"/>
        </w:rPr>
        <w:t xml:space="preserve"> tháng 12 năm 2010, thay thế </w:t>
      </w:r>
      <w:r w:rsidR="00DB76F6" w:rsidRPr="00010F83">
        <w:rPr>
          <w:rFonts w:ascii="Arial" w:hAnsi="Arial" w:cs="Arial"/>
        </w:rPr>
        <w:t>cho SIC</w:t>
      </w:r>
      <w:r w:rsidR="00A83436" w:rsidRPr="00010F83">
        <w:rPr>
          <w:rFonts w:ascii="Arial" w:hAnsi="Arial" w:cs="Arial"/>
        </w:rPr>
        <w:t xml:space="preserve"> 21 </w:t>
      </w:r>
      <w:r w:rsidR="00731917" w:rsidRPr="00010F83">
        <w:rPr>
          <w:rFonts w:ascii="Arial" w:hAnsi="Arial" w:cs="Arial"/>
          <w:i/>
        </w:rPr>
        <w:t>Thuế TNDN</w:t>
      </w:r>
      <w:r w:rsidR="00A83436" w:rsidRPr="00010F83">
        <w:rPr>
          <w:rFonts w:ascii="Arial" w:hAnsi="Arial" w:cs="Arial"/>
          <w:i/>
        </w:rPr>
        <w:t xml:space="preserve"> – </w:t>
      </w:r>
      <w:r w:rsidR="00DB76F6" w:rsidRPr="00010F83">
        <w:rPr>
          <w:rFonts w:ascii="Arial" w:hAnsi="Arial" w:cs="Arial"/>
          <w:i/>
        </w:rPr>
        <w:t>Thu hồi</w:t>
      </w:r>
      <w:r w:rsidR="00A83436" w:rsidRPr="00010F83">
        <w:rPr>
          <w:rFonts w:ascii="Arial" w:hAnsi="Arial" w:cs="Arial"/>
          <w:i/>
        </w:rPr>
        <w:t xml:space="preserve"> Tài sản không khấu hao được đánh giá lại</w:t>
      </w:r>
      <w:r w:rsidR="00A83436" w:rsidRPr="00010F83">
        <w:rPr>
          <w:rFonts w:ascii="Arial" w:hAnsi="Arial" w:cs="Arial"/>
        </w:rPr>
        <w:t>.</w:t>
      </w:r>
    </w:p>
    <w:p w:rsidR="002F2CB5" w:rsidRPr="00010F83" w:rsidRDefault="002F2CB5">
      <w:pPr>
        <w:rPr>
          <w:rFonts w:ascii="Arial" w:hAnsi="Arial" w:cs="Arial"/>
        </w:rPr>
      </w:pPr>
      <w:r w:rsidRPr="00010F83">
        <w:rPr>
          <w:rFonts w:ascii="Arial" w:hAnsi="Arial" w:cs="Arial"/>
        </w:rPr>
        <w:br w:type="page"/>
      </w:r>
    </w:p>
    <w:p w:rsidR="00A83436" w:rsidRPr="00010F83" w:rsidRDefault="00A83436" w:rsidP="002F2CB5">
      <w:pPr>
        <w:spacing w:before="360" w:after="120"/>
        <w:jc w:val="both"/>
        <w:rPr>
          <w:rFonts w:ascii="Arial" w:hAnsi="Arial" w:cs="Arial"/>
          <w:sz w:val="24"/>
          <w:szCs w:val="24"/>
        </w:rPr>
      </w:pPr>
    </w:p>
    <w:p w:rsidR="00A83436" w:rsidRPr="00010F83" w:rsidRDefault="00A83436" w:rsidP="00590853">
      <w:pPr>
        <w:spacing w:after="120"/>
        <w:jc w:val="both"/>
        <w:rPr>
          <w:rFonts w:ascii="Arial" w:hAnsi="Arial" w:cs="Arial"/>
          <w:b/>
          <w:sz w:val="24"/>
          <w:szCs w:val="24"/>
        </w:rPr>
      </w:pPr>
      <w:r w:rsidRPr="00010F83">
        <w:rPr>
          <w:rFonts w:ascii="Arial" w:hAnsi="Arial" w:cs="Arial"/>
          <w:b/>
          <w:sz w:val="24"/>
          <w:szCs w:val="24"/>
        </w:rPr>
        <w:t xml:space="preserve">Phê duyệt </w:t>
      </w:r>
      <w:r w:rsidR="00DB76F6" w:rsidRPr="00010F83">
        <w:rPr>
          <w:rFonts w:ascii="Arial" w:hAnsi="Arial" w:cs="Arial"/>
          <w:b/>
          <w:sz w:val="24"/>
          <w:szCs w:val="24"/>
        </w:rPr>
        <w:t>của</w:t>
      </w:r>
      <w:r w:rsidRPr="00010F83">
        <w:rPr>
          <w:rFonts w:ascii="Arial" w:hAnsi="Arial" w:cs="Arial"/>
          <w:b/>
          <w:sz w:val="24"/>
          <w:szCs w:val="24"/>
        </w:rPr>
        <w:t xml:space="preserve"> Ủy ban </w:t>
      </w:r>
      <w:r w:rsidR="00DB76F6" w:rsidRPr="00010F83">
        <w:rPr>
          <w:rFonts w:ascii="Arial" w:hAnsi="Arial" w:cs="Arial"/>
          <w:b/>
          <w:sz w:val="24"/>
          <w:szCs w:val="24"/>
        </w:rPr>
        <w:t>cho công bố</w:t>
      </w:r>
      <w:r w:rsidR="002F07BD" w:rsidRPr="00010F83">
        <w:rPr>
          <w:rFonts w:ascii="Arial" w:hAnsi="Arial" w:cs="Arial"/>
          <w:b/>
          <w:sz w:val="24"/>
          <w:szCs w:val="24"/>
        </w:rPr>
        <w:t xml:space="preserve"> </w:t>
      </w:r>
      <w:r w:rsidR="00731917" w:rsidRPr="00010F83">
        <w:rPr>
          <w:rFonts w:ascii="Arial" w:hAnsi="Arial" w:cs="Arial"/>
          <w:b/>
          <w:i/>
          <w:sz w:val="24"/>
          <w:szCs w:val="24"/>
        </w:rPr>
        <w:t>Thuế TNDN</w:t>
      </w:r>
      <w:r w:rsidRPr="00010F83">
        <w:rPr>
          <w:rFonts w:ascii="Arial" w:hAnsi="Arial" w:cs="Arial"/>
          <w:b/>
          <w:i/>
          <w:sz w:val="24"/>
          <w:szCs w:val="24"/>
        </w:rPr>
        <w:t xml:space="preserve"> hoãn lại: </w:t>
      </w:r>
      <w:r w:rsidR="00DB76F6" w:rsidRPr="00010F83">
        <w:rPr>
          <w:rFonts w:ascii="Arial" w:hAnsi="Arial" w:cs="Arial"/>
          <w:b/>
          <w:i/>
          <w:sz w:val="24"/>
          <w:szCs w:val="24"/>
        </w:rPr>
        <w:t>Thu hồi</w:t>
      </w:r>
      <w:r w:rsidRPr="00010F83">
        <w:rPr>
          <w:rFonts w:ascii="Arial" w:hAnsi="Arial" w:cs="Arial"/>
          <w:b/>
          <w:i/>
          <w:sz w:val="24"/>
          <w:szCs w:val="24"/>
        </w:rPr>
        <w:t xml:space="preserve"> tài sản cơ sở</w:t>
      </w:r>
      <w:r w:rsidRPr="00010F83">
        <w:rPr>
          <w:rFonts w:ascii="Arial" w:hAnsi="Arial" w:cs="Arial"/>
          <w:b/>
          <w:sz w:val="24"/>
          <w:szCs w:val="24"/>
        </w:rPr>
        <w:t xml:space="preserve"> (</w:t>
      </w:r>
      <w:r w:rsidR="00DB76F6" w:rsidRPr="00010F83">
        <w:rPr>
          <w:rFonts w:ascii="Arial" w:hAnsi="Arial" w:cs="Arial"/>
          <w:b/>
          <w:sz w:val="24"/>
          <w:szCs w:val="24"/>
        </w:rPr>
        <w:t>sửa đổi</w:t>
      </w:r>
      <w:r w:rsidRPr="00010F83">
        <w:rPr>
          <w:rFonts w:ascii="Arial" w:hAnsi="Arial" w:cs="Arial"/>
          <w:b/>
          <w:sz w:val="24"/>
          <w:szCs w:val="24"/>
        </w:rPr>
        <w:t xml:space="preserve"> IAS 12) </w:t>
      </w:r>
      <w:r w:rsidR="00DB76F6" w:rsidRPr="00010F83">
        <w:rPr>
          <w:rFonts w:ascii="Arial" w:hAnsi="Arial" w:cs="Arial"/>
          <w:b/>
          <w:sz w:val="24"/>
          <w:szCs w:val="24"/>
        </w:rPr>
        <w:t>ban hàng</w:t>
      </w:r>
      <w:r w:rsidRPr="00010F83">
        <w:rPr>
          <w:rFonts w:ascii="Arial" w:hAnsi="Arial" w:cs="Arial"/>
          <w:b/>
          <w:sz w:val="24"/>
          <w:szCs w:val="24"/>
        </w:rPr>
        <w:t xml:space="preserve"> tháng 12 năm 2010</w:t>
      </w:r>
    </w:p>
    <w:p w:rsidR="00A83436" w:rsidRPr="00010F83" w:rsidRDefault="007B64CF" w:rsidP="002F2CB5">
      <w:pPr>
        <w:spacing w:before="360" w:after="120"/>
        <w:jc w:val="both"/>
        <w:rPr>
          <w:rFonts w:ascii="Arial" w:hAnsi="Arial" w:cs="Arial"/>
        </w:rPr>
      </w:pPr>
      <w:r w:rsidRPr="00010F83">
        <w:rPr>
          <w:rFonts w:ascii="Arial" w:hAnsi="Arial" w:cs="Arial"/>
          <w:b/>
          <w:bCs/>
          <w:noProof/>
        </w:rPr>
        <w:pict>
          <v:line id="Straight Connector 13" o:spid="_x0000_s1030" style="position:absolute;left:0;text-align:left;z-index:251684864;visibility:visible;mso-wrap-style:square;mso-wrap-distance-left:9pt;mso-wrap-distance-top:0;mso-wrap-distance-right:9pt;mso-wrap-distance-bottom:0;mso-position-horizontal:absolute;mso-position-horizontal-relative:text;mso-position-vertical:absolute;mso-position-vertical-relative:text"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" strokecolor="black [3200]" strokeweight=".5pt">
            <v:stroke joinstyle="miter"/>
          </v:line>
        </w:pict>
      </w:r>
      <w:r w:rsidR="00731917" w:rsidRPr="00010F83">
        <w:rPr>
          <w:rFonts w:ascii="Arial" w:hAnsi="Arial" w:cs="Arial"/>
        </w:rPr>
        <w:t>Thuế TNDN</w:t>
      </w:r>
      <w:r w:rsidR="002F07BD" w:rsidRPr="00010F83">
        <w:rPr>
          <w:rFonts w:ascii="Arial" w:hAnsi="Arial" w:cs="Arial"/>
        </w:rPr>
        <w:t xml:space="preserve"> hoãn lại: </w:t>
      </w:r>
      <w:r w:rsidR="00DB76F6" w:rsidRPr="00010F83">
        <w:rPr>
          <w:rFonts w:ascii="Arial" w:hAnsi="Arial" w:cs="Arial"/>
        </w:rPr>
        <w:t>Thu hồi</w:t>
      </w:r>
      <w:r w:rsidR="002F07BD" w:rsidRPr="00010F83">
        <w:rPr>
          <w:rFonts w:ascii="Arial" w:hAnsi="Arial" w:cs="Arial"/>
        </w:rPr>
        <w:t xml:space="preserve"> tài sản cơ sở</w:t>
      </w:r>
      <w:r w:rsidR="00A83436" w:rsidRPr="00010F83">
        <w:rPr>
          <w:rFonts w:ascii="Arial" w:hAnsi="Arial" w:cs="Arial"/>
        </w:rPr>
        <w:t xml:space="preserve"> (Điều chỉnh cho IAS 12) được </w:t>
      </w:r>
      <w:r w:rsidR="002F07BD" w:rsidRPr="00010F83">
        <w:rPr>
          <w:rFonts w:ascii="Arial" w:hAnsi="Arial" w:cs="Arial"/>
        </w:rPr>
        <w:t xml:space="preserve">duyệt </w:t>
      </w:r>
      <w:r w:rsidR="00A83436" w:rsidRPr="00010F83">
        <w:rPr>
          <w:rFonts w:ascii="Arial" w:hAnsi="Arial" w:cs="Arial"/>
        </w:rPr>
        <w:t xml:space="preserve">công bố bởi 15 thành viên của </w:t>
      </w:r>
      <w:r w:rsidR="00DB76F6" w:rsidRPr="00010F83">
        <w:rPr>
          <w:rFonts w:ascii="Arial" w:hAnsi="Arial" w:cs="Arial"/>
        </w:rPr>
        <w:t>Hội đồng chuẩn mực</w:t>
      </w:r>
      <w:r w:rsidR="00A83436" w:rsidRPr="00010F83">
        <w:rPr>
          <w:rFonts w:ascii="Arial" w:hAnsi="Arial" w:cs="Arial"/>
        </w:rPr>
        <w:t xml:space="preserve"> kế toán quốc tế.</w:t>
      </w:r>
    </w:p>
    <w:p w:rsidR="00A83436" w:rsidRPr="00010F83" w:rsidRDefault="00A83436" w:rsidP="00590853">
      <w:pPr>
        <w:spacing w:after="120"/>
        <w:jc w:val="both"/>
        <w:rPr>
          <w:rFonts w:ascii="Arial" w:hAnsi="Arial" w:cs="Arial"/>
        </w:rPr>
      </w:pPr>
      <w:r w:rsidRPr="00010F83">
        <w:rPr>
          <w:rFonts w:ascii="Arial" w:hAnsi="Arial" w:cs="Arial"/>
        </w:rPr>
        <w:t xml:space="preserve">Sir David Tweedie </w:t>
      </w:r>
      <w:r w:rsidRPr="00010F83">
        <w:rPr>
          <w:rFonts w:ascii="Arial" w:hAnsi="Arial" w:cs="Arial"/>
        </w:rPr>
        <w:tab/>
      </w:r>
      <w:r w:rsidRPr="00010F83">
        <w:rPr>
          <w:rFonts w:ascii="Arial" w:hAnsi="Arial" w:cs="Arial"/>
        </w:rPr>
        <w:tab/>
      </w:r>
      <w:r w:rsidRPr="00010F83">
        <w:rPr>
          <w:rFonts w:ascii="Arial" w:hAnsi="Arial" w:cs="Arial"/>
        </w:rPr>
        <w:tab/>
      </w:r>
      <w:r w:rsidRPr="00010F83">
        <w:rPr>
          <w:rFonts w:ascii="Arial" w:hAnsi="Arial" w:cs="Arial"/>
        </w:rPr>
        <w:tab/>
      </w:r>
      <w:r w:rsidRPr="00010F83">
        <w:rPr>
          <w:rFonts w:ascii="Arial" w:hAnsi="Arial" w:cs="Arial"/>
        </w:rPr>
        <w:tab/>
        <w:t>Chủ tịch</w:t>
      </w:r>
    </w:p>
    <w:p w:rsidR="00A83436" w:rsidRPr="00010F83" w:rsidRDefault="00A83436" w:rsidP="00590853">
      <w:pPr>
        <w:spacing w:after="120"/>
        <w:jc w:val="both"/>
        <w:rPr>
          <w:rFonts w:ascii="Arial" w:hAnsi="Arial" w:cs="Arial"/>
        </w:rPr>
      </w:pPr>
      <w:r w:rsidRPr="00010F83">
        <w:rPr>
          <w:rFonts w:ascii="Arial" w:hAnsi="Arial" w:cs="Arial"/>
        </w:rPr>
        <w:t>Stephen Cooper</w:t>
      </w:r>
    </w:p>
    <w:p w:rsidR="00A83436" w:rsidRPr="00010F83" w:rsidRDefault="00A83436" w:rsidP="00590853">
      <w:pPr>
        <w:spacing w:after="120"/>
        <w:jc w:val="both"/>
        <w:rPr>
          <w:rFonts w:ascii="Arial" w:hAnsi="Arial" w:cs="Arial"/>
        </w:rPr>
      </w:pPr>
      <w:r w:rsidRPr="00010F83">
        <w:rPr>
          <w:rFonts w:ascii="Arial" w:hAnsi="Arial" w:cs="Arial"/>
        </w:rPr>
        <w:t>Philippe Danjou</w:t>
      </w:r>
    </w:p>
    <w:p w:rsidR="00A83436" w:rsidRPr="00010F83" w:rsidRDefault="00A83436" w:rsidP="00590853">
      <w:pPr>
        <w:spacing w:after="120"/>
        <w:jc w:val="both"/>
        <w:rPr>
          <w:rFonts w:ascii="Arial" w:hAnsi="Arial" w:cs="Arial"/>
        </w:rPr>
      </w:pPr>
      <w:r w:rsidRPr="00010F83">
        <w:rPr>
          <w:rFonts w:ascii="Arial" w:hAnsi="Arial" w:cs="Arial"/>
        </w:rPr>
        <w:t>Jan Engström</w:t>
      </w:r>
    </w:p>
    <w:p w:rsidR="00A83436" w:rsidRPr="00010F83" w:rsidRDefault="00A83436" w:rsidP="00590853">
      <w:pPr>
        <w:spacing w:after="120"/>
        <w:jc w:val="both"/>
        <w:rPr>
          <w:rFonts w:ascii="Arial" w:hAnsi="Arial" w:cs="Arial"/>
        </w:rPr>
      </w:pPr>
      <w:r w:rsidRPr="00010F83">
        <w:rPr>
          <w:rFonts w:ascii="Arial" w:hAnsi="Arial" w:cs="Arial"/>
        </w:rPr>
        <w:t>Patrick Finnegan</w:t>
      </w:r>
    </w:p>
    <w:p w:rsidR="00A83436" w:rsidRPr="00010F83" w:rsidRDefault="00A83436" w:rsidP="00590853">
      <w:pPr>
        <w:spacing w:after="120"/>
        <w:jc w:val="both"/>
        <w:rPr>
          <w:rFonts w:ascii="Arial" w:hAnsi="Arial" w:cs="Arial"/>
        </w:rPr>
      </w:pPr>
      <w:r w:rsidRPr="00010F83">
        <w:rPr>
          <w:rFonts w:ascii="Arial" w:hAnsi="Arial" w:cs="Arial"/>
        </w:rPr>
        <w:t>Amaro Luiz de Oliveira Gomes</w:t>
      </w:r>
    </w:p>
    <w:p w:rsidR="00A83436" w:rsidRPr="00010F83" w:rsidRDefault="00A83436" w:rsidP="00590853">
      <w:pPr>
        <w:spacing w:after="120"/>
        <w:jc w:val="both"/>
        <w:rPr>
          <w:rFonts w:ascii="Arial" w:hAnsi="Arial" w:cs="Arial"/>
        </w:rPr>
      </w:pPr>
      <w:r w:rsidRPr="00010F83">
        <w:rPr>
          <w:rFonts w:ascii="Arial" w:hAnsi="Arial" w:cs="Arial"/>
        </w:rPr>
        <w:t>Prabhakar Kalavacherla</w:t>
      </w:r>
    </w:p>
    <w:p w:rsidR="00A83436" w:rsidRPr="00010F83" w:rsidRDefault="00A83436" w:rsidP="00590853">
      <w:pPr>
        <w:spacing w:after="120"/>
        <w:jc w:val="both"/>
        <w:rPr>
          <w:rFonts w:ascii="Arial" w:hAnsi="Arial" w:cs="Arial"/>
        </w:rPr>
      </w:pPr>
      <w:r w:rsidRPr="00010F83">
        <w:rPr>
          <w:rFonts w:ascii="Arial" w:hAnsi="Arial" w:cs="Arial"/>
        </w:rPr>
        <w:t>Elke König</w:t>
      </w:r>
    </w:p>
    <w:p w:rsidR="00A83436" w:rsidRPr="00010F83" w:rsidRDefault="00A83436" w:rsidP="00590853">
      <w:pPr>
        <w:spacing w:after="120"/>
        <w:jc w:val="both"/>
        <w:rPr>
          <w:rFonts w:ascii="Arial" w:hAnsi="Arial" w:cs="Arial"/>
        </w:rPr>
      </w:pPr>
      <w:r w:rsidRPr="00010F83">
        <w:rPr>
          <w:rFonts w:ascii="Arial" w:hAnsi="Arial" w:cs="Arial"/>
        </w:rPr>
        <w:t>Patricia McConnell</w:t>
      </w:r>
    </w:p>
    <w:p w:rsidR="00A83436" w:rsidRPr="00010F83" w:rsidRDefault="00A83436" w:rsidP="00590853">
      <w:pPr>
        <w:spacing w:after="120"/>
        <w:jc w:val="both"/>
        <w:rPr>
          <w:rFonts w:ascii="Arial" w:hAnsi="Arial" w:cs="Arial"/>
        </w:rPr>
      </w:pPr>
      <w:r w:rsidRPr="00010F83">
        <w:rPr>
          <w:rFonts w:ascii="Arial" w:hAnsi="Arial" w:cs="Arial"/>
        </w:rPr>
        <w:t>Warren J McGregor</w:t>
      </w:r>
    </w:p>
    <w:p w:rsidR="00A83436" w:rsidRPr="00010F83" w:rsidRDefault="00A83436" w:rsidP="00590853">
      <w:pPr>
        <w:spacing w:after="120"/>
        <w:jc w:val="both"/>
        <w:rPr>
          <w:rFonts w:ascii="Arial" w:hAnsi="Arial" w:cs="Arial"/>
        </w:rPr>
      </w:pPr>
      <w:r w:rsidRPr="00010F83">
        <w:rPr>
          <w:rFonts w:ascii="Arial" w:hAnsi="Arial" w:cs="Arial"/>
        </w:rPr>
        <w:t>Paul Pacter</w:t>
      </w:r>
    </w:p>
    <w:p w:rsidR="00A83436" w:rsidRPr="00010F83" w:rsidRDefault="00A83436" w:rsidP="00590853">
      <w:pPr>
        <w:spacing w:after="120"/>
        <w:jc w:val="both"/>
        <w:rPr>
          <w:rFonts w:ascii="Arial" w:hAnsi="Arial" w:cs="Arial"/>
        </w:rPr>
      </w:pPr>
      <w:r w:rsidRPr="00010F83">
        <w:rPr>
          <w:rFonts w:ascii="Arial" w:hAnsi="Arial" w:cs="Arial"/>
        </w:rPr>
        <w:t>Darrel Scott</w:t>
      </w:r>
    </w:p>
    <w:p w:rsidR="00A83436" w:rsidRPr="00010F83" w:rsidRDefault="00A83436" w:rsidP="00590853">
      <w:pPr>
        <w:spacing w:after="120"/>
        <w:jc w:val="both"/>
        <w:rPr>
          <w:rFonts w:ascii="Arial" w:hAnsi="Arial" w:cs="Arial"/>
        </w:rPr>
      </w:pPr>
      <w:r w:rsidRPr="00010F83">
        <w:rPr>
          <w:rFonts w:ascii="Arial" w:hAnsi="Arial" w:cs="Arial"/>
        </w:rPr>
        <w:t>John T Smith</w:t>
      </w:r>
    </w:p>
    <w:p w:rsidR="00A83436" w:rsidRPr="00010F83" w:rsidRDefault="00A83436" w:rsidP="00590853">
      <w:pPr>
        <w:spacing w:after="120"/>
        <w:jc w:val="both"/>
        <w:rPr>
          <w:rFonts w:ascii="Arial" w:hAnsi="Arial" w:cs="Arial"/>
        </w:rPr>
      </w:pPr>
      <w:r w:rsidRPr="00010F83">
        <w:rPr>
          <w:rFonts w:ascii="Arial" w:hAnsi="Arial" w:cs="Arial"/>
        </w:rPr>
        <w:t>Tatsumi Yamada</w:t>
      </w:r>
    </w:p>
    <w:p w:rsidR="00A83436" w:rsidRPr="00010F83" w:rsidRDefault="00A83436" w:rsidP="00590853">
      <w:pPr>
        <w:spacing w:after="120"/>
        <w:jc w:val="both"/>
        <w:rPr>
          <w:rFonts w:ascii="Arial" w:hAnsi="Arial" w:cs="Arial"/>
        </w:rPr>
      </w:pPr>
      <w:r w:rsidRPr="00010F83">
        <w:rPr>
          <w:rFonts w:ascii="Arial" w:hAnsi="Arial" w:cs="Arial"/>
        </w:rPr>
        <w:t>Wei-Guo Zhang</w:t>
      </w:r>
    </w:p>
    <w:p w:rsidR="00A83436" w:rsidRPr="00010F83" w:rsidRDefault="00A83436" w:rsidP="00590853">
      <w:pPr>
        <w:spacing w:after="120"/>
        <w:jc w:val="both"/>
        <w:rPr>
          <w:rFonts w:ascii="Arial" w:hAnsi="Arial" w:cs="Arial"/>
        </w:rPr>
      </w:pPr>
    </w:p>
    <w:p w:rsidR="002F2CB5" w:rsidRPr="00010F83" w:rsidRDefault="002F2CB5">
      <w:pPr>
        <w:rPr>
          <w:rFonts w:ascii="Arial" w:hAnsi="Arial" w:cs="Arial"/>
          <w:b/>
        </w:rPr>
      </w:pPr>
      <w:r w:rsidRPr="00010F83">
        <w:rPr>
          <w:rFonts w:ascii="Arial" w:hAnsi="Arial" w:cs="Arial"/>
          <w:b/>
        </w:rPr>
        <w:br w:type="page"/>
      </w:r>
    </w:p>
    <w:p w:rsidR="00A83436" w:rsidRPr="00010F83" w:rsidRDefault="00A83436" w:rsidP="00590853">
      <w:pPr>
        <w:spacing w:after="120"/>
        <w:jc w:val="both"/>
        <w:rPr>
          <w:rFonts w:ascii="Arial" w:hAnsi="Arial" w:cs="Arial"/>
          <w:b/>
          <w:sz w:val="24"/>
          <w:szCs w:val="24"/>
        </w:rPr>
      </w:pPr>
      <w:r w:rsidRPr="00010F83">
        <w:rPr>
          <w:rFonts w:ascii="Arial" w:hAnsi="Arial" w:cs="Arial"/>
          <w:b/>
          <w:sz w:val="24"/>
          <w:szCs w:val="24"/>
        </w:rPr>
        <w:t xml:space="preserve">Phê duyệt </w:t>
      </w:r>
      <w:r w:rsidR="00DB76F6" w:rsidRPr="00010F83">
        <w:rPr>
          <w:rFonts w:ascii="Arial" w:hAnsi="Arial" w:cs="Arial"/>
          <w:b/>
          <w:sz w:val="24"/>
          <w:szCs w:val="24"/>
        </w:rPr>
        <w:t>của</w:t>
      </w:r>
      <w:r w:rsidRPr="00010F83">
        <w:rPr>
          <w:rFonts w:ascii="Arial" w:hAnsi="Arial" w:cs="Arial"/>
          <w:b/>
          <w:sz w:val="24"/>
          <w:szCs w:val="24"/>
        </w:rPr>
        <w:t xml:space="preserve"> Ủy ban </w:t>
      </w:r>
      <w:r w:rsidR="00DB76F6" w:rsidRPr="00010F83">
        <w:rPr>
          <w:rFonts w:ascii="Arial" w:hAnsi="Arial" w:cs="Arial"/>
          <w:b/>
          <w:sz w:val="24"/>
          <w:szCs w:val="24"/>
        </w:rPr>
        <w:t>cho công bố</w:t>
      </w:r>
      <w:r w:rsidR="002F07BD" w:rsidRPr="00010F83">
        <w:rPr>
          <w:rFonts w:ascii="Arial" w:hAnsi="Arial" w:cs="Arial"/>
          <w:b/>
          <w:sz w:val="24"/>
          <w:szCs w:val="24"/>
        </w:rPr>
        <w:t xml:space="preserve"> </w:t>
      </w:r>
      <w:r w:rsidRPr="00010F83">
        <w:rPr>
          <w:rFonts w:ascii="Arial" w:hAnsi="Arial" w:cs="Arial"/>
          <w:b/>
          <w:i/>
          <w:sz w:val="24"/>
          <w:szCs w:val="24"/>
        </w:rPr>
        <w:t xml:space="preserve">Ghi nhận </w:t>
      </w:r>
      <w:r w:rsidR="002F07BD" w:rsidRPr="00010F83">
        <w:rPr>
          <w:rFonts w:ascii="Arial" w:hAnsi="Arial" w:cs="Arial"/>
          <w:b/>
          <w:i/>
          <w:sz w:val="24"/>
          <w:szCs w:val="24"/>
        </w:rPr>
        <w:t xml:space="preserve">Tài sản </w:t>
      </w:r>
      <w:r w:rsidR="00731917" w:rsidRPr="00010F83">
        <w:rPr>
          <w:rFonts w:ascii="Arial" w:hAnsi="Arial" w:cs="Arial"/>
          <w:b/>
          <w:i/>
          <w:sz w:val="24"/>
          <w:szCs w:val="24"/>
        </w:rPr>
        <w:t>thuế TNDN</w:t>
      </w:r>
      <w:r w:rsidRPr="00010F83">
        <w:rPr>
          <w:rFonts w:ascii="Arial" w:hAnsi="Arial" w:cs="Arial"/>
          <w:b/>
          <w:i/>
          <w:sz w:val="24"/>
          <w:szCs w:val="24"/>
        </w:rPr>
        <w:t xml:space="preserve"> hoãn lại cho lỗ chưa thực hiện</w:t>
      </w:r>
      <w:r w:rsidRPr="00010F83">
        <w:rPr>
          <w:rFonts w:ascii="Arial" w:hAnsi="Arial" w:cs="Arial"/>
          <w:b/>
          <w:sz w:val="24"/>
          <w:szCs w:val="24"/>
        </w:rPr>
        <w:t xml:space="preserve"> (</w:t>
      </w:r>
      <w:r w:rsidR="00DB76F6" w:rsidRPr="00010F83">
        <w:rPr>
          <w:rFonts w:ascii="Arial" w:hAnsi="Arial" w:cs="Arial"/>
          <w:b/>
          <w:sz w:val="24"/>
          <w:szCs w:val="24"/>
        </w:rPr>
        <w:t>sửa đổi</w:t>
      </w:r>
      <w:r w:rsidRPr="00010F83">
        <w:rPr>
          <w:rFonts w:ascii="Arial" w:hAnsi="Arial" w:cs="Arial"/>
          <w:b/>
          <w:sz w:val="24"/>
          <w:szCs w:val="24"/>
        </w:rPr>
        <w:t xml:space="preserve"> IAS 12) </w:t>
      </w:r>
      <w:r w:rsidR="00DB76F6" w:rsidRPr="00010F83">
        <w:rPr>
          <w:rFonts w:ascii="Arial" w:hAnsi="Arial" w:cs="Arial"/>
          <w:b/>
          <w:sz w:val="24"/>
          <w:szCs w:val="24"/>
        </w:rPr>
        <w:t xml:space="preserve">ban hành </w:t>
      </w:r>
      <w:r w:rsidRPr="00010F83">
        <w:rPr>
          <w:rFonts w:ascii="Arial" w:hAnsi="Arial" w:cs="Arial"/>
          <w:b/>
          <w:sz w:val="24"/>
          <w:szCs w:val="24"/>
        </w:rPr>
        <w:t>tháng 1 năm 2016</w:t>
      </w:r>
    </w:p>
    <w:p w:rsidR="00A83436" w:rsidRPr="00010F83" w:rsidRDefault="007B64CF" w:rsidP="002F2CB5">
      <w:pPr>
        <w:spacing w:before="360" w:after="120"/>
        <w:jc w:val="both"/>
        <w:rPr>
          <w:rFonts w:ascii="Arial" w:hAnsi="Arial" w:cs="Arial"/>
        </w:rPr>
      </w:pPr>
      <w:r w:rsidRPr="00010F83">
        <w:rPr>
          <w:rFonts w:ascii="Arial" w:hAnsi="Arial" w:cs="Arial"/>
          <w:b/>
          <w:bCs/>
          <w:noProof/>
        </w:rPr>
        <w:pict>
          <v:line id="Straight Connector 14" o:spid="_x0000_s1029" style="position:absolute;left:0;text-align:left;z-index:251686912;visibility:visible;mso-wrap-style:square;mso-wrap-distance-left:9pt;mso-wrap-distance-top:0;mso-wrap-distance-right:9pt;mso-wrap-distance-bottom:0;mso-position-horizontal:absolute;mso-position-horizontal-relative:text;mso-position-vertical:absolute;mso-position-vertical-relative:text" from="0,-.05pt" to="46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" strokecolor="black [3200]" strokeweight=".5pt">
            <v:stroke joinstyle="miter"/>
          </v:line>
        </w:pict>
      </w:r>
      <w:proofErr w:type="gramStart"/>
      <w:r w:rsidR="002F07BD" w:rsidRPr="00010F83">
        <w:rPr>
          <w:rFonts w:ascii="Arial" w:hAnsi="Arial" w:cs="Arial"/>
          <w:i/>
        </w:rPr>
        <w:t xml:space="preserve">Ghi nhận Tài sản </w:t>
      </w:r>
      <w:r w:rsidR="00731917" w:rsidRPr="00010F83">
        <w:rPr>
          <w:rFonts w:ascii="Arial" w:hAnsi="Arial" w:cs="Arial"/>
          <w:i/>
        </w:rPr>
        <w:t>thuế TNDN</w:t>
      </w:r>
      <w:r w:rsidR="002F07BD" w:rsidRPr="00010F83">
        <w:rPr>
          <w:rFonts w:ascii="Arial" w:hAnsi="Arial" w:cs="Arial"/>
          <w:i/>
        </w:rPr>
        <w:t xml:space="preserve"> hoãn lại</w:t>
      </w:r>
      <w:r w:rsidR="00A83436" w:rsidRPr="00010F83">
        <w:rPr>
          <w:rFonts w:ascii="Arial" w:hAnsi="Arial" w:cs="Arial"/>
          <w:i/>
        </w:rPr>
        <w:t xml:space="preserve"> cho các khoản lỗ chưa thực hiện </w:t>
      </w:r>
      <w:r w:rsidR="00A83436" w:rsidRPr="00010F83">
        <w:rPr>
          <w:rFonts w:ascii="Arial" w:hAnsi="Arial" w:cs="Arial"/>
        </w:rPr>
        <w:t xml:space="preserve">được </w:t>
      </w:r>
      <w:r w:rsidR="00DB76F6" w:rsidRPr="00010F83">
        <w:rPr>
          <w:rFonts w:ascii="Arial" w:hAnsi="Arial" w:cs="Arial"/>
        </w:rPr>
        <w:t>duyệt công bố</w:t>
      </w:r>
      <w:r w:rsidR="00A83436" w:rsidRPr="00010F83">
        <w:rPr>
          <w:rFonts w:ascii="Arial" w:hAnsi="Arial" w:cs="Arial"/>
        </w:rPr>
        <w:t xml:space="preserve"> bởi 14 thành viên của </w:t>
      </w:r>
      <w:r w:rsidR="00DB76F6" w:rsidRPr="00010F83">
        <w:rPr>
          <w:rFonts w:ascii="Arial" w:hAnsi="Arial" w:cs="Arial"/>
        </w:rPr>
        <w:t>Hội đồng chuẩn mực</w:t>
      </w:r>
      <w:r w:rsidR="00A83436" w:rsidRPr="00010F83">
        <w:rPr>
          <w:rFonts w:ascii="Arial" w:hAnsi="Arial" w:cs="Arial"/>
        </w:rPr>
        <w:t xml:space="preserve"> kế toán quốc tế.</w:t>
      </w:r>
      <w:proofErr w:type="gramEnd"/>
    </w:p>
    <w:p w:rsidR="00A83436" w:rsidRPr="00010F83" w:rsidRDefault="00A83436" w:rsidP="00590853">
      <w:pPr>
        <w:spacing w:after="120"/>
        <w:jc w:val="both"/>
        <w:rPr>
          <w:rFonts w:ascii="Arial" w:hAnsi="Arial" w:cs="Arial"/>
        </w:rPr>
      </w:pPr>
    </w:p>
    <w:p w:rsidR="00A83436" w:rsidRPr="00010F83" w:rsidRDefault="00A83436" w:rsidP="00590853">
      <w:pPr>
        <w:spacing w:after="120"/>
        <w:jc w:val="both"/>
        <w:rPr>
          <w:rFonts w:ascii="Arial" w:hAnsi="Arial" w:cs="Arial"/>
        </w:rPr>
      </w:pPr>
      <w:r w:rsidRPr="00010F83">
        <w:rPr>
          <w:rFonts w:ascii="Arial" w:hAnsi="Arial" w:cs="Arial"/>
        </w:rPr>
        <w:t xml:space="preserve">Hans Hoogervorst </w:t>
      </w:r>
      <w:r w:rsidRPr="00010F83">
        <w:rPr>
          <w:rFonts w:ascii="Arial" w:hAnsi="Arial" w:cs="Arial"/>
        </w:rPr>
        <w:tab/>
      </w:r>
      <w:r w:rsidRPr="00010F83">
        <w:rPr>
          <w:rFonts w:ascii="Arial" w:hAnsi="Arial" w:cs="Arial"/>
        </w:rPr>
        <w:tab/>
      </w:r>
      <w:r w:rsidRPr="00010F83">
        <w:rPr>
          <w:rFonts w:ascii="Arial" w:hAnsi="Arial" w:cs="Arial"/>
        </w:rPr>
        <w:tab/>
      </w:r>
      <w:r w:rsidRPr="00010F83">
        <w:rPr>
          <w:rFonts w:ascii="Arial" w:hAnsi="Arial" w:cs="Arial"/>
        </w:rPr>
        <w:tab/>
      </w:r>
      <w:r w:rsidRPr="00010F83">
        <w:rPr>
          <w:rFonts w:ascii="Arial" w:hAnsi="Arial" w:cs="Arial"/>
        </w:rPr>
        <w:tab/>
        <w:t>Chủ Tịch</w:t>
      </w:r>
    </w:p>
    <w:p w:rsidR="00A83436" w:rsidRPr="00010F83" w:rsidRDefault="00A83436" w:rsidP="00590853">
      <w:pPr>
        <w:spacing w:after="120"/>
        <w:jc w:val="both"/>
        <w:rPr>
          <w:rFonts w:ascii="Arial" w:hAnsi="Arial" w:cs="Arial"/>
        </w:rPr>
      </w:pPr>
      <w:r w:rsidRPr="00010F83">
        <w:rPr>
          <w:rFonts w:ascii="Arial" w:hAnsi="Arial" w:cs="Arial"/>
        </w:rPr>
        <w:t xml:space="preserve">Ian Mackintosh </w:t>
      </w:r>
      <w:r w:rsidRPr="00010F83">
        <w:rPr>
          <w:rFonts w:ascii="Arial" w:hAnsi="Arial" w:cs="Arial"/>
        </w:rPr>
        <w:tab/>
      </w:r>
      <w:r w:rsidRPr="00010F83">
        <w:rPr>
          <w:rFonts w:ascii="Arial" w:hAnsi="Arial" w:cs="Arial"/>
        </w:rPr>
        <w:tab/>
      </w:r>
      <w:r w:rsidRPr="00010F83">
        <w:rPr>
          <w:rFonts w:ascii="Arial" w:hAnsi="Arial" w:cs="Arial"/>
        </w:rPr>
        <w:tab/>
      </w:r>
      <w:r w:rsidRPr="00010F83">
        <w:rPr>
          <w:rFonts w:ascii="Arial" w:hAnsi="Arial" w:cs="Arial"/>
        </w:rPr>
        <w:tab/>
      </w:r>
      <w:r w:rsidRPr="00010F83">
        <w:rPr>
          <w:rFonts w:ascii="Arial" w:hAnsi="Arial" w:cs="Arial"/>
        </w:rPr>
        <w:tab/>
        <w:t>Phó Chủ Tịch</w:t>
      </w:r>
    </w:p>
    <w:p w:rsidR="00A83436" w:rsidRPr="00010F83" w:rsidRDefault="00A83436" w:rsidP="00590853">
      <w:pPr>
        <w:spacing w:after="120"/>
        <w:jc w:val="both"/>
        <w:rPr>
          <w:rFonts w:ascii="Arial" w:hAnsi="Arial" w:cs="Arial"/>
        </w:rPr>
      </w:pPr>
      <w:r w:rsidRPr="00010F83">
        <w:rPr>
          <w:rFonts w:ascii="Arial" w:hAnsi="Arial" w:cs="Arial"/>
        </w:rPr>
        <w:t>Stephen Cooper</w:t>
      </w:r>
    </w:p>
    <w:p w:rsidR="00A83436" w:rsidRPr="00010F83" w:rsidRDefault="00A83436" w:rsidP="00590853">
      <w:pPr>
        <w:spacing w:after="120"/>
        <w:jc w:val="both"/>
        <w:rPr>
          <w:rFonts w:ascii="Arial" w:hAnsi="Arial" w:cs="Arial"/>
        </w:rPr>
      </w:pPr>
      <w:r w:rsidRPr="00010F83">
        <w:rPr>
          <w:rFonts w:ascii="Arial" w:hAnsi="Arial" w:cs="Arial"/>
        </w:rPr>
        <w:t>Philippe Danjou</w:t>
      </w:r>
    </w:p>
    <w:p w:rsidR="00A83436" w:rsidRPr="00010F83" w:rsidRDefault="00A83436" w:rsidP="00590853">
      <w:pPr>
        <w:spacing w:after="120"/>
        <w:jc w:val="both"/>
        <w:rPr>
          <w:rFonts w:ascii="Arial" w:hAnsi="Arial" w:cs="Arial"/>
        </w:rPr>
      </w:pPr>
      <w:r w:rsidRPr="00010F83">
        <w:rPr>
          <w:rFonts w:ascii="Arial" w:hAnsi="Arial" w:cs="Arial"/>
        </w:rPr>
        <w:t>Martin Edelmann</w:t>
      </w:r>
    </w:p>
    <w:p w:rsidR="00A83436" w:rsidRPr="00010F83" w:rsidRDefault="00A83436" w:rsidP="00590853">
      <w:pPr>
        <w:spacing w:after="120"/>
        <w:jc w:val="both"/>
        <w:rPr>
          <w:rFonts w:ascii="Arial" w:hAnsi="Arial" w:cs="Arial"/>
        </w:rPr>
      </w:pPr>
      <w:r w:rsidRPr="00010F83">
        <w:rPr>
          <w:rFonts w:ascii="Arial" w:hAnsi="Arial" w:cs="Arial"/>
        </w:rPr>
        <w:t>Patrick Finnegan</w:t>
      </w:r>
    </w:p>
    <w:p w:rsidR="00A83436" w:rsidRPr="00010F83" w:rsidRDefault="00A83436" w:rsidP="00590853">
      <w:pPr>
        <w:spacing w:after="120"/>
        <w:jc w:val="both"/>
        <w:rPr>
          <w:rFonts w:ascii="Arial" w:hAnsi="Arial" w:cs="Arial"/>
        </w:rPr>
      </w:pPr>
      <w:r w:rsidRPr="00010F83">
        <w:rPr>
          <w:rFonts w:ascii="Arial" w:hAnsi="Arial" w:cs="Arial"/>
        </w:rPr>
        <w:t>Amaro Gomes</w:t>
      </w:r>
    </w:p>
    <w:p w:rsidR="00A83436" w:rsidRPr="00010F83" w:rsidRDefault="00A83436" w:rsidP="00590853">
      <w:pPr>
        <w:spacing w:after="120"/>
        <w:jc w:val="both"/>
        <w:rPr>
          <w:rFonts w:ascii="Arial" w:hAnsi="Arial" w:cs="Arial"/>
        </w:rPr>
      </w:pPr>
      <w:r w:rsidRPr="00010F83">
        <w:rPr>
          <w:rFonts w:ascii="Arial" w:hAnsi="Arial" w:cs="Arial"/>
        </w:rPr>
        <w:t>Gary Kabureck</w:t>
      </w:r>
    </w:p>
    <w:p w:rsidR="00A83436" w:rsidRPr="00010F83" w:rsidRDefault="00A83436" w:rsidP="00590853">
      <w:pPr>
        <w:spacing w:after="120"/>
        <w:jc w:val="both"/>
        <w:rPr>
          <w:rFonts w:ascii="Arial" w:hAnsi="Arial" w:cs="Arial"/>
        </w:rPr>
      </w:pPr>
      <w:r w:rsidRPr="00010F83">
        <w:rPr>
          <w:rFonts w:ascii="Arial" w:hAnsi="Arial" w:cs="Arial"/>
        </w:rPr>
        <w:t>Suzanne Lloyd</w:t>
      </w:r>
    </w:p>
    <w:p w:rsidR="00A83436" w:rsidRPr="00010F83" w:rsidRDefault="00A83436" w:rsidP="00590853">
      <w:pPr>
        <w:spacing w:after="120"/>
        <w:jc w:val="both"/>
        <w:rPr>
          <w:rFonts w:ascii="Arial" w:hAnsi="Arial" w:cs="Arial"/>
        </w:rPr>
      </w:pPr>
      <w:r w:rsidRPr="00010F83">
        <w:rPr>
          <w:rFonts w:ascii="Arial" w:hAnsi="Arial" w:cs="Arial"/>
        </w:rPr>
        <w:t>Takatsugu Ochi</w:t>
      </w:r>
    </w:p>
    <w:p w:rsidR="00A83436" w:rsidRPr="00010F83" w:rsidRDefault="00A83436" w:rsidP="00590853">
      <w:pPr>
        <w:spacing w:after="120"/>
        <w:jc w:val="both"/>
        <w:rPr>
          <w:rFonts w:ascii="Arial" w:hAnsi="Arial" w:cs="Arial"/>
        </w:rPr>
      </w:pPr>
      <w:r w:rsidRPr="00010F83">
        <w:rPr>
          <w:rFonts w:ascii="Arial" w:hAnsi="Arial" w:cs="Arial"/>
        </w:rPr>
        <w:t>Darrel Scott</w:t>
      </w:r>
    </w:p>
    <w:p w:rsidR="00A83436" w:rsidRPr="00010F83" w:rsidRDefault="00A83436" w:rsidP="00590853">
      <w:pPr>
        <w:spacing w:after="120"/>
        <w:jc w:val="both"/>
        <w:rPr>
          <w:rFonts w:ascii="Arial" w:hAnsi="Arial" w:cs="Arial"/>
        </w:rPr>
      </w:pPr>
      <w:r w:rsidRPr="00010F83">
        <w:rPr>
          <w:rFonts w:ascii="Arial" w:hAnsi="Arial" w:cs="Arial"/>
        </w:rPr>
        <w:t>Chungwoo Suh</w:t>
      </w:r>
    </w:p>
    <w:p w:rsidR="00A83436" w:rsidRPr="00010F83" w:rsidRDefault="00A83436" w:rsidP="00590853">
      <w:pPr>
        <w:spacing w:after="120"/>
        <w:jc w:val="both"/>
        <w:rPr>
          <w:rFonts w:ascii="Arial" w:hAnsi="Arial" w:cs="Arial"/>
        </w:rPr>
      </w:pPr>
      <w:r w:rsidRPr="00010F83">
        <w:rPr>
          <w:rFonts w:ascii="Arial" w:hAnsi="Arial" w:cs="Arial"/>
        </w:rPr>
        <w:t>Mary Tokar</w:t>
      </w:r>
    </w:p>
    <w:p w:rsidR="00A83436" w:rsidRPr="001B75A5" w:rsidRDefault="00A83436" w:rsidP="00590853">
      <w:pPr>
        <w:spacing w:after="120"/>
        <w:jc w:val="both"/>
        <w:rPr>
          <w:rFonts w:ascii="Arial" w:hAnsi="Arial" w:cs="Arial"/>
        </w:rPr>
      </w:pPr>
      <w:r w:rsidRPr="00010F83">
        <w:rPr>
          <w:rFonts w:ascii="Arial" w:hAnsi="Arial" w:cs="Arial"/>
        </w:rPr>
        <w:t>Wei-Guo Zhang</w:t>
      </w:r>
    </w:p>
    <w:p w:rsidR="00094A86" w:rsidRPr="001B75A5" w:rsidRDefault="00094A86" w:rsidP="00590853">
      <w:pPr>
        <w:spacing w:after="120"/>
        <w:jc w:val="both"/>
        <w:rPr>
          <w:rFonts w:ascii="Arial" w:hAnsi="Arial" w:cs="Arial"/>
        </w:rPr>
      </w:pPr>
    </w:p>
    <w:sectPr w:rsidR="00094A86" w:rsidRPr="001B75A5" w:rsidSect="006E4953">
      <w:pgSz w:w="12240" w:h="15840"/>
      <w:pgMar w:top="1530" w:right="1440" w:bottom="1080" w:left="1440" w:header="720" w:footer="36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9BA134D"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1CE5" w:rsidRDefault="00CC1CE5" w:rsidP="00153916">
      <w:pPr>
        <w:spacing w:after="0" w:line="240" w:lineRule="auto"/>
      </w:pPr>
      <w:r>
        <w:separator/>
      </w:r>
    </w:p>
  </w:endnote>
  <w:endnote w:type="continuationSeparator" w:id="1">
    <w:p w:rsidR="00CC1CE5" w:rsidRDefault="00CC1CE5" w:rsidP="001539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9384932"/>
      <w:docPartObj>
        <w:docPartGallery w:val="Page Numbers (Bottom of Page)"/>
        <w:docPartUnique/>
      </w:docPartObj>
    </w:sdtPr>
    <w:sdtEndPr>
      <w:rPr>
        <w:noProof/>
      </w:rPr>
    </w:sdtEndPr>
    <w:sdtContent>
      <w:p w:rsidR="00FF1999" w:rsidRDefault="007B64CF">
        <w:pPr>
          <w:pStyle w:val="Footer"/>
          <w:jc w:val="right"/>
        </w:pPr>
        <w:r>
          <w:fldChar w:fldCharType="begin"/>
        </w:r>
        <w:r w:rsidR="00FF1999">
          <w:instrText xml:space="preserve"> PAGE   \* MERGEFORMAT </w:instrText>
        </w:r>
        <w:r>
          <w:fldChar w:fldCharType="separate"/>
        </w:r>
        <w:r w:rsidR="00010F83">
          <w:rPr>
            <w:noProof/>
          </w:rPr>
          <w:t>25</w:t>
        </w:r>
        <w:r>
          <w:rPr>
            <w:noProof/>
          </w:rPr>
          <w:fldChar w:fldCharType="end"/>
        </w:r>
      </w:p>
    </w:sdtContent>
  </w:sdt>
  <w:p w:rsidR="00FF1999" w:rsidRDefault="00FF19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1CE5" w:rsidRDefault="00CC1CE5" w:rsidP="00153916">
      <w:pPr>
        <w:spacing w:after="0" w:line="240" w:lineRule="auto"/>
      </w:pPr>
      <w:r>
        <w:separator/>
      </w:r>
    </w:p>
  </w:footnote>
  <w:footnote w:type="continuationSeparator" w:id="1">
    <w:p w:rsidR="00CC1CE5" w:rsidRDefault="00CC1CE5" w:rsidP="00153916">
      <w:pPr>
        <w:spacing w:after="0" w:line="240" w:lineRule="auto"/>
      </w:pPr>
      <w:r>
        <w:continuationSeparator/>
      </w:r>
    </w:p>
  </w:footnote>
  <w:footnote w:id="2">
    <w:p w:rsidR="00FF1999" w:rsidRDefault="00FF1999" w:rsidP="000B1EC8">
      <w:pPr>
        <w:pStyle w:val="FootnoteText"/>
      </w:pPr>
      <w:r>
        <w:rPr>
          <w:rStyle w:val="FootnoteReference"/>
        </w:rPr>
        <w:footnoteRef/>
      </w:r>
      <w:r>
        <w:t xml:space="preserve"> </w:t>
      </w:r>
      <w:proofErr w:type="gramStart"/>
      <w:r>
        <w:t>Đoạn 91 dùng thuật ngữ “báo cáo tài chính năm” để nhất quán với ngôn từ cụ thể dùng trong phần hiệu lực áp dụng năm 1998.</w:t>
      </w:r>
      <w:proofErr w:type="gramEnd"/>
      <w:r>
        <w:t xml:space="preserve"> Đoạn 89 dùng thuật ngữ “báo cáo tài chính”</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999" w:rsidRPr="008307CC" w:rsidRDefault="00FF1999" w:rsidP="008307CC">
    <w:pPr>
      <w:pStyle w:val="Header"/>
      <w:jc w:val="right"/>
      <w:rPr>
        <w:rFonts w:ascii="Arial" w:hAnsi="Arial" w:cs="Arial"/>
      </w:rPr>
    </w:pPr>
    <w:r w:rsidRPr="008307CC">
      <w:rPr>
        <w:rFonts w:ascii="Arial" w:hAnsi="Arial" w:cs="Arial"/>
      </w:rPr>
      <w:t>IAS 12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A670D"/>
    <w:multiLevelType w:val="multilevel"/>
    <w:tmpl w:val="50CC2F16"/>
    <w:lvl w:ilvl="0">
      <w:start w:val="1"/>
      <w:numFmt w:val="lowerRoman"/>
      <w:lvlText w:val="(%1)"/>
      <w:lvlJc w:val="left"/>
      <w:pPr>
        <w:ind w:left="2160" w:hanging="36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
    <w:nsid w:val="033652AF"/>
    <w:multiLevelType w:val="multilevel"/>
    <w:tmpl w:val="233041CE"/>
    <w:lvl w:ilvl="0">
      <w:start w:val="1"/>
      <w:numFmt w:val="lowerLetter"/>
      <w:lvlText w:val="(%1)"/>
      <w:lvlJc w:val="left"/>
      <w:pPr>
        <w:ind w:left="1080" w:hanging="360"/>
      </w:pPr>
      <w:rPr>
        <w:rFonts w:asciiTheme="minorHAnsi" w:hAnsiTheme="minorHAnsi" w:cstheme="minorHAnsi" w:hint="default"/>
        <w:sz w:val="22"/>
        <w:szCs w:val="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38B122F"/>
    <w:multiLevelType w:val="multilevel"/>
    <w:tmpl w:val="233041CE"/>
    <w:lvl w:ilvl="0">
      <w:start w:val="1"/>
      <w:numFmt w:val="lowerLetter"/>
      <w:lvlText w:val="(%1)"/>
      <w:lvlJc w:val="left"/>
      <w:pPr>
        <w:ind w:left="720" w:hanging="360"/>
      </w:pPr>
      <w:rPr>
        <w:rFonts w:asciiTheme="minorHAnsi" w:hAnsiTheme="minorHAnsi" w:cstheme="minorHAnsi"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40A1828"/>
    <w:multiLevelType w:val="multilevel"/>
    <w:tmpl w:val="8D66E48A"/>
    <w:lvl w:ilvl="0">
      <w:start w:val="1"/>
      <w:numFmt w:val="lowerLetter"/>
      <w:lvlText w:val="(%1)"/>
      <w:lvlJc w:val="left"/>
      <w:pPr>
        <w:ind w:left="720" w:hanging="360"/>
      </w:pPr>
      <w:rPr>
        <w:rFonts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4BA7635"/>
    <w:multiLevelType w:val="multilevel"/>
    <w:tmpl w:val="50CC2F16"/>
    <w:lvl w:ilvl="0">
      <w:start w:val="1"/>
      <w:numFmt w:val="lowerRoman"/>
      <w:lvlText w:val="(%1)"/>
      <w:lvlJc w:val="left"/>
      <w:pPr>
        <w:ind w:left="2160" w:hanging="36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5">
    <w:nsid w:val="04DF157A"/>
    <w:multiLevelType w:val="multilevel"/>
    <w:tmpl w:val="233041CE"/>
    <w:lvl w:ilvl="0">
      <w:start w:val="1"/>
      <w:numFmt w:val="lowerLetter"/>
      <w:lvlText w:val="(%1)"/>
      <w:lvlJc w:val="left"/>
      <w:pPr>
        <w:ind w:left="1080" w:hanging="360"/>
      </w:pPr>
      <w:rPr>
        <w:rFonts w:asciiTheme="minorHAnsi" w:hAnsiTheme="minorHAnsi" w:cstheme="minorHAnsi" w:hint="default"/>
        <w:sz w:val="22"/>
        <w:szCs w:val="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05997910"/>
    <w:multiLevelType w:val="multilevel"/>
    <w:tmpl w:val="233041CE"/>
    <w:lvl w:ilvl="0">
      <w:start w:val="1"/>
      <w:numFmt w:val="lowerLetter"/>
      <w:lvlText w:val="(%1)"/>
      <w:lvlJc w:val="left"/>
      <w:pPr>
        <w:ind w:left="1080" w:hanging="360"/>
      </w:pPr>
      <w:rPr>
        <w:rFonts w:asciiTheme="minorHAnsi" w:hAnsiTheme="minorHAnsi" w:cstheme="minorHAnsi" w:hint="default"/>
        <w:sz w:val="22"/>
        <w:szCs w:val="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06331542"/>
    <w:multiLevelType w:val="multilevel"/>
    <w:tmpl w:val="8D66E48A"/>
    <w:lvl w:ilvl="0">
      <w:start w:val="1"/>
      <w:numFmt w:val="lowerLetter"/>
      <w:lvlText w:val="(%1)"/>
      <w:lvlJc w:val="left"/>
      <w:pPr>
        <w:ind w:left="720" w:hanging="360"/>
      </w:pPr>
      <w:rPr>
        <w:rFonts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E200489"/>
    <w:multiLevelType w:val="multilevel"/>
    <w:tmpl w:val="8D66E48A"/>
    <w:lvl w:ilvl="0">
      <w:start w:val="1"/>
      <w:numFmt w:val="lowerLetter"/>
      <w:lvlText w:val="(%1)"/>
      <w:lvlJc w:val="left"/>
      <w:pPr>
        <w:ind w:left="720" w:hanging="360"/>
      </w:pPr>
      <w:rPr>
        <w:rFonts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4D96E29"/>
    <w:multiLevelType w:val="multilevel"/>
    <w:tmpl w:val="8D66E48A"/>
    <w:lvl w:ilvl="0">
      <w:start w:val="1"/>
      <w:numFmt w:val="lowerLetter"/>
      <w:lvlText w:val="(%1)"/>
      <w:lvlJc w:val="left"/>
      <w:pPr>
        <w:ind w:left="720" w:hanging="360"/>
      </w:pPr>
      <w:rPr>
        <w:rFonts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53D7D55"/>
    <w:multiLevelType w:val="multilevel"/>
    <w:tmpl w:val="30A45CB6"/>
    <w:lvl w:ilvl="0">
      <w:start w:val="2"/>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18AF2603"/>
    <w:multiLevelType w:val="multilevel"/>
    <w:tmpl w:val="8D66E48A"/>
    <w:lvl w:ilvl="0">
      <w:start w:val="1"/>
      <w:numFmt w:val="lowerLetter"/>
      <w:lvlText w:val="(%1)"/>
      <w:lvlJc w:val="left"/>
      <w:pPr>
        <w:ind w:left="720" w:hanging="360"/>
      </w:pPr>
      <w:rPr>
        <w:rFonts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C464D6A"/>
    <w:multiLevelType w:val="hybridMultilevel"/>
    <w:tmpl w:val="2BC228F8"/>
    <w:lvl w:ilvl="0" w:tplc="9A46E64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E707F3"/>
    <w:multiLevelType w:val="multilevel"/>
    <w:tmpl w:val="7E0867A2"/>
    <w:lvl w:ilvl="0">
      <w:start w:val="1"/>
      <w:numFmt w:val="lowerLetter"/>
      <w:lvlText w:val="(%1)"/>
      <w:lvlJc w:val="left"/>
      <w:pPr>
        <w:ind w:left="1080" w:hanging="360"/>
      </w:pPr>
      <w:rPr>
        <w:rFonts w:asciiTheme="minorHAnsi" w:hAnsiTheme="minorHAnsi" w:cstheme="minorHAnsi" w:hint="default"/>
        <w:sz w:val="22"/>
        <w:szCs w:val="22"/>
      </w:rPr>
    </w:lvl>
    <w:lvl w:ilvl="1">
      <w:start w:val="71"/>
      <w:numFmt w:val="decimal"/>
      <w:lvlText w:val="%2"/>
      <w:lvlJc w:val="left"/>
      <w:pPr>
        <w:ind w:left="378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1DC12B16"/>
    <w:multiLevelType w:val="hybridMultilevel"/>
    <w:tmpl w:val="50CC2F16"/>
    <w:lvl w:ilvl="0" w:tplc="1D129976">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20E3552B"/>
    <w:multiLevelType w:val="multilevel"/>
    <w:tmpl w:val="56D46AD0"/>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215C791C"/>
    <w:multiLevelType w:val="multilevel"/>
    <w:tmpl w:val="233041CE"/>
    <w:lvl w:ilvl="0">
      <w:start w:val="1"/>
      <w:numFmt w:val="lowerLetter"/>
      <w:lvlText w:val="(%1)"/>
      <w:lvlJc w:val="left"/>
      <w:pPr>
        <w:ind w:left="1080" w:hanging="360"/>
      </w:pPr>
      <w:rPr>
        <w:rFonts w:asciiTheme="minorHAnsi" w:hAnsiTheme="minorHAnsi" w:cstheme="minorHAnsi" w:hint="default"/>
        <w:sz w:val="22"/>
        <w:szCs w:val="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26EE23E2"/>
    <w:multiLevelType w:val="multilevel"/>
    <w:tmpl w:val="233041CE"/>
    <w:lvl w:ilvl="0">
      <w:start w:val="1"/>
      <w:numFmt w:val="lowerLetter"/>
      <w:lvlText w:val="(%1)"/>
      <w:lvlJc w:val="left"/>
      <w:pPr>
        <w:ind w:left="1080" w:hanging="360"/>
      </w:pPr>
      <w:rPr>
        <w:rFonts w:asciiTheme="minorHAnsi" w:hAnsiTheme="minorHAnsi" w:cstheme="minorHAnsi" w:hint="default"/>
        <w:sz w:val="22"/>
        <w:szCs w:val="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29F00D64"/>
    <w:multiLevelType w:val="multilevel"/>
    <w:tmpl w:val="233041CE"/>
    <w:lvl w:ilvl="0">
      <w:start w:val="1"/>
      <w:numFmt w:val="lowerLetter"/>
      <w:lvlText w:val="(%1)"/>
      <w:lvlJc w:val="left"/>
      <w:pPr>
        <w:ind w:left="1080" w:hanging="360"/>
      </w:pPr>
      <w:rPr>
        <w:rFonts w:asciiTheme="minorHAnsi" w:hAnsiTheme="minorHAnsi" w:cstheme="minorHAnsi" w:hint="default"/>
        <w:sz w:val="22"/>
        <w:szCs w:val="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2AFC520A"/>
    <w:multiLevelType w:val="multilevel"/>
    <w:tmpl w:val="233041CE"/>
    <w:lvl w:ilvl="0">
      <w:start w:val="1"/>
      <w:numFmt w:val="lowerLetter"/>
      <w:lvlText w:val="(%1)"/>
      <w:lvlJc w:val="left"/>
      <w:pPr>
        <w:ind w:left="720" w:hanging="360"/>
      </w:pPr>
      <w:rPr>
        <w:rFonts w:asciiTheme="minorHAnsi" w:hAnsiTheme="minorHAnsi" w:cstheme="minorHAnsi"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BAE6355"/>
    <w:multiLevelType w:val="multilevel"/>
    <w:tmpl w:val="8B827972"/>
    <w:lvl w:ilvl="0">
      <w:start w:val="1"/>
      <w:numFmt w:val="lowerLetter"/>
      <w:lvlText w:val="(%1)"/>
      <w:lvlJc w:val="left"/>
      <w:pPr>
        <w:ind w:left="1080" w:hanging="360"/>
      </w:pPr>
      <w:rPr>
        <w:rFonts w:asciiTheme="minorHAnsi" w:hAnsiTheme="minorHAnsi" w:cstheme="minorHAnsi" w:hint="default"/>
        <w:sz w:val="22"/>
        <w:szCs w:val="22"/>
      </w:rPr>
    </w:lvl>
    <w:lvl w:ilvl="1">
      <w:start w:val="74"/>
      <w:numFmt w:val="decimal"/>
      <w:lvlText w:val="%2"/>
      <w:lvlJc w:val="left"/>
      <w:pPr>
        <w:ind w:left="180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2CDB002F"/>
    <w:multiLevelType w:val="multilevel"/>
    <w:tmpl w:val="233041CE"/>
    <w:lvl w:ilvl="0">
      <w:start w:val="1"/>
      <w:numFmt w:val="lowerLetter"/>
      <w:lvlText w:val="(%1)"/>
      <w:lvlJc w:val="left"/>
      <w:pPr>
        <w:ind w:left="720" w:hanging="360"/>
      </w:pPr>
      <w:rPr>
        <w:rFonts w:asciiTheme="minorHAnsi" w:hAnsiTheme="minorHAnsi" w:cstheme="minorHAnsi"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2D3A496B"/>
    <w:multiLevelType w:val="multilevel"/>
    <w:tmpl w:val="9EC43AA2"/>
    <w:lvl w:ilvl="0">
      <w:start w:val="1"/>
      <w:numFmt w:val="lowerLetter"/>
      <w:lvlText w:val="(%1)"/>
      <w:lvlJc w:val="left"/>
      <w:pPr>
        <w:ind w:left="1080" w:hanging="360"/>
      </w:pPr>
      <w:rPr>
        <w:rFonts w:ascii="Arial" w:hAnsi="Arial" w:cs="Arial" w:hint="default"/>
        <w:sz w:val="22"/>
        <w:szCs w:val="22"/>
      </w:rPr>
    </w:lvl>
    <w:lvl w:ilvl="1">
      <w:start w:val="80"/>
      <w:numFmt w:val="decimal"/>
      <w:lvlText w:val="%2"/>
      <w:lvlJc w:val="left"/>
      <w:pPr>
        <w:ind w:left="180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3C2B0652"/>
    <w:multiLevelType w:val="multilevel"/>
    <w:tmpl w:val="233041CE"/>
    <w:lvl w:ilvl="0">
      <w:start w:val="1"/>
      <w:numFmt w:val="lowerLetter"/>
      <w:lvlText w:val="(%1)"/>
      <w:lvlJc w:val="left"/>
      <w:pPr>
        <w:ind w:left="720" w:hanging="360"/>
      </w:pPr>
      <w:rPr>
        <w:rFonts w:asciiTheme="minorHAnsi" w:hAnsiTheme="minorHAnsi" w:cstheme="minorHAnsi"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DB46A6A"/>
    <w:multiLevelType w:val="multilevel"/>
    <w:tmpl w:val="21DC4996"/>
    <w:lvl w:ilvl="0">
      <w:start w:val="1"/>
      <w:numFmt w:val="lowerLetter"/>
      <w:lvlText w:val="(%1b)"/>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404B31D6"/>
    <w:multiLevelType w:val="hybridMultilevel"/>
    <w:tmpl w:val="F4CCD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6CE0366"/>
    <w:multiLevelType w:val="hybridMultilevel"/>
    <w:tmpl w:val="C7F20C14"/>
    <w:lvl w:ilvl="0" w:tplc="41B06C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7EC6662"/>
    <w:multiLevelType w:val="hybridMultilevel"/>
    <w:tmpl w:val="2F72B590"/>
    <w:lvl w:ilvl="0" w:tplc="1D12997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8244BAB"/>
    <w:multiLevelType w:val="multilevel"/>
    <w:tmpl w:val="8D66E48A"/>
    <w:lvl w:ilvl="0">
      <w:start w:val="1"/>
      <w:numFmt w:val="lowerLetter"/>
      <w:lvlText w:val="(%1)"/>
      <w:lvlJc w:val="left"/>
      <w:pPr>
        <w:ind w:left="720" w:hanging="360"/>
      </w:pPr>
      <w:rPr>
        <w:rFonts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4C5D5208"/>
    <w:multiLevelType w:val="multilevel"/>
    <w:tmpl w:val="8D66E48A"/>
    <w:lvl w:ilvl="0">
      <w:start w:val="1"/>
      <w:numFmt w:val="lowerLetter"/>
      <w:lvlText w:val="(%1)"/>
      <w:lvlJc w:val="left"/>
      <w:pPr>
        <w:ind w:left="720" w:hanging="360"/>
      </w:pPr>
      <w:rPr>
        <w:rFonts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4D4F02C4"/>
    <w:multiLevelType w:val="hybridMultilevel"/>
    <w:tmpl w:val="A26EF6BC"/>
    <w:lvl w:ilvl="0" w:tplc="1D129976">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FD266C9"/>
    <w:multiLevelType w:val="hybridMultilevel"/>
    <w:tmpl w:val="1504C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04D6E15"/>
    <w:multiLevelType w:val="multilevel"/>
    <w:tmpl w:val="233041CE"/>
    <w:lvl w:ilvl="0">
      <w:start w:val="1"/>
      <w:numFmt w:val="lowerLetter"/>
      <w:lvlText w:val="(%1)"/>
      <w:lvlJc w:val="left"/>
      <w:pPr>
        <w:ind w:left="720" w:hanging="360"/>
      </w:pPr>
      <w:rPr>
        <w:rFonts w:asciiTheme="minorHAnsi" w:hAnsiTheme="minorHAnsi" w:cstheme="minorHAnsi"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53301C85"/>
    <w:multiLevelType w:val="multilevel"/>
    <w:tmpl w:val="233041CE"/>
    <w:lvl w:ilvl="0">
      <w:start w:val="1"/>
      <w:numFmt w:val="lowerLetter"/>
      <w:lvlText w:val="(%1)"/>
      <w:lvlJc w:val="left"/>
      <w:pPr>
        <w:ind w:left="720" w:hanging="360"/>
      </w:pPr>
      <w:rPr>
        <w:rFonts w:asciiTheme="minorHAnsi" w:hAnsiTheme="minorHAnsi" w:cstheme="minorHAnsi"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53CB6693"/>
    <w:multiLevelType w:val="multilevel"/>
    <w:tmpl w:val="8D66E48A"/>
    <w:lvl w:ilvl="0">
      <w:start w:val="1"/>
      <w:numFmt w:val="lowerLetter"/>
      <w:lvlText w:val="(%1)"/>
      <w:lvlJc w:val="left"/>
      <w:pPr>
        <w:ind w:left="720" w:hanging="360"/>
      </w:pPr>
      <w:rPr>
        <w:rFonts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54D07358"/>
    <w:multiLevelType w:val="hybridMultilevel"/>
    <w:tmpl w:val="B1B0241C"/>
    <w:lvl w:ilvl="0" w:tplc="1D12997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5985D0B"/>
    <w:multiLevelType w:val="multilevel"/>
    <w:tmpl w:val="7108D2D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58CA0021"/>
    <w:multiLevelType w:val="multilevel"/>
    <w:tmpl w:val="E17289FE"/>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nsid w:val="5E802273"/>
    <w:multiLevelType w:val="hybridMultilevel"/>
    <w:tmpl w:val="F4CCD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022380B"/>
    <w:multiLevelType w:val="hybridMultilevel"/>
    <w:tmpl w:val="7108D2DC"/>
    <w:lvl w:ilvl="0" w:tplc="2FE618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0D34E0C"/>
    <w:multiLevelType w:val="hybridMultilevel"/>
    <w:tmpl w:val="D60884E2"/>
    <w:lvl w:ilvl="0" w:tplc="1D12997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6517DB0"/>
    <w:multiLevelType w:val="multilevel"/>
    <w:tmpl w:val="FC4C8264"/>
    <w:lvl w:ilvl="0">
      <w:start w:val="1"/>
      <w:numFmt w:val="lowerLetter"/>
      <w:lvlText w:val="(%1)"/>
      <w:lvlJc w:val="left"/>
      <w:pPr>
        <w:ind w:left="1080" w:hanging="360"/>
      </w:pPr>
      <w:rPr>
        <w:rFonts w:ascii="Arial" w:hAnsi="Arial" w:cs="Arial" w:hint="default"/>
        <w:sz w:val="22"/>
        <w:szCs w:val="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2">
    <w:nsid w:val="680D7C5E"/>
    <w:multiLevelType w:val="hybridMultilevel"/>
    <w:tmpl w:val="46523AEA"/>
    <w:lvl w:ilvl="0" w:tplc="2796FB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CE83E98"/>
    <w:multiLevelType w:val="multilevel"/>
    <w:tmpl w:val="233041CE"/>
    <w:lvl w:ilvl="0">
      <w:start w:val="1"/>
      <w:numFmt w:val="lowerLetter"/>
      <w:lvlText w:val="(%1)"/>
      <w:lvlJc w:val="left"/>
      <w:pPr>
        <w:ind w:left="1080" w:hanging="360"/>
      </w:pPr>
      <w:rPr>
        <w:rFonts w:asciiTheme="minorHAnsi" w:hAnsiTheme="minorHAnsi" w:cstheme="minorHAnsi" w:hint="default"/>
        <w:sz w:val="22"/>
        <w:szCs w:val="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4">
    <w:nsid w:val="74F775DC"/>
    <w:multiLevelType w:val="multilevel"/>
    <w:tmpl w:val="91B8C79A"/>
    <w:lvl w:ilvl="0">
      <w:start w:val="1"/>
      <w:numFmt w:val="lowerLetter"/>
      <w:lvlText w:val="(%1)"/>
      <w:lvlJc w:val="left"/>
      <w:pPr>
        <w:ind w:left="1080" w:hanging="360"/>
      </w:pPr>
      <w:rPr>
        <w:rFonts w:ascii="Arial" w:hAnsi="Arial" w:cs="Arial" w:hint="default"/>
        <w:sz w:val="22"/>
        <w:szCs w:val="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5">
    <w:nsid w:val="775A1783"/>
    <w:multiLevelType w:val="hybridMultilevel"/>
    <w:tmpl w:val="6ECA98D4"/>
    <w:lvl w:ilvl="0" w:tplc="2796FB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CC25F4C"/>
    <w:multiLevelType w:val="multilevel"/>
    <w:tmpl w:val="233041CE"/>
    <w:lvl w:ilvl="0">
      <w:start w:val="1"/>
      <w:numFmt w:val="lowerLetter"/>
      <w:lvlText w:val="(%1)"/>
      <w:lvlJc w:val="left"/>
      <w:pPr>
        <w:ind w:left="720" w:hanging="360"/>
      </w:pPr>
      <w:rPr>
        <w:rFonts w:asciiTheme="minorHAnsi" w:hAnsiTheme="minorHAnsi" w:cstheme="minorHAnsi"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7F954595"/>
    <w:multiLevelType w:val="multilevel"/>
    <w:tmpl w:val="233041CE"/>
    <w:lvl w:ilvl="0">
      <w:start w:val="1"/>
      <w:numFmt w:val="lowerLetter"/>
      <w:lvlText w:val="(%1)"/>
      <w:lvlJc w:val="left"/>
      <w:pPr>
        <w:ind w:left="1080" w:hanging="360"/>
      </w:pPr>
      <w:rPr>
        <w:rFonts w:asciiTheme="minorHAnsi" w:hAnsiTheme="minorHAnsi" w:cstheme="minorHAnsi" w:hint="default"/>
        <w:sz w:val="22"/>
        <w:szCs w:val="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31"/>
  </w:num>
  <w:num w:numId="2">
    <w:abstractNumId w:val="39"/>
  </w:num>
  <w:num w:numId="3">
    <w:abstractNumId w:val="38"/>
  </w:num>
  <w:num w:numId="4">
    <w:abstractNumId w:val="36"/>
  </w:num>
  <w:num w:numId="5">
    <w:abstractNumId w:val="45"/>
  </w:num>
  <w:num w:numId="6">
    <w:abstractNumId w:val="29"/>
  </w:num>
  <w:num w:numId="7">
    <w:abstractNumId w:val="8"/>
  </w:num>
  <w:num w:numId="8">
    <w:abstractNumId w:val="14"/>
  </w:num>
  <w:num w:numId="9">
    <w:abstractNumId w:val="11"/>
  </w:num>
  <w:num w:numId="10">
    <w:abstractNumId w:val="7"/>
  </w:num>
  <w:num w:numId="11">
    <w:abstractNumId w:val="34"/>
  </w:num>
  <w:num w:numId="12">
    <w:abstractNumId w:val="28"/>
  </w:num>
  <w:num w:numId="13">
    <w:abstractNumId w:val="3"/>
  </w:num>
  <w:num w:numId="14">
    <w:abstractNumId w:val="0"/>
  </w:num>
  <w:num w:numId="15">
    <w:abstractNumId w:val="9"/>
  </w:num>
  <w:num w:numId="16">
    <w:abstractNumId w:val="33"/>
  </w:num>
  <w:num w:numId="17">
    <w:abstractNumId w:val="46"/>
  </w:num>
  <w:num w:numId="18">
    <w:abstractNumId w:val="2"/>
  </w:num>
  <w:num w:numId="19">
    <w:abstractNumId w:val="21"/>
  </w:num>
  <w:num w:numId="20">
    <w:abstractNumId w:val="4"/>
  </w:num>
  <w:num w:numId="21">
    <w:abstractNumId w:val="19"/>
  </w:num>
  <w:num w:numId="22">
    <w:abstractNumId w:val="32"/>
  </w:num>
  <w:num w:numId="23">
    <w:abstractNumId w:val="23"/>
  </w:num>
  <w:num w:numId="24">
    <w:abstractNumId w:val="17"/>
  </w:num>
  <w:num w:numId="25">
    <w:abstractNumId w:val="47"/>
  </w:num>
  <w:num w:numId="26">
    <w:abstractNumId w:val="5"/>
  </w:num>
  <w:num w:numId="27">
    <w:abstractNumId w:val="18"/>
  </w:num>
  <w:num w:numId="28">
    <w:abstractNumId w:val="1"/>
  </w:num>
  <w:num w:numId="29">
    <w:abstractNumId w:val="6"/>
  </w:num>
  <w:num w:numId="30">
    <w:abstractNumId w:val="43"/>
  </w:num>
  <w:num w:numId="31">
    <w:abstractNumId w:val="20"/>
  </w:num>
  <w:num w:numId="32">
    <w:abstractNumId w:val="13"/>
  </w:num>
  <w:num w:numId="33">
    <w:abstractNumId w:val="16"/>
  </w:num>
  <w:num w:numId="34">
    <w:abstractNumId w:val="44"/>
  </w:num>
  <w:num w:numId="35">
    <w:abstractNumId w:val="41"/>
  </w:num>
  <w:num w:numId="36">
    <w:abstractNumId w:val="22"/>
  </w:num>
  <w:num w:numId="37">
    <w:abstractNumId w:val="27"/>
  </w:num>
  <w:num w:numId="38">
    <w:abstractNumId w:val="42"/>
  </w:num>
  <w:num w:numId="39">
    <w:abstractNumId w:val="37"/>
  </w:num>
  <w:num w:numId="40">
    <w:abstractNumId w:val="30"/>
  </w:num>
  <w:num w:numId="41">
    <w:abstractNumId w:val="10"/>
  </w:num>
  <w:num w:numId="42">
    <w:abstractNumId w:val="24"/>
  </w:num>
  <w:num w:numId="43">
    <w:abstractNumId w:val="35"/>
  </w:num>
  <w:num w:numId="44">
    <w:abstractNumId w:val="40"/>
  </w:num>
  <w:num w:numId="45">
    <w:abstractNumId w:val="15"/>
  </w:num>
  <w:num w:numId="46">
    <w:abstractNumId w:val="25"/>
  </w:num>
  <w:num w:numId="47">
    <w:abstractNumId w:val="12"/>
  </w:num>
  <w:num w:numId="48">
    <w:abstractNumId w:val="26"/>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ui Van Trinh">
    <w15:presenceInfo w15:providerId="None" w15:userId="Bui Van Trinh"/>
  </w15:person>
  <w15:person w15:author="Ho Pham Kim, Ngan">
    <w15:presenceInfo w15:providerId="None" w15:userId="Ho Pham Kim, Nga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ctiveWritingStyle w:appName="MSWord" w:lang="en-US" w:vendorID="64" w:dllVersion="6" w:nlCheck="1" w:checkStyle="0"/>
  <w:activeWritingStyle w:appName="MSWord" w:lang="en-US" w:vendorID="64" w:dllVersion="0" w:nlCheck="1" w:checkStyle="0"/>
  <w:activeWritingStyle w:appName="MSWord" w:lang="en-US" w:vendorID="64" w:dllVersion="131078" w:nlCheck="1" w:checkStyle="1"/>
  <w:proofState w:grammar="clean"/>
  <w:defaultTabStop w:val="720"/>
  <w:characterSpacingControl w:val="doNotCompress"/>
  <w:hdrShapeDefaults>
    <o:shapedefaults v:ext="edit" spidmax="4097"/>
  </w:hdrShapeDefaults>
  <w:footnotePr>
    <w:footnote w:id="0"/>
    <w:footnote w:id="1"/>
  </w:footnotePr>
  <w:endnotePr>
    <w:endnote w:id="0"/>
    <w:endnote w:id="1"/>
  </w:endnotePr>
  <w:compat/>
  <w:rsids>
    <w:rsidRoot w:val="0088307A"/>
    <w:rsid w:val="000006AE"/>
    <w:rsid w:val="00000D9F"/>
    <w:rsid w:val="00010F83"/>
    <w:rsid w:val="0002379A"/>
    <w:rsid w:val="00026CB0"/>
    <w:rsid w:val="00031CB7"/>
    <w:rsid w:val="00037FDE"/>
    <w:rsid w:val="000415DA"/>
    <w:rsid w:val="00041CA5"/>
    <w:rsid w:val="00047B53"/>
    <w:rsid w:val="00061AF8"/>
    <w:rsid w:val="0006286A"/>
    <w:rsid w:val="0006583D"/>
    <w:rsid w:val="00072B69"/>
    <w:rsid w:val="00073122"/>
    <w:rsid w:val="00094A86"/>
    <w:rsid w:val="000A4D4A"/>
    <w:rsid w:val="000B00E3"/>
    <w:rsid w:val="000B1EC8"/>
    <w:rsid w:val="000B467A"/>
    <w:rsid w:val="000D0CA9"/>
    <w:rsid w:val="000D112D"/>
    <w:rsid w:val="000D355D"/>
    <w:rsid w:val="000E2F99"/>
    <w:rsid w:val="000E6373"/>
    <w:rsid w:val="000F51B1"/>
    <w:rsid w:val="000F6468"/>
    <w:rsid w:val="0010473B"/>
    <w:rsid w:val="00120074"/>
    <w:rsid w:val="00130E35"/>
    <w:rsid w:val="00131340"/>
    <w:rsid w:val="00131712"/>
    <w:rsid w:val="00144813"/>
    <w:rsid w:val="0014582D"/>
    <w:rsid w:val="0014711B"/>
    <w:rsid w:val="00150465"/>
    <w:rsid w:val="00152E17"/>
    <w:rsid w:val="00153916"/>
    <w:rsid w:val="0015798E"/>
    <w:rsid w:val="00160236"/>
    <w:rsid w:val="001628CB"/>
    <w:rsid w:val="001629B3"/>
    <w:rsid w:val="00162F79"/>
    <w:rsid w:val="00163837"/>
    <w:rsid w:val="00170158"/>
    <w:rsid w:val="001A6A3F"/>
    <w:rsid w:val="001B1BE4"/>
    <w:rsid w:val="001B6860"/>
    <w:rsid w:val="001B75A5"/>
    <w:rsid w:val="001C2AC4"/>
    <w:rsid w:val="001C7E25"/>
    <w:rsid w:val="001D511F"/>
    <w:rsid w:val="001E10C8"/>
    <w:rsid w:val="001E1A0D"/>
    <w:rsid w:val="001E5421"/>
    <w:rsid w:val="001F0F29"/>
    <w:rsid w:val="001F272F"/>
    <w:rsid w:val="001F757E"/>
    <w:rsid w:val="00201D3A"/>
    <w:rsid w:val="00213D7C"/>
    <w:rsid w:val="0021590E"/>
    <w:rsid w:val="00217728"/>
    <w:rsid w:val="00220B04"/>
    <w:rsid w:val="0022530F"/>
    <w:rsid w:val="00237D4B"/>
    <w:rsid w:val="002545C2"/>
    <w:rsid w:val="00256907"/>
    <w:rsid w:val="00257E1E"/>
    <w:rsid w:val="002600E6"/>
    <w:rsid w:val="00262D58"/>
    <w:rsid w:val="00265992"/>
    <w:rsid w:val="00286D15"/>
    <w:rsid w:val="0029498E"/>
    <w:rsid w:val="002A3041"/>
    <w:rsid w:val="002B5861"/>
    <w:rsid w:val="002C54AF"/>
    <w:rsid w:val="002D035B"/>
    <w:rsid w:val="002D5ECF"/>
    <w:rsid w:val="002E234F"/>
    <w:rsid w:val="002E372A"/>
    <w:rsid w:val="002E7D34"/>
    <w:rsid w:val="002F07BD"/>
    <w:rsid w:val="002F2CB5"/>
    <w:rsid w:val="002F6F00"/>
    <w:rsid w:val="003061C6"/>
    <w:rsid w:val="003070FA"/>
    <w:rsid w:val="00311385"/>
    <w:rsid w:val="003204B0"/>
    <w:rsid w:val="0032429B"/>
    <w:rsid w:val="0032763E"/>
    <w:rsid w:val="00331554"/>
    <w:rsid w:val="00331C73"/>
    <w:rsid w:val="003320E5"/>
    <w:rsid w:val="0034007A"/>
    <w:rsid w:val="00340C82"/>
    <w:rsid w:val="003576A7"/>
    <w:rsid w:val="0036068E"/>
    <w:rsid w:val="00387F92"/>
    <w:rsid w:val="00391C7C"/>
    <w:rsid w:val="003A1CB1"/>
    <w:rsid w:val="003B0006"/>
    <w:rsid w:val="003B486D"/>
    <w:rsid w:val="003E4483"/>
    <w:rsid w:val="003F057E"/>
    <w:rsid w:val="00400052"/>
    <w:rsid w:val="004005DA"/>
    <w:rsid w:val="0041639A"/>
    <w:rsid w:val="004267A9"/>
    <w:rsid w:val="0044078E"/>
    <w:rsid w:val="00441881"/>
    <w:rsid w:val="00443ADB"/>
    <w:rsid w:val="00452582"/>
    <w:rsid w:val="0045413F"/>
    <w:rsid w:val="00471DF6"/>
    <w:rsid w:val="00495F73"/>
    <w:rsid w:val="004A0A4A"/>
    <w:rsid w:val="004A19D7"/>
    <w:rsid w:val="004A359C"/>
    <w:rsid w:val="004A3B9D"/>
    <w:rsid w:val="004A5FFB"/>
    <w:rsid w:val="004A6522"/>
    <w:rsid w:val="004B0FAC"/>
    <w:rsid w:val="004B1BC4"/>
    <w:rsid w:val="004B62C7"/>
    <w:rsid w:val="004C016A"/>
    <w:rsid w:val="004D2F49"/>
    <w:rsid w:val="004D561B"/>
    <w:rsid w:val="004E1492"/>
    <w:rsid w:val="004E62A4"/>
    <w:rsid w:val="005042C8"/>
    <w:rsid w:val="00505883"/>
    <w:rsid w:val="005117B2"/>
    <w:rsid w:val="00523E83"/>
    <w:rsid w:val="00525DA0"/>
    <w:rsid w:val="00532AB6"/>
    <w:rsid w:val="0053739E"/>
    <w:rsid w:val="0055128B"/>
    <w:rsid w:val="005553B4"/>
    <w:rsid w:val="00583B36"/>
    <w:rsid w:val="00583ECF"/>
    <w:rsid w:val="005864CF"/>
    <w:rsid w:val="00590053"/>
    <w:rsid w:val="00590853"/>
    <w:rsid w:val="005D5A8A"/>
    <w:rsid w:val="005E06DC"/>
    <w:rsid w:val="005F03DA"/>
    <w:rsid w:val="005F20BE"/>
    <w:rsid w:val="005F635A"/>
    <w:rsid w:val="00601828"/>
    <w:rsid w:val="0061548F"/>
    <w:rsid w:val="00620924"/>
    <w:rsid w:val="00642F70"/>
    <w:rsid w:val="006442CE"/>
    <w:rsid w:val="00650A23"/>
    <w:rsid w:val="006555F6"/>
    <w:rsid w:val="00664BE6"/>
    <w:rsid w:val="006805F0"/>
    <w:rsid w:val="00682403"/>
    <w:rsid w:val="00682F96"/>
    <w:rsid w:val="00691A29"/>
    <w:rsid w:val="006A481C"/>
    <w:rsid w:val="006B2FB8"/>
    <w:rsid w:val="006C1C33"/>
    <w:rsid w:val="006E4953"/>
    <w:rsid w:val="006E4F36"/>
    <w:rsid w:val="00713D94"/>
    <w:rsid w:val="00713D96"/>
    <w:rsid w:val="00717F40"/>
    <w:rsid w:val="007208F1"/>
    <w:rsid w:val="00722968"/>
    <w:rsid w:val="0072331A"/>
    <w:rsid w:val="00723FF3"/>
    <w:rsid w:val="00726457"/>
    <w:rsid w:val="0072756F"/>
    <w:rsid w:val="00731917"/>
    <w:rsid w:val="00744F32"/>
    <w:rsid w:val="00753D5C"/>
    <w:rsid w:val="00753E9D"/>
    <w:rsid w:val="00754265"/>
    <w:rsid w:val="00754FE0"/>
    <w:rsid w:val="00756CB6"/>
    <w:rsid w:val="00766B0E"/>
    <w:rsid w:val="0077091F"/>
    <w:rsid w:val="00787493"/>
    <w:rsid w:val="007A37D8"/>
    <w:rsid w:val="007A3DCE"/>
    <w:rsid w:val="007A68E5"/>
    <w:rsid w:val="007B64CF"/>
    <w:rsid w:val="007C66E1"/>
    <w:rsid w:val="007D0496"/>
    <w:rsid w:val="007D122E"/>
    <w:rsid w:val="007D17A9"/>
    <w:rsid w:val="007D5577"/>
    <w:rsid w:val="007E05DA"/>
    <w:rsid w:val="008028A9"/>
    <w:rsid w:val="00824854"/>
    <w:rsid w:val="008307CC"/>
    <w:rsid w:val="00842494"/>
    <w:rsid w:val="00852168"/>
    <w:rsid w:val="0085482F"/>
    <w:rsid w:val="008572D0"/>
    <w:rsid w:val="00861158"/>
    <w:rsid w:val="00863AB9"/>
    <w:rsid w:val="008719A4"/>
    <w:rsid w:val="00876136"/>
    <w:rsid w:val="00876BDD"/>
    <w:rsid w:val="0088307A"/>
    <w:rsid w:val="0089740E"/>
    <w:rsid w:val="008A366E"/>
    <w:rsid w:val="008C6805"/>
    <w:rsid w:val="008F2EFE"/>
    <w:rsid w:val="008F6CA7"/>
    <w:rsid w:val="009141FD"/>
    <w:rsid w:val="00916F22"/>
    <w:rsid w:val="00925137"/>
    <w:rsid w:val="00933882"/>
    <w:rsid w:val="009472A9"/>
    <w:rsid w:val="009579F7"/>
    <w:rsid w:val="009A2FAB"/>
    <w:rsid w:val="009A306C"/>
    <w:rsid w:val="009A36FE"/>
    <w:rsid w:val="009A6E7F"/>
    <w:rsid w:val="009A6FFC"/>
    <w:rsid w:val="009C6071"/>
    <w:rsid w:val="009E259D"/>
    <w:rsid w:val="009F62AC"/>
    <w:rsid w:val="00A05E46"/>
    <w:rsid w:val="00A138AC"/>
    <w:rsid w:val="00A16DC3"/>
    <w:rsid w:val="00A20311"/>
    <w:rsid w:val="00A229C1"/>
    <w:rsid w:val="00A45BF2"/>
    <w:rsid w:val="00A67808"/>
    <w:rsid w:val="00A82195"/>
    <w:rsid w:val="00A83436"/>
    <w:rsid w:val="00A90127"/>
    <w:rsid w:val="00AA39A8"/>
    <w:rsid w:val="00AB1119"/>
    <w:rsid w:val="00AB590E"/>
    <w:rsid w:val="00AD2FEE"/>
    <w:rsid w:val="00AD6245"/>
    <w:rsid w:val="00B052E9"/>
    <w:rsid w:val="00B2021B"/>
    <w:rsid w:val="00B36011"/>
    <w:rsid w:val="00B516D3"/>
    <w:rsid w:val="00B5197E"/>
    <w:rsid w:val="00B52688"/>
    <w:rsid w:val="00B56F2A"/>
    <w:rsid w:val="00B57983"/>
    <w:rsid w:val="00B617EA"/>
    <w:rsid w:val="00B62AA0"/>
    <w:rsid w:val="00B6521D"/>
    <w:rsid w:val="00B70A40"/>
    <w:rsid w:val="00B721A4"/>
    <w:rsid w:val="00B818BF"/>
    <w:rsid w:val="00BA2891"/>
    <w:rsid w:val="00BA756C"/>
    <w:rsid w:val="00BB0514"/>
    <w:rsid w:val="00BB4C19"/>
    <w:rsid w:val="00BC235E"/>
    <w:rsid w:val="00BC7F63"/>
    <w:rsid w:val="00BC7FD3"/>
    <w:rsid w:val="00BD1A7B"/>
    <w:rsid w:val="00BD43AF"/>
    <w:rsid w:val="00BD6CD2"/>
    <w:rsid w:val="00BE781B"/>
    <w:rsid w:val="00BF6B2C"/>
    <w:rsid w:val="00C24F3C"/>
    <w:rsid w:val="00C3430D"/>
    <w:rsid w:val="00C35172"/>
    <w:rsid w:val="00C4167D"/>
    <w:rsid w:val="00C41DDF"/>
    <w:rsid w:val="00C428E3"/>
    <w:rsid w:val="00C47629"/>
    <w:rsid w:val="00C530A3"/>
    <w:rsid w:val="00C628AD"/>
    <w:rsid w:val="00C646D0"/>
    <w:rsid w:val="00C66B71"/>
    <w:rsid w:val="00C743A4"/>
    <w:rsid w:val="00C7506F"/>
    <w:rsid w:val="00C752A3"/>
    <w:rsid w:val="00C83FCC"/>
    <w:rsid w:val="00C903B1"/>
    <w:rsid w:val="00C9413A"/>
    <w:rsid w:val="00C95446"/>
    <w:rsid w:val="00CA1792"/>
    <w:rsid w:val="00CB206F"/>
    <w:rsid w:val="00CB50C8"/>
    <w:rsid w:val="00CC1CE5"/>
    <w:rsid w:val="00CC6EFE"/>
    <w:rsid w:val="00CF5231"/>
    <w:rsid w:val="00D0324E"/>
    <w:rsid w:val="00D03905"/>
    <w:rsid w:val="00D116AF"/>
    <w:rsid w:val="00D11AEE"/>
    <w:rsid w:val="00D312EC"/>
    <w:rsid w:val="00D44853"/>
    <w:rsid w:val="00D46D73"/>
    <w:rsid w:val="00D46F8B"/>
    <w:rsid w:val="00D50D58"/>
    <w:rsid w:val="00D67DBE"/>
    <w:rsid w:val="00D82BB6"/>
    <w:rsid w:val="00D85469"/>
    <w:rsid w:val="00D94E1B"/>
    <w:rsid w:val="00DA7782"/>
    <w:rsid w:val="00DB252C"/>
    <w:rsid w:val="00DB76F6"/>
    <w:rsid w:val="00DC0A74"/>
    <w:rsid w:val="00DE2C4C"/>
    <w:rsid w:val="00DE504D"/>
    <w:rsid w:val="00DF0CD1"/>
    <w:rsid w:val="00DF10E5"/>
    <w:rsid w:val="00E006F3"/>
    <w:rsid w:val="00E05A1E"/>
    <w:rsid w:val="00E1010E"/>
    <w:rsid w:val="00E16242"/>
    <w:rsid w:val="00E16405"/>
    <w:rsid w:val="00E25814"/>
    <w:rsid w:val="00E40281"/>
    <w:rsid w:val="00E422F2"/>
    <w:rsid w:val="00E43FDE"/>
    <w:rsid w:val="00E44AA0"/>
    <w:rsid w:val="00E75F7B"/>
    <w:rsid w:val="00E85106"/>
    <w:rsid w:val="00EA34FE"/>
    <w:rsid w:val="00EA552D"/>
    <w:rsid w:val="00EB0FC0"/>
    <w:rsid w:val="00EB40BC"/>
    <w:rsid w:val="00EC3F50"/>
    <w:rsid w:val="00EC4158"/>
    <w:rsid w:val="00ED29CA"/>
    <w:rsid w:val="00ED5782"/>
    <w:rsid w:val="00EE3D7B"/>
    <w:rsid w:val="00F1489A"/>
    <w:rsid w:val="00F278D3"/>
    <w:rsid w:val="00F324D1"/>
    <w:rsid w:val="00F36049"/>
    <w:rsid w:val="00F47A67"/>
    <w:rsid w:val="00F62E22"/>
    <w:rsid w:val="00F62F03"/>
    <w:rsid w:val="00F87B9F"/>
    <w:rsid w:val="00F90B17"/>
    <w:rsid w:val="00FA01D5"/>
    <w:rsid w:val="00FE1B71"/>
    <w:rsid w:val="00FE675C"/>
    <w:rsid w:val="00FE7934"/>
    <w:rsid w:val="00FF1999"/>
    <w:rsid w:val="00FF42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4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rsid w:val="0006583D"/>
  </w:style>
  <w:style w:type="paragraph" w:styleId="BodyTextIndent">
    <w:name w:val="Body Text Indent"/>
    <w:basedOn w:val="Normal"/>
    <w:link w:val="BodyTextIndentChar"/>
    <w:rsid w:val="00A16DC3"/>
    <w:pPr>
      <w:spacing w:before="60" w:after="0" w:line="312" w:lineRule="auto"/>
      <w:ind w:left="561" w:hanging="561"/>
      <w:jc w:val="both"/>
    </w:pPr>
    <w:rPr>
      <w:rFonts w:ascii=".VnTime" w:eastAsia="Times New Roman" w:hAnsi=".VnTime" w:cs="Times New Roman"/>
      <w:sz w:val="28"/>
      <w:szCs w:val="24"/>
    </w:rPr>
  </w:style>
  <w:style w:type="character" w:customStyle="1" w:styleId="BodyTextIndentChar">
    <w:name w:val="Body Text Indent Char"/>
    <w:basedOn w:val="DefaultParagraphFont"/>
    <w:link w:val="BodyTextIndent"/>
    <w:rsid w:val="00A16DC3"/>
    <w:rPr>
      <w:rFonts w:ascii=".VnTime" w:eastAsia="Times New Roman" w:hAnsi=".VnTime" w:cs="Times New Roman"/>
      <w:sz w:val="28"/>
      <w:szCs w:val="24"/>
    </w:rPr>
  </w:style>
  <w:style w:type="paragraph" w:styleId="ListParagraph">
    <w:name w:val="List Paragraph"/>
    <w:basedOn w:val="Normal"/>
    <w:uiPriority w:val="34"/>
    <w:qFormat/>
    <w:rsid w:val="00331554"/>
    <w:pPr>
      <w:spacing w:after="0" w:line="240" w:lineRule="auto"/>
      <w:ind w:left="720"/>
    </w:pPr>
    <w:rPr>
      <w:rFonts w:ascii="Times New Roman" w:eastAsia="Times New Roman" w:hAnsi="Times New Roman" w:cs="Times New Roman"/>
      <w:sz w:val="20"/>
      <w:szCs w:val="20"/>
    </w:rPr>
  </w:style>
  <w:style w:type="paragraph" w:styleId="NoSpacing">
    <w:name w:val="No Spacing"/>
    <w:uiPriority w:val="1"/>
    <w:qFormat/>
    <w:rsid w:val="00026CB0"/>
    <w:pPr>
      <w:spacing w:after="0" w:line="240" w:lineRule="auto"/>
    </w:pPr>
  </w:style>
  <w:style w:type="table" w:styleId="TableGrid">
    <w:name w:val="Table Grid"/>
    <w:basedOn w:val="TableNormal"/>
    <w:uiPriority w:val="39"/>
    <w:rsid w:val="00F278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C530A3"/>
    <w:pPr>
      <w:widowControl w:val="0"/>
      <w:autoSpaceDE w:val="0"/>
      <w:autoSpaceDN w:val="0"/>
      <w:adjustRightInd w:val="0"/>
      <w:spacing w:before="40" w:after="0" w:line="240" w:lineRule="auto"/>
      <w:ind w:left="60"/>
    </w:pPr>
    <w:rPr>
      <w:rFonts w:ascii="Cambria" w:eastAsiaTheme="minorEastAsia" w:hAnsi="Cambria" w:cs="Cambria"/>
      <w:sz w:val="24"/>
      <w:szCs w:val="24"/>
    </w:rPr>
  </w:style>
  <w:style w:type="paragraph" w:styleId="BalloonText">
    <w:name w:val="Balloon Text"/>
    <w:basedOn w:val="Normal"/>
    <w:link w:val="BalloonTextChar"/>
    <w:uiPriority w:val="99"/>
    <w:semiHidden/>
    <w:unhideWhenUsed/>
    <w:rsid w:val="006555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55F6"/>
    <w:rPr>
      <w:rFonts w:ascii="Segoe UI" w:hAnsi="Segoe UI" w:cs="Segoe UI"/>
      <w:sz w:val="18"/>
      <w:szCs w:val="18"/>
    </w:rPr>
  </w:style>
  <w:style w:type="paragraph" w:styleId="FootnoteText">
    <w:name w:val="footnote text"/>
    <w:basedOn w:val="Normal"/>
    <w:link w:val="FootnoteTextChar"/>
    <w:uiPriority w:val="99"/>
    <w:semiHidden/>
    <w:unhideWhenUsed/>
    <w:rsid w:val="001539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3916"/>
    <w:rPr>
      <w:sz w:val="20"/>
      <w:szCs w:val="20"/>
    </w:rPr>
  </w:style>
  <w:style w:type="character" w:styleId="FootnoteReference">
    <w:name w:val="footnote reference"/>
    <w:basedOn w:val="DefaultParagraphFont"/>
    <w:uiPriority w:val="99"/>
    <w:semiHidden/>
    <w:unhideWhenUsed/>
    <w:rsid w:val="00153916"/>
    <w:rPr>
      <w:vertAlign w:val="superscript"/>
    </w:rPr>
  </w:style>
  <w:style w:type="paragraph" w:styleId="Header">
    <w:name w:val="header"/>
    <w:basedOn w:val="Normal"/>
    <w:link w:val="HeaderChar"/>
    <w:uiPriority w:val="99"/>
    <w:unhideWhenUsed/>
    <w:rsid w:val="005908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0853"/>
  </w:style>
  <w:style w:type="paragraph" w:styleId="Footer">
    <w:name w:val="footer"/>
    <w:basedOn w:val="Normal"/>
    <w:link w:val="FooterChar"/>
    <w:uiPriority w:val="99"/>
    <w:unhideWhenUsed/>
    <w:rsid w:val="005908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0853"/>
  </w:style>
  <w:style w:type="paragraph" w:styleId="Revision">
    <w:name w:val="Revision"/>
    <w:hidden/>
    <w:uiPriority w:val="99"/>
    <w:semiHidden/>
    <w:rsid w:val="004A0A4A"/>
    <w:pPr>
      <w:spacing w:after="0" w:line="240" w:lineRule="auto"/>
    </w:pPr>
  </w:style>
  <w:style w:type="character" w:styleId="CommentReference">
    <w:name w:val="annotation reference"/>
    <w:basedOn w:val="DefaultParagraphFont"/>
    <w:uiPriority w:val="99"/>
    <w:semiHidden/>
    <w:unhideWhenUsed/>
    <w:rsid w:val="00713D96"/>
    <w:rPr>
      <w:sz w:val="16"/>
      <w:szCs w:val="16"/>
    </w:rPr>
  </w:style>
  <w:style w:type="paragraph" w:styleId="CommentText">
    <w:name w:val="annotation text"/>
    <w:basedOn w:val="Normal"/>
    <w:link w:val="CommentTextChar"/>
    <w:uiPriority w:val="99"/>
    <w:semiHidden/>
    <w:unhideWhenUsed/>
    <w:rsid w:val="00713D96"/>
    <w:pPr>
      <w:spacing w:line="240" w:lineRule="auto"/>
    </w:pPr>
    <w:rPr>
      <w:sz w:val="20"/>
      <w:szCs w:val="20"/>
    </w:rPr>
  </w:style>
  <w:style w:type="character" w:customStyle="1" w:styleId="CommentTextChar">
    <w:name w:val="Comment Text Char"/>
    <w:basedOn w:val="DefaultParagraphFont"/>
    <w:link w:val="CommentText"/>
    <w:uiPriority w:val="99"/>
    <w:semiHidden/>
    <w:rsid w:val="00713D96"/>
    <w:rPr>
      <w:sz w:val="20"/>
      <w:szCs w:val="20"/>
    </w:rPr>
  </w:style>
</w:styles>
</file>

<file path=word/webSettings.xml><?xml version="1.0" encoding="utf-8"?>
<w:webSettings xmlns:r="http://schemas.openxmlformats.org/officeDocument/2006/relationships" xmlns:w="http://schemas.openxmlformats.org/wordprocessingml/2006/main">
  <w:divs>
    <w:div w:id="271672426">
      <w:bodyDiv w:val="1"/>
      <w:marLeft w:val="0"/>
      <w:marRight w:val="0"/>
      <w:marTop w:val="0"/>
      <w:marBottom w:val="0"/>
      <w:divBdr>
        <w:top w:val="none" w:sz="0" w:space="0" w:color="auto"/>
        <w:left w:val="none" w:sz="0" w:space="0" w:color="auto"/>
        <w:bottom w:val="none" w:sz="0" w:space="0" w:color="auto"/>
        <w:right w:val="none" w:sz="0" w:space="0" w:color="auto"/>
      </w:divBdr>
      <w:divsChild>
        <w:div w:id="1177578280">
          <w:marLeft w:val="0"/>
          <w:marRight w:val="0"/>
          <w:marTop w:val="0"/>
          <w:marBottom w:val="0"/>
          <w:divBdr>
            <w:top w:val="none" w:sz="0" w:space="0" w:color="auto"/>
            <w:left w:val="none" w:sz="0" w:space="0" w:color="auto"/>
            <w:bottom w:val="none" w:sz="0" w:space="0" w:color="auto"/>
            <w:right w:val="none" w:sz="0" w:space="0" w:color="auto"/>
          </w:divBdr>
          <w:divsChild>
            <w:div w:id="513113892">
              <w:marLeft w:val="0"/>
              <w:marRight w:val="0"/>
              <w:marTop w:val="0"/>
              <w:marBottom w:val="0"/>
              <w:divBdr>
                <w:top w:val="none" w:sz="0" w:space="0" w:color="auto"/>
                <w:left w:val="none" w:sz="0" w:space="0" w:color="auto"/>
                <w:bottom w:val="none" w:sz="0" w:space="0" w:color="auto"/>
                <w:right w:val="none" w:sz="0" w:space="0" w:color="auto"/>
              </w:divBdr>
              <w:divsChild>
                <w:div w:id="660547170">
                  <w:marLeft w:val="0"/>
                  <w:marRight w:val="0"/>
                  <w:marTop w:val="0"/>
                  <w:marBottom w:val="0"/>
                  <w:divBdr>
                    <w:top w:val="none" w:sz="0" w:space="0" w:color="auto"/>
                    <w:left w:val="none" w:sz="0" w:space="0" w:color="auto"/>
                    <w:bottom w:val="none" w:sz="0" w:space="0" w:color="auto"/>
                    <w:right w:val="none" w:sz="0" w:space="0" w:color="auto"/>
                  </w:divBdr>
                  <w:divsChild>
                    <w:div w:id="983775961">
                      <w:marLeft w:val="0"/>
                      <w:marRight w:val="0"/>
                      <w:marTop w:val="0"/>
                      <w:marBottom w:val="0"/>
                      <w:divBdr>
                        <w:top w:val="none" w:sz="0" w:space="0" w:color="auto"/>
                        <w:left w:val="none" w:sz="0" w:space="0" w:color="auto"/>
                        <w:bottom w:val="none" w:sz="0" w:space="0" w:color="auto"/>
                        <w:right w:val="none" w:sz="0" w:space="0" w:color="auto"/>
                      </w:divBdr>
                      <w:divsChild>
                        <w:div w:id="456533973">
                          <w:marLeft w:val="0"/>
                          <w:marRight w:val="0"/>
                          <w:marTop w:val="0"/>
                          <w:marBottom w:val="0"/>
                          <w:divBdr>
                            <w:top w:val="none" w:sz="0" w:space="0" w:color="auto"/>
                            <w:left w:val="none" w:sz="0" w:space="0" w:color="auto"/>
                            <w:bottom w:val="none" w:sz="0" w:space="0" w:color="auto"/>
                            <w:right w:val="none" w:sz="0" w:space="0" w:color="auto"/>
                          </w:divBdr>
                          <w:divsChild>
                            <w:div w:id="1068576955">
                              <w:marLeft w:val="0"/>
                              <w:marRight w:val="0"/>
                              <w:marTop w:val="0"/>
                              <w:marBottom w:val="0"/>
                              <w:divBdr>
                                <w:top w:val="none" w:sz="0" w:space="0" w:color="auto"/>
                                <w:left w:val="none" w:sz="0" w:space="0" w:color="auto"/>
                                <w:bottom w:val="none" w:sz="0" w:space="0" w:color="auto"/>
                                <w:right w:val="none" w:sz="0" w:space="0" w:color="auto"/>
                              </w:divBdr>
                              <w:divsChild>
                                <w:div w:id="480662892">
                                  <w:marLeft w:val="0"/>
                                  <w:marRight w:val="0"/>
                                  <w:marTop w:val="0"/>
                                  <w:marBottom w:val="0"/>
                                  <w:divBdr>
                                    <w:top w:val="none" w:sz="0" w:space="0" w:color="auto"/>
                                    <w:left w:val="none" w:sz="0" w:space="0" w:color="auto"/>
                                    <w:bottom w:val="none" w:sz="0" w:space="0" w:color="auto"/>
                                    <w:right w:val="none" w:sz="0" w:space="0" w:color="auto"/>
                                  </w:divBdr>
                                  <w:divsChild>
                                    <w:div w:id="751001514">
                                      <w:marLeft w:val="0"/>
                                      <w:marRight w:val="0"/>
                                      <w:marTop w:val="0"/>
                                      <w:marBottom w:val="0"/>
                                      <w:divBdr>
                                        <w:top w:val="none" w:sz="0" w:space="0" w:color="auto"/>
                                        <w:left w:val="none" w:sz="0" w:space="0" w:color="auto"/>
                                        <w:bottom w:val="none" w:sz="0" w:space="0" w:color="auto"/>
                                        <w:right w:val="none" w:sz="0" w:space="0" w:color="auto"/>
                                      </w:divBdr>
                                      <w:divsChild>
                                        <w:div w:id="1435437551">
                                          <w:marLeft w:val="0"/>
                                          <w:marRight w:val="0"/>
                                          <w:marTop w:val="0"/>
                                          <w:marBottom w:val="495"/>
                                          <w:divBdr>
                                            <w:top w:val="none" w:sz="0" w:space="0" w:color="auto"/>
                                            <w:left w:val="none" w:sz="0" w:space="0" w:color="auto"/>
                                            <w:bottom w:val="none" w:sz="0" w:space="0" w:color="auto"/>
                                            <w:right w:val="none" w:sz="0" w:space="0" w:color="auto"/>
                                          </w:divBdr>
                                          <w:divsChild>
                                            <w:div w:id="121353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6474884">
      <w:bodyDiv w:val="1"/>
      <w:marLeft w:val="0"/>
      <w:marRight w:val="0"/>
      <w:marTop w:val="0"/>
      <w:marBottom w:val="0"/>
      <w:divBdr>
        <w:top w:val="none" w:sz="0" w:space="0" w:color="auto"/>
        <w:left w:val="none" w:sz="0" w:space="0" w:color="auto"/>
        <w:bottom w:val="none" w:sz="0" w:space="0" w:color="auto"/>
        <w:right w:val="none" w:sz="0" w:space="0" w:color="auto"/>
      </w:divBdr>
      <w:divsChild>
        <w:div w:id="76951672">
          <w:marLeft w:val="0"/>
          <w:marRight w:val="0"/>
          <w:marTop w:val="0"/>
          <w:marBottom w:val="0"/>
          <w:divBdr>
            <w:top w:val="none" w:sz="0" w:space="0" w:color="auto"/>
            <w:left w:val="none" w:sz="0" w:space="0" w:color="auto"/>
            <w:bottom w:val="none" w:sz="0" w:space="0" w:color="auto"/>
            <w:right w:val="none" w:sz="0" w:space="0" w:color="auto"/>
          </w:divBdr>
          <w:divsChild>
            <w:div w:id="1310550060">
              <w:marLeft w:val="0"/>
              <w:marRight w:val="0"/>
              <w:marTop w:val="0"/>
              <w:marBottom w:val="0"/>
              <w:divBdr>
                <w:top w:val="none" w:sz="0" w:space="0" w:color="auto"/>
                <w:left w:val="none" w:sz="0" w:space="0" w:color="auto"/>
                <w:bottom w:val="none" w:sz="0" w:space="0" w:color="auto"/>
                <w:right w:val="none" w:sz="0" w:space="0" w:color="auto"/>
              </w:divBdr>
              <w:divsChild>
                <w:div w:id="1754157517">
                  <w:marLeft w:val="0"/>
                  <w:marRight w:val="0"/>
                  <w:marTop w:val="0"/>
                  <w:marBottom w:val="0"/>
                  <w:divBdr>
                    <w:top w:val="none" w:sz="0" w:space="0" w:color="auto"/>
                    <w:left w:val="none" w:sz="0" w:space="0" w:color="auto"/>
                    <w:bottom w:val="none" w:sz="0" w:space="0" w:color="auto"/>
                    <w:right w:val="none" w:sz="0" w:space="0" w:color="auto"/>
                  </w:divBdr>
                  <w:divsChild>
                    <w:div w:id="695733769">
                      <w:marLeft w:val="0"/>
                      <w:marRight w:val="0"/>
                      <w:marTop w:val="0"/>
                      <w:marBottom w:val="0"/>
                      <w:divBdr>
                        <w:top w:val="none" w:sz="0" w:space="0" w:color="auto"/>
                        <w:left w:val="none" w:sz="0" w:space="0" w:color="auto"/>
                        <w:bottom w:val="none" w:sz="0" w:space="0" w:color="auto"/>
                        <w:right w:val="none" w:sz="0" w:space="0" w:color="auto"/>
                      </w:divBdr>
                      <w:divsChild>
                        <w:div w:id="1921598903">
                          <w:marLeft w:val="0"/>
                          <w:marRight w:val="0"/>
                          <w:marTop w:val="0"/>
                          <w:marBottom w:val="0"/>
                          <w:divBdr>
                            <w:top w:val="none" w:sz="0" w:space="0" w:color="auto"/>
                            <w:left w:val="none" w:sz="0" w:space="0" w:color="auto"/>
                            <w:bottom w:val="none" w:sz="0" w:space="0" w:color="auto"/>
                            <w:right w:val="none" w:sz="0" w:space="0" w:color="auto"/>
                          </w:divBdr>
                          <w:divsChild>
                            <w:div w:id="45881455">
                              <w:marLeft w:val="0"/>
                              <w:marRight w:val="0"/>
                              <w:marTop w:val="0"/>
                              <w:marBottom w:val="0"/>
                              <w:divBdr>
                                <w:top w:val="none" w:sz="0" w:space="0" w:color="auto"/>
                                <w:left w:val="none" w:sz="0" w:space="0" w:color="auto"/>
                                <w:bottom w:val="none" w:sz="0" w:space="0" w:color="auto"/>
                                <w:right w:val="none" w:sz="0" w:space="0" w:color="auto"/>
                              </w:divBdr>
                              <w:divsChild>
                                <w:div w:id="1697196849">
                                  <w:marLeft w:val="0"/>
                                  <w:marRight w:val="0"/>
                                  <w:marTop w:val="0"/>
                                  <w:marBottom w:val="0"/>
                                  <w:divBdr>
                                    <w:top w:val="none" w:sz="0" w:space="0" w:color="auto"/>
                                    <w:left w:val="none" w:sz="0" w:space="0" w:color="auto"/>
                                    <w:bottom w:val="none" w:sz="0" w:space="0" w:color="auto"/>
                                    <w:right w:val="none" w:sz="0" w:space="0" w:color="auto"/>
                                  </w:divBdr>
                                  <w:divsChild>
                                    <w:div w:id="779302872">
                                      <w:marLeft w:val="0"/>
                                      <w:marRight w:val="0"/>
                                      <w:marTop w:val="0"/>
                                      <w:marBottom w:val="0"/>
                                      <w:divBdr>
                                        <w:top w:val="none" w:sz="0" w:space="0" w:color="auto"/>
                                        <w:left w:val="none" w:sz="0" w:space="0" w:color="auto"/>
                                        <w:bottom w:val="none" w:sz="0" w:space="0" w:color="auto"/>
                                        <w:right w:val="none" w:sz="0" w:space="0" w:color="auto"/>
                                      </w:divBdr>
                                      <w:divsChild>
                                        <w:div w:id="1581134045">
                                          <w:marLeft w:val="0"/>
                                          <w:marRight w:val="0"/>
                                          <w:marTop w:val="0"/>
                                          <w:marBottom w:val="495"/>
                                          <w:divBdr>
                                            <w:top w:val="none" w:sz="0" w:space="0" w:color="auto"/>
                                            <w:left w:val="none" w:sz="0" w:space="0" w:color="auto"/>
                                            <w:bottom w:val="none" w:sz="0" w:space="0" w:color="auto"/>
                                            <w:right w:val="none" w:sz="0" w:space="0" w:color="auto"/>
                                          </w:divBdr>
                                          <w:divsChild>
                                            <w:div w:id="177412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9873502">
      <w:bodyDiv w:val="1"/>
      <w:marLeft w:val="0"/>
      <w:marRight w:val="0"/>
      <w:marTop w:val="0"/>
      <w:marBottom w:val="0"/>
      <w:divBdr>
        <w:top w:val="none" w:sz="0" w:space="0" w:color="auto"/>
        <w:left w:val="none" w:sz="0" w:space="0" w:color="auto"/>
        <w:bottom w:val="none" w:sz="0" w:space="0" w:color="auto"/>
        <w:right w:val="none" w:sz="0" w:space="0" w:color="auto"/>
      </w:divBdr>
      <w:divsChild>
        <w:div w:id="1628003058">
          <w:marLeft w:val="0"/>
          <w:marRight w:val="0"/>
          <w:marTop w:val="0"/>
          <w:marBottom w:val="0"/>
          <w:divBdr>
            <w:top w:val="none" w:sz="0" w:space="0" w:color="auto"/>
            <w:left w:val="none" w:sz="0" w:space="0" w:color="auto"/>
            <w:bottom w:val="none" w:sz="0" w:space="0" w:color="auto"/>
            <w:right w:val="none" w:sz="0" w:space="0" w:color="auto"/>
          </w:divBdr>
          <w:divsChild>
            <w:div w:id="1914121889">
              <w:marLeft w:val="0"/>
              <w:marRight w:val="0"/>
              <w:marTop w:val="0"/>
              <w:marBottom w:val="0"/>
              <w:divBdr>
                <w:top w:val="none" w:sz="0" w:space="0" w:color="auto"/>
                <w:left w:val="none" w:sz="0" w:space="0" w:color="auto"/>
                <w:bottom w:val="none" w:sz="0" w:space="0" w:color="auto"/>
                <w:right w:val="none" w:sz="0" w:space="0" w:color="auto"/>
              </w:divBdr>
              <w:divsChild>
                <w:div w:id="1425344128">
                  <w:marLeft w:val="0"/>
                  <w:marRight w:val="0"/>
                  <w:marTop w:val="0"/>
                  <w:marBottom w:val="0"/>
                  <w:divBdr>
                    <w:top w:val="none" w:sz="0" w:space="0" w:color="auto"/>
                    <w:left w:val="none" w:sz="0" w:space="0" w:color="auto"/>
                    <w:bottom w:val="none" w:sz="0" w:space="0" w:color="auto"/>
                    <w:right w:val="none" w:sz="0" w:space="0" w:color="auto"/>
                  </w:divBdr>
                  <w:divsChild>
                    <w:div w:id="1660692208">
                      <w:marLeft w:val="0"/>
                      <w:marRight w:val="0"/>
                      <w:marTop w:val="0"/>
                      <w:marBottom w:val="0"/>
                      <w:divBdr>
                        <w:top w:val="none" w:sz="0" w:space="0" w:color="auto"/>
                        <w:left w:val="none" w:sz="0" w:space="0" w:color="auto"/>
                        <w:bottom w:val="none" w:sz="0" w:space="0" w:color="auto"/>
                        <w:right w:val="none" w:sz="0" w:space="0" w:color="auto"/>
                      </w:divBdr>
                      <w:divsChild>
                        <w:div w:id="1937787435">
                          <w:marLeft w:val="0"/>
                          <w:marRight w:val="0"/>
                          <w:marTop w:val="0"/>
                          <w:marBottom w:val="0"/>
                          <w:divBdr>
                            <w:top w:val="none" w:sz="0" w:space="0" w:color="auto"/>
                            <w:left w:val="none" w:sz="0" w:space="0" w:color="auto"/>
                            <w:bottom w:val="none" w:sz="0" w:space="0" w:color="auto"/>
                            <w:right w:val="none" w:sz="0" w:space="0" w:color="auto"/>
                          </w:divBdr>
                          <w:divsChild>
                            <w:div w:id="1638678872">
                              <w:marLeft w:val="0"/>
                              <w:marRight w:val="0"/>
                              <w:marTop w:val="0"/>
                              <w:marBottom w:val="0"/>
                              <w:divBdr>
                                <w:top w:val="none" w:sz="0" w:space="0" w:color="auto"/>
                                <w:left w:val="none" w:sz="0" w:space="0" w:color="auto"/>
                                <w:bottom w:val="none" w:sz="0" w:space="0" w:color="auto"/>
                                <w:right w:val="none" w:sz="0" w:space="0" w:color="auto"/>
                              </w:divBdr>
                              <w:divsChild>
                                <w:div w:id="1476608554">
                                  <w:marLeft w:val="0"/>
                                  <w:marRight w:val="0"/>
                                  <w:marTop w:val="0"/>
                                  <w:marBottom w:val="0"/>
                                  <w:divBdr>
                                    <w:top w:val="none" w:sz="0" w:space="0" w:color="auto"/>
                                    <w:left w:val="none" w:sz="0" w:space="0" w:color="auto"/>
                                    <w:bottom w:val="none" w:sz="0" w:space="0" w:color="auto"/>
                                    <w:right w:val="none" w:sz="0" w:space="0" w:color="auto"/>
                                  </w:divBdr>
                                  <w:divsChild>
                                    <w:div w:id="20471393">
                                      <w:marLeft w:val="0"/>
                                      <w:marRight w:val="0"/>
                                      <w:marTop w:val="0"/>
                                      <w:marBottom w:val="0"/>
                                      <w:divBdr>
                                        <w:top w:val="none" w:sz="0" w:space="0" w:color="auto"/>
                                        <w:left w:val="none" w:sz="0" w:space="0" w:color="auto"/>
                                        <w:bottom w:val="none" w:sz="0" w:space="0" w:color="auto"/>
                                        <w:right w:val="none" w:sz="0" w:space="0" w:color="auto"/>
                                      </w:divBdr>
                                      <w:divsChild>
                                        <w:div w:id="594678058">
                                          <w:marLeft w:val="0"/>
                                          <w:marRight w:val="0"/>
                                          <w:marTop w:val="0"/>
                                          <w:marBottom w:val="495"/>
                                          <w:divBdr>
                                            <w:top w:val="none" w:sz="0" w:space="0" w:color="auto"/>
                                            <w:left w:val="none" w:sz="0" w:space="0" w:color="auto"/>
                                            <w:bottom w:val="none" w:sz="0" w:space="0" w:color="auto"/>
                                            <w:right w:val="none" w:sz="0" w:space="0" w:color="auto"/>
                                          </w:divBdr>
                                          <w:divsChild>
                                            <w:div w:id="194958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9382208">
      <w:bodyDiv w:val="1"/>
      <w:marLeft w:val="0"/>
      <w:marRight w:val="0"/>
      <w:marTop w:val="0"/>
      <w:marBottom w:val="0"/>
      <w:divBdr>
        <w:top w:val="none" w:sz="0" w:space="0" w:color="auto"/>
        <w:left w:val="none" w:sz="0" w:space="0" w:color="auto"/>
        <w:bottom w:val="none" w:sz="0" w:space="0" w:color="auto"/>
        <w:right w:val="none" w:sz="0" w:space="0" w:color="auto"/>
      </w:divBdr>
      <w:divsChild>
        <w:div w:id="1208420220">
          <w:marLeft w:val="0"/>
          <w:marRight w:val="0"/>
          <w:marTop w:val="0"/>
          <w:marBottom w:val="0"/>
          <w:divBdr>
            <w:top w:val="none" w:sz="0" w:space="0" w:color="auto"/>
            <w:left w:val="none" w:sz="0" w:space="0" w:color="auto"/>
            <w:bottom w:val="none" w:sz="0" w:space="0" w:color="auto"/>
            <w:right w:val="none" w:sz="0" w:space="0" w:color="auto"/>
          </w:divBdr>
          <w:divsChild>
            <w:div w:id="1507013991">
              <w:marLeft w:val="0"/>
              <w:marRight w:val="0"/>
              <w:marTop w:val="0"/>
              <w:marBottom w:val="0"/>
              <w:divBdr>
                <w:top w:val="none" w:sz="0" w:space="0" w:color="auto"/>
                <w:left w:val="none" w:sz="0" w:space="0" w:color="auto"/>
                <w:bottom w:val="none" w:sz="0" w:space="0" w:color="auto"/>
                <w:right w:val="none" w:sz="0" w:space="0" w:color="auto"/>
              </w:divBdr>
              <w:divsChild>
                <w:div w:id="1163855691">
                  <w:marLeft w:val="0"/>
                  <w:marRight w:val="0"/>
                  <w:marTop w:val="0"/>
                  <w:marBottom w:val="0"/>
                  <w:divBdr>
                    <w:top w:val="none" w:sz="0" w:space="0" w:color="auto"/>
                    <w:left w:val="none" w:sz="0" w:space="0" w:color="auto"/>
                    <w:bottom w:val="none" w:sz="0" w:space="0" w:color="auto"/>
                    <w:right w:val="none" w:sz="0" w:space="0" w:color="auto"/>
                  </w:divBdr>
                  <w:divsChild>
                    <w:div w:id="1885097771">
                      <w:marLeft w:val="0"/>
                      <w:marRight w:val="0"/>
                      <w:marTop w:val="0"/>
                      <w:marBottom w:val="0"/>
                      <w:divBdr>
                        <w:top w:val="none" w:sz="0" w:space="0" w:color="auto"/>
                        <w:left w:val="none" w:sz="0" w:space="0" w:color="auto"/>
                        <w:bottom w:val="none" w:sz="0" w:space="0" w:color="auto"/>
                        <w:right w:val="none" w:sz="0" w:space="0" w:color="auto"/>
                      </w:divBdr>
                      <w:divsChild>
                        <w:div w:id="804002484">
                          <w:marLeft w:val="0"/>
                          <w:marRight w:val="0"/>
                          <w:marTop w:val="0"/>
                          <w:marBottom w:val="0"/>
                          <w:divBdr>
                            <w:top w:val="none" w:sz="0" w:space="0" w:color="auto"/>
                            <w:left w:val="none" w:sz="0" w:space="0" w:color="auto"/>
                            <w:bottom w:val="none" w:sz="0" w:space="0" w:color="auto"/>
                            <w:right w:val="none" w:sz="0" w:space="0" w:color="auto"/>
                          </w:divBdr>
                          <w:divsChild>
                            <w:div w:id="131102723">
                              <w:marLeft w:val="0"/>
                              <w:marRight w:val="0"/>
                              <w:marTop w:val="0"/>
                              <w:marBottom w:val="0"/>
                              <w:divBdr>
                                <w:top w:val="none" w:sz="0" w:space="0" w:color="auto"/>
                                <w:left w:val="none" w:sz="0" w:space="0" w:color="auto"/>
                                <w:bottom w:val="none" w:sz="0" w:space="0" w:color="auto"/>
                                <w:right w:val="none" w:sz="0" w:space="0" w:color="auto"/>
                              </w:divBdr>
                              <w:divsChild>
                                <w:div w:id="372731221">
                                  <w:marLeft w:val="0"/>
                                  <w:marRight w:val="0"/>
                                  <w:marTop w:val="0"/>
                                  <w:marBottom w:val="0"/>
                                  <w:divBdr>
                                    <w:top w:val="none" w:sz="0" w:space="0" w:color="auto"/>
                                    <w:left w:val="none" w:sz="0" w:space="0" w:color="auto"/>
                                    <w:bottom w:val="none" w:sz="0" w:space="0" w:color="auto"/>
                                    <w:right w:val="none" w:sz="0" w:space="0" w:color="auto"/>
                                  </w:divBdr>
                                  <w:divsChild>
                                    <w:div w:id="2026593877">
                                      <w:marLeft w:val="0"/>
                                      <w:marRight w:val="0"/>
                                      <w:marTop w:val="0"/>
                                      <w:marBottom w:val="0"/>
                                      <w:divBdr>
                                        <w:top w:val="none" w:sz="0" w:space="0" w:color="auto"/>
                                        <w:left w:val="none" w:sz="0" w:space="0" w:color="auto"/>
                                        <w:bottom w:val="none" w:sz="0" w:space="0" w:color="auto"/>
                                        <w:right w:val="none" w:sz="0" w:space="0" w:color="auto"/>
                                      </w:divBdr>
                                      <w:divsChild>
                                        <w:div w:id="316497666">
                                          <w:marLeft w:val="0"/>
                                          <w:marRight w:val="0"/>
                                          <w:marTop w:val="0"/>
                                          <w:marBottom w:val="495"/>
                                          <w:divBdr>
                                            <w:top w:val="none" w:sz="0" w:space="0" w:color="auto"/>
                                            <w:left w:val="none" w:sz="0" w:space="0" w:color="auto"/>
                                            <w:bottom w:val="none" w:sz="0" w:space="0" w:color="auto"/>
                                            <w:right w:val="none" w:sz="0" w:space="0" w:color="auto"/>
                                          </w:divBdr>
                                          <w:divsChild>
                                            <w:div w:id="192448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4043947">
      <w:bodyDiv w:val="1"/>
      <w:marLeft w:val="0"/>
      <w:marRight w:val="0"/>
      <w:marTop w:val="0"/>
      <w:marBottom w:val="0"/>
      <w:divBdr>
        <w:top w:val="none" w:sz="0" w:space="0" w:color="auto"/>
        <w:left w:val="none" w:sz="0" w:space="0" w:color="auto"/>
        <w:bottom w:val="none" w:sz="0" w:space="0" w:color="auto"/>
        <w:right w:val="none" w:sz="0" w:space="0" w:color="auto"/>
      </w:divBdr>
      <w:divsChild>
        <w:div w:id="108016935">
          <w:marLeft w:val="0"/>
          <w:marRight w:val="0"/>
          <w:marTop w:val="0"/>
          <w:marBottom w:val="0"/>
          <w:divBdr>
            <w:top w:val="none" w:sz="0" w:space="0" w:color="auto"/>
            <w:left w:val="none" w:sz="0" w:space="0" w:color="auto"/>
            <w:bottom w:val="none" w:sz="0" w:space="0" w:color="auto"/>
            <w:right w:val="none" w:sz="0" w:space="0" w:color="auto"/>
          </w:divBdr>
          <w:divsChild>
            <w:div w:id="1275287531">
              <w:marLeft w:val="0"/>
              <w:marRight w:val="0"/>
              <w:marTop w:val="0"/>
              <w:marBottom w:val="0"/>
              <w:divBdr>
                <w:top w:val="none" w:sz="0" w:space="0" w:color="auto"/>
                <w:left w:val="none" w:sz="0" w:space="0" w:color="auto"/>
                <w:bottom w:val="none" w:sz="0" w:space="0" w:color="auto"/>
                <w:right w:val="none" w:sz="0" w:space="0" w:color="auto"/>
              </w:divBdr>
              <w:divsChild>
                <w:div w:id="739716191">
                  <w:marLeft w:val="0"/>
                  <w:marRight w:val="0"/>
                  <w:marTop w:val="0"/>
                  <w:marBottom w:val="0"/>
                  <w:divBdr>
                    <w:top w:val="none" w:sz="0" w:space="0" w:color="auto"/>
                    <w:left w:val="none" w:sz="0" w:space="0" w:color="auto"/>
                    <w:bottom w:val="none" w:sz="0" w:space="0" w:color="auto"/>
                    <w:right w:val="none" w:sz="0" w:space="0" w:color="auto"/>
                  </w:divBdr>
                  <w:divsChild>
                    <w:div w:id="116917476">
                      <w:marLeft w:val="0"/>
                      <w:marRight w:val="0"/>
                      <w:marTop w:val="0"/>
                      <w:marBottom w:val="0"/>
                      <w:divBdr>
                        <w:top w:val="none" w:sz="0" w:space="0" w:color="auto"/>
                        <w:left w:val="none" w:sz="0" w:space="0" w:color="auto"/>
                        <w:bottom w:val="none" w:sz="0" w:space="0" w:color="auto"/>
                        <w:right w:val="none" w:sz="0" w:space="0" w:color="auto"/>
                      </w:divBdr>
                      <w:divsChild>
                        <w:div w:id="1639458265">
                          <w:marLeft w:val="0"/>
                          <w:marRight w:val="0"/>
                          <w:marTop w:val="0"/>
                          <w:marBottom w:val="0"/>
                          <w:divBdr>
                            <w:top w:val="none" w:sz="0" w:space="0" w:color="auto"/>
                            <w:left w:val="none" w:sz="0" w:space="0" w:color="auto"/>
                            <w:bottom w:val="none" w:sz="0" w:space="0" w:color="auto"/>
                            <w:right w:val="none" w:sz="0" w:space="0" w:color="auto"/>
                          </w:divBdr>
                          <w:divsChild>
                            <w:div w:id="1505708660">
                              <w:marLeft w:val="0"/>
                              <w:marRight w:val="0"/>
                              <w:marTop w:val="0"/>
                              <w:marBottom w:val="0"/>
                              <w:divBdr>
                                <w:top w:val="none" w:sz="0" w:space="0" w:color="auto"/>
                                <w:left w:val="none" w:sz="0" w:space="0" w:color="auto"/>
                                <w:bottom w:val="none" w:sz="0" w:space="0" w:color="auto"/>
                                <w:right w:val="none" w:sz="0" w:space="0" w:color="auto"/>
                              </w:divBdr>
                              <w:divsChild>
                                <w:div w:id="307052481">
                                  <w:marLeft w:val="0"/>
                                  <w:marRight w:val="0"/>
                                  <w:marTop w:val="0"/>
                                  <w:marBottom w:val="0"/>
                                  <w:divBdr>
                                    <w:top w:val="none" w:sz="0" w:space="0" w:color="auto"/>
                                    <w:left w:val="none" w:sz="0" w:space="0" w:color="auto"/>
                                    <w:bottom w:val="none" w:sz="0" w:space="0" w:color="auto"/>
                                    <w:right w:val="none" w:sz="0" w:space="0" w:color="auto"/>
                                  </w:divBdr>
                                  <w:divsChild>
                                    <w:div w:id="1207715772">
                                      <w:marLeft w:val="0"/>
                                      <w:marRight w:val="0"/>
                                      <w:marTop w:val="0"/>
                                      <w:marBottom w:val="0"/>
                                      <w:divBdr>
                                        <w:top w:val="none" w:sz="0" w:space="0" w:color="auto"/>
                                        <w:left w:val="none" w:sz="0" w:space="0" w:color="auto"/>
                                        <w:bottom w:val="none" w:sz="0" w:space="0" w:color="auto"/>
                                        <w:right w:val="none" w:sz="0" w:space="0" w:color="auto"/>
                                      </w:divBdr>
                                      <w:divsChild>
                                        <w:div w:id="1844054999">
                                          <w:marLeft w:val="0"/>
                                          <w:marRight w:val="0"/>
                                          <w:marTop w:val="0"/>
                                          <w:marBottom w:val="495"/>
                                          <w:divBdr>
                                            <w:top w:val="none" w:sz="0" w:space="0" w:color="auto"/>
                                            <w:left w:val="none" w:sz="0" w:space="0" w:color="auto"/>
                                            <w:bottom w:val="none" w:sz="0" w:space="0" w:color="auto"/>
                                            <w:right w:val="none" w:sz="0" w:space="0" w:color="auto"/>
                                          </w:divBdr>
                                          <w:divsChild>
                                            <w:div w:id="3023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336867">
      <w:bodyDiv w:val="1"/>
      <w:marLeft w:val="0"/>
      <w:marRight w:val="0"/>
      <w:marTop w:val="0"/>
      <w:marBottom w:val="0"/>
      <w:divBdr>
        <w:top w:val="none" w:sz="0" w:space="0" w:color="auto"/>
        <w:left w:val="none" w:sz="0" w:space="0" w:color="auto"/>
        <w:bottom w:val="none" w:sz="0" w:space="0" w:color="auto"/>
        <w:right w:val="none" w:sz="0" w:space="0" w:color="auto"/>
      </w:divBdr>
      <w:divsChild>
        <w:div w:id="220873134">
          <w:marLeft w:val="0"/>
          <w:marRight w:val="0"/>
          <w:marTop w:val="0"/>
          <w:marBottom w:val="0"/>
          <w:divBdr>
            <w:top w:val="none" w:sz="0" w:space="0" w:color="auto"/>
            <w:left w:val="none" w:sz="0" w:space="0" w:color="auto"/>
            <w:bottom w:val="none" w:sz="0" w:space="0" w:color="auto"/>
            <w:right w:val="none" w:sz="0" w:space="0" w:color="auto"/>
          </w:divBdr>
          <w:divsChild>
            <w:div w:id="1038893771">
              <w:marLeft w:val="0"/>
              <w:marRight w:val="0"/>
              <w:marTop w:val="0"/>
              <w:marBottom w:val="0"/>
              <w:divBdr>
                <w:top w:val="none" w:sz="0" w:space="0" w:color="auto"/>
                <w:left w:val="none" w:sz="0" w:space="0" w:color="auto"/>
                <w:bottom w:val="none" w:sz="0" w:space="0" w:color="auto"/>
                <w:right w:val="none" w:sz="0" w:space="0" w:color="auto"/>
              </w:divBdr>
              <w:divsChild>
                <w:div w:id="715546962">
                  <w:marLeft w:val="0"/>
                  <w:marRight w:val="0"/>
                  <w:marTop w:val="0"/>
                  <w:marBottom w:val="0"/>
                  <w:divBdr>
                    <w:top w:val="none" w:sz="0" w:space="0" w:color="auto"/>
                    <w:left w:val="none" w:sz="0" w:space="0" w:color="auto"/>
                    <w:bottom w:val="none" w:sz="0" w:space="0" w:color="auto"/>
                    <w:right w:val="none" w:sz="0" w:space="0" w:color="auto"/>
                  </w:divBdr>
                  <w:divsChild>
                    <w:div w:id="167525318">
                      <w:marLeft w:val="0"/>
                      <w:marRight w:val="0"/>
                      <w:marTop w:val="0"/>
                      <w:marBottom w:val="0"/>
                      <w:divBdr>
                        <w:top w:val="none" w:sz="0" w:space="0" w:color="auto"/>
                        <w:left w:val="none" w:sz="0" w:space="0" w:color="auto"/>
                        <w:bottom w:val="none" w:sz="0" w:space="0" w:color="auto"/>
                        <w:right w:val="none" w:sz="0" w:space="0" w:color="auto"/>
                      </w:divBdr>
                      <w:divsChild>
                        <w:div w:id="911088358">
                          <w:marLeft w:val="0"/>
                          <w:marRight w:val="0"/>
                          <w:marTop w:val="0"/>
                          <w:marBottom w:val="0"/>
                          <w:divBdr>
                            <w:top w:val="none" w:sz="0" w:space="0" w:color="auto"/>
                            <w:left w:val="none" w:sz="0" w:space="0" w:color="auto"/>
                            <w:bottom w:val="none" w:sz="0" w:space="0" w:color="auto"/>
                            <w:right w:val="none" w:sz="0" w:space="0" w:color="auto"/>
                          </w:divBdr>
                          <w:divsChild>
                            <w:div w:id="877663008">
                              <w:marLeft w:val="0"/>
                              <w:marRight w:val="0"/>
                              <w:marTop w:val="0"/>
                              <w:marBottom w:val="0"/>
                              <w:divBdr>
                                <w:top w:val="none" w:sz="0" w:space="0" w:color="auto"/>
                                <w:left w:val="none" w:sz="0" w:space="0" w:color="auto"/>
                                <w:bottom w:val="none" w:sz="0" w:space="0" w:color="auto"/>
                                <w:right w:val="none" w:sz="0" w:space="0" w:color="auto"/>
                              </w:divBdr>
                              <w:divsChild>
                                <w:div w:id="551813885">
                                  <w:marLeft w:val="0"/>
                                  <w:marRight w:val="0"/>
                                  <w:marTop w:val="0"/>
                                  <w:marBottom w:val="0"/>
                                  <w:divBdr>
                                    <w:top w:val="none" w:sz="0" w:space="0" w:color="auto"/>
                                    <w:left w:val="none" w:sz="0" w:space="0" w:color="auto"/>
                                    <w:bottom w:val="none" w:sz="0" w:space="0" w:color="auto"/>
                                    <w:right w:val="none" w:sz="0" w:space="0" w:color="auto"/>
                                  </w:divBdr>
                                  <w:divsChild>
                                    <w:div w:id="2142920398">
                                      <w:marLeft w:val="0"/>
                                      <w:marRight w:val="0"/>
                                      <w:marTop w:val="0"/>
                                      <w:marBottom w:val="0"/>
                                      <w:divBdr>
                                        <w:top w:val="none" w:sz="0" w:space="0" w:color="auto"/>
                                        <w:left w:val="none" w:sz="0" w:space="0" w:color="auto"/>
                                        <w:bottom w:val="none" w:sz="0" w:space="0" w:color="auto"/>
                                        <w:right w:val="none" w:sz="0" w:space="0" w:color="auto"/>
                                      </w:divBdr>
                                      <w:divsChild>
                                        <w:div w:id="1908151240">
                                          <w:marLeft w:val="0"/>
                                          <w:marRight w:val="0"/>
                                          <w:marTop w:val="0"/>
                                          <w:marBottom w:val="495"/>
                                          <w:divBdr>
                                            <w:top w:val="none" w:sz="0" w:space="0" w:color="auto"/>
                                            <w:left w:val="none" w:sz="0" w:space="0" w:color="auto"/>
                                            <w:bottom w:val="none" w:sz="0" w:space="0" w:color="auto"/>
                                            <w:right w:val="none" w:sz="0" w:space="0" w:color="auto"/>
                                          </w:divBdr>
                                          <w:divsChild>
                                            <w:div w:id="2695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533797">
      <w:bodyDiv w:val="1"/>
      <w:marLeft w:val="0"/>
      <w:marRight w:val="0"/>
      <w:marTop w:val="0"/>
      <w:marBottom w:val="0"/>
      <w:divBdr>
        <w:top w:val="none" w:sz="0" w:space="0" w:color="auto"/>
        <w:left w:val="none" w:sz="0" w:space="0" w:color="auto"/>
        <w:bottom w:val="none" w:sz="0" w:space="0" w:color="auto"/>
        <w:right w:val="none" w:sz="0" w:space="0" w:color="auto"/>
      </w:divBdr>
      <w:divsChild>
        <w:div w:id="99420603">
          <w:marLeft w:val="0"/>
          <w:marRight w:val="0"/>
          <w:marTop w:val="0"/>
          <w:marBottom w:val="0"/>
          <w:divBdr>
            <w:top w:val="none" w:sz="0" w:space="0" w:color="auto"/>
            <w:left w:val="none" w:sz="0" w:space="0" w:color="auto"/>
            <w:bottom w:val="none" w:sz="0" w:space="0" w:color="auto"/>
            <w:right w:val="none" w:sz="0" w:space="0" w:color="auto"/>
          </w:divBdr>
          <w:divsChild>
            <w:div w:id="1571846416">
              <w:marLeft w:val="0"/>
              <w:marRight w:val="0"/>
              <w:marTop w:val="0"/>
              <w:marBottom w:val="0"/>
              <w:divBdr>
                <w:top w:val="none" w:sz="0" w:space="0" w:color="auto"/>
                <w:left w:val="none" w:sz="0" w:space="0" w:color="auto"/>
                <w:bottom w:val="none" w:sz="0" w:space="0" w:color="auto"/>
                <w:right w:val="none" w:sz="0" w:space="0" w:color="auto"/>
              </w:divBdr>
              <w:divsChild>
                <w:div w:id="1910572872">
                  <w:marLeft w:val="0"/>
                  <w:marRight w:val="0"/>
                  <w:marTop w:val="0"/>
                  <w:marBottom w:val="0"/>
                  <w:divBdr>
                    <w:top w:val="none" w:sz="0" w:space="0" w:color="auto"/>
                    <w:left w:val="none" w:sz="0" w:space="0" w:color="auto"/>
                    <w:bottom w:val="none" w:sz="0" w:space="0" w:color="auto"/>
                    <w:right w:val="none" w:sz="0" w:space="0" w:color="auto"/>
                  </w:divBdr>
                  <w:divsChild>
                    <w:div w:id="1532497163">
                      <w:marLeft w:val="0"/>
                      <w:marRight w:val="0"/>
                      <w:marTop w:val="0"/>
                      <w:marBottom w:val="0"/>
                      <w:divBdr>
                        <w:top w:val="none" w:sz="0" w:space="0" w:color="auto"/>
                        <w:left w:val="none" w:sz="0" w:space="0" w:color="auto"/>
                        <w:bottom w:val="none" w:sz="0" w:space="0" w:color="auto"/>
                        <w:right w:val="none" w:sz="0" w:space="0" w:color="auto"/>
                      </w:divBdr>
                      <w:divsChild>
                        <w:div w:id="993755010">
                          <w:marLeft w:val="0"/>
                          <w:marRight w:val="0"/>
                          <w:marTop w:val="0"/>
                          <w:marBottom w:val="0"/>
                          <w:divBdr>
                            <w:top w:val="none" w:sz="0" w:space="0" w:color="auto"/>
                            <w:left w:val="none" w:sz="0" w:space="0" w:color="auto"/>
                            <w:bottom w:val="none" w:sz="0" w:space="0" w:color="auto"/>
                            <w:right w:val="none" w:sz="0" w:space="0" w:color="auto"/>
                          </w:divBdr>
                          <w:divsChild>
                            <w:div w:id="820732456">
                              <w:marLeft w:val="0"/>
                              <w:marRight w:val="0"/>
                              <w:marTop w:val="0"/>
                              <w:marBottom w:val="0"/>
                              <w:divBdr>
                                <w:top w:val="none" w:sz="0" w:space="0" w:color="auto"/>
                                <w:left w:val="none" w:sz="0" w:space="0" w:color="auto"/>
                                <w:bottom w:val="none" w:sz="0" w:space="0" w:color="auto"/>
                                <w:right w:val="none" w:sz="0" w:space="0" w:color="auto"/>
                              </w:divBdr>
                              <w:divsChild>
                                <w:div w:id="759526316">
                                  <w:marLeft w:val="0"/>
                                  <w:marRight w:val="0"/>
                                  <w:marTop w:val="0"/>
                                  <w:marBottom w:val="0"/>
                                  <w:divBdr>
                                    <w:top w:val="none" w:sz="0" w:space="0" w:color="auto"/>
                                    <w:left w:val="none" w:sz="0" w:space="0" w:color="auto"/>
                                    <w:bottom w:val="none" w:sz="0" w:space="0" w:color="auto"/>
                                    <w:right w:val="none" w:sz="0" w:space="0" w:color="auto"/>
                                  </w:divBdr>
                                  <w:divsChild>
                                    <w:div w:id="1399185">
                                      <w:marLeft w:val="0"/>
                                      <w:marRight w:val="0"/>
                                      <w:marTop w:val="0"/>
                                      <w:marBottom w:val="0"/>
                                      <w:divBdr>
                                        <w:top w:val="none" w:sz="0" w:space="0" w:color="auto"/>
                                        <w:left w:val="none" w:sz="0" w:space="0" w:color="auto"/>
                                        <w:bottom w:val="none" w:sz="0" w:space="0" w:color="auto"/>
                                        <w:right w:val="none" w:sz="0" w:space="0" w:color="auto"/>
                                      </w:divBdr>
                                      <w:divsChild>
                                        <w:div w:id="2108425697">
                                          <w:marLeft w:val="0"/>
                                          <w:marRight w:val="0"/>
                                          <w:marTop w:val="0"/>
                                          <w:marBottom w:val="495"/>
                                          <w:divBdr>
                                            <w:top w:val="none" w:sz="0" w:space="0" w:color="auto"/>
                                            <w:left w:val="none" w:sz="0" w:space="0" w:color="auto"/>
                                            <w:bottom w:val="none" w:sz="0" w:space="0" w:color="auto"/>
                                            <w:right w:val="none" w:sz="0" w:space="0" w:color="auto"/>
                                          </w:divBdr>
                                          <w:divsChild>
                                            <w:div w:id="125220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8023713">
      <w:bodyDiv w:val="1"/>
      <w:marLeft w:val="0"/>
      <w:marRight w:val="0"/>
      <w:marTop w:val="0"/>
      <w:marBottom w:val="0"/>
      <w:divBdr>
        <w:top w:val="none" w:sz="0" w:space="0" w:color="auto"/>
        <w:left w:val="none" w:sz="0" w:space="0" w:color="auto"/>
        <w:bottom w:val="none" w:sz="0" w:space="0" w:color="auto"/>
        <w:right w:val="none" w:sz="0" w:space="0" w:color="auto"/>
      </w:divBdr>
      <w:divsChild>
        <w:div w:id="664475862">
          <w:marLeft w:val="0"/>
          <w:marRight w:val="0"/>
          <w:marTop w:val="0"/>
          <w:marBottom w:val="0"/>
          <w:divBdr>
            <w:top w:val="none" w:sz="0" w:space="0" w:color="auto"/>
            <w:left w:val="none" w:sz="0" w:space="0" w:color="auto"/>
            <w:bottom w:val="none" w:sz="0" w:space="0" w:color="auto"/>
            <w:right w:val="none" w:sz="0" w:space="0" w:color="auto"/>
          </w:divBdr>
          <w:divsChild>
            <w:div w:id="1453212951">
              <w:marLeft w:val="0"/>
              <w:marRight w:val="0"/>
              <w:marTop w:val="0"/>
              <w:marBottom w:val="0"/>
              <w:divBdr>
                <w:top w:val="none" w:sz="0" w:space="0" w:color="auto"/>
                <w:left w:val="none" w:sz="0" w:space="0" w:color="auto"/>
                <w:bottom w:val="none" w:sz="0" w:space="0" w:color="auto"/>
                <w:right w:val="none" w:sz="0" w:space="0" w:color="auto"/>
              </w:divBdr>
              <w:divsChild>
                <w:div w:id="1816098763">
                  <w:marLeft w:val="0"/>
                  <w:marRight w:val="0"/>
                  <w:marTop w:val="0"/>
                  <w:marBottom w:val="0"/>
                  <w:divBdr>
                    <w:top w:val="none" w:sz="0" w:space="0" w:color="auto"/>
                    <w:left w:val="none" w:sz="0" w:space="0" w:color="auto"/>
                    <w:bottom w:val="none" w:sz="0" w:space="0" w:color="auto"/>
                    <w:right w:val="none" w:sz="0" w:space="0" w:color="auto"/>
                  </w:divBdr>
                  <w:divsChild>
                    <w:div w:id="718212583">
                      <w:marLeft w:val="0"/>
                      <w:marRight w:val="0"/>
                      <w:marTop w:val="0"/>
                      <w:marBottom w:val="0"/>
                      <w:divBdr>
                        <w:top w:val="none" w:sz="0" w:space="0" w:color="auto"/>
                        <w:left w:val="none" w:sz="0" w:space="0" w:color="auto"/>
                        <w:bottom w:val="none" w:sz="0" w:space="0" w:color="auto"/>
                        <w:right w:val="none" w:sz="0" w:space="0" w:color="auto"/>
                      </w:divBdr>
                      <w:divsChild>
                        <w:div w:id="1187406039">
                          <w:marLeft w:val="0"/>
                          <w:marRight w:val="0"/>
                          <w:marTop w:val="0"/>
                          <w:marBottom w:val="0"/>
                          <w:divBdr>
                            <w:top w:val="none" w:sz="0" w:space="0" w:color="auto"/>
                            <w:left w:val="none" w:sz="0" w:space="0" w:color="auto"/>
                            <w:bottom w:val="none" w:sz="0" w:space="0" w:color="auto"/>
                            <w:right w:val="none" w:sz="0" w:space="0" w:color="auto"/>
                          </w:divBdr>
                          <w:divsChild>
                            <w:div w:id="1930962355">
                              <w:marLeft w:val="0"/>
                              <w:marRight w:val="0"/>
                              <w:marTop w:val="0"/>
                              <w:marBottom w:val="0"/>
                              <w:divBdr>
                                <w:top w:val="none" w:sz="0" w:space="0" w:color="auto"/>
                                <w:left w:val="none" w:sz="0" w:space="0" w:color="auto"/>
                                <w:bottom w:val="none" w:sz="0" w:space="0" w:color="auto"/>
                                <w:right w:val="none" w:sz="0" w:space="0" w:color="auto"/>
                              </w:divBdr>
                              <w:divsChild>
                                <w:div w:id="1134643385">
                                  <w:marLeft w:val="0"/>
                                  <w:marRight w:val="0"/>
                                  <w:marTop w:val="0"/>
                                  <w:marBottom w:val="0"/>
                                  <w:divBdr>
                                    <w:top w:val="none" w:sz="0" w:space="0" w:color="auto"/>
                                    <w:left w:val="none" w:sz="0" w:space="0" w:color="auto"/>
                                    <w:bottom w:val="none" w:sz="0" w:space="0" w:color="auto"/>
                                    <w:right w:val="none" w:sz="0" w:space="0" w:color="auto"/>
                                  </w:divBdr>
                                  <w:divsChild>
                                    <w:div w:id="1536964870">
                                      <w:marLeft w:val="0"/>
                                      <w:marRight w:val="0"/>
                                      <w:marTop w:val="0"/>
                                      <w:marBottom w:val="0"/>
                                      <w:divBdr>
                                        <w:top w:val="none" w:sz="0" w:space="0" w:color="auto"/>
                                        <w:left w:val="none" w:sz="0" w:space="0" w:color="auto"/>
                                        <w:bottom w:val="none" w:sz="0" w:space="0" w:color="auto"/>
                                        <w:right w:val="none" w:sz="0" w:space="0" w:color="auto"/>
                                      </w:divBdr>
                                      <w:divsChild>
                                        <w:div w:id="178931172">
                                          <w:marLeft w:val="0"/>
                                          <w:marRight w:val="0"/>
                                          <w:marTop w:val="0"/>
                                          <w:marBottom w:val="495"/>
                                          <w:divBdr>
                                            <w:top w:val="none" w:sz="0" w:space="0" w:color="auto"/>
                                            <w:left w:val="none" w:sz="0" w:space="0" w:color="auto"/>
                                            <w:bottom w:val="none" w:sz="0" w:space="0" w:color="auto"/>
                                            <w:right w:val="none" w:sz="0" w:space="0" w:color="auto"/>
                                          </w:divBdr>
                                          <w:divsChild>
                                            <w:div w:id="172775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3317754">
      <w:bodyDiv w:val="1"/>
      <w:marLeft w:val="0"/>
      <w:marRight w:val="0"/>
      <w:marTop w:val="0"/>
      <w:marBottom w:val="0"/>
      <w:divBdr>
        <w:top w:val="none" w:sz="0" w:space="0" w:color="auto"/>
        <w:left w:val="none" w:sz="0" w:space="0" w:color="auto"/>
        <w:bottom w:val="none" w:sz="0" w:space="0" w:color="auto"/>
        <w:right w:val="none" w:sz="0" w:space="0" w:color="auto"/>
      </w:divBdr>
      <w:divsChild>
        <w:div w:id="1170369013">
          <w:marLeft w:val="0"/>
          <w:marRight w:val="0"/>
          <w:marTop w:val="0"/>
          <w:marBottom w:val="0"/>
          <w:divBdr>
            <w:top w:val="none" w:sz="0" w:space="0" w:color="auto"/>
            <w:left w:val="none" w:sz="0" w:space="0" w:color="auto"/>
            <w:bottom w:val="none" w:sz="0" w:space="0" w:color="auto"/>
            <w:right w:val="none" w:sz="0" w:space="0" w:color="auto"/>
          </w:divBdr>
          <w:divsChild>
            <w:div w:id="1727021479">
              <w:marLeft w:val="0"/>
              <w:marRight w:val="0"/>
              <w:marTop w:val="0"/>
              <w:marBottom w:val="0"/>
              <w:divBdr>
                <w:top w:val="none" w:sz="0" w:space="0" w:color="auto"/>
                <w:left w:val="none" w:sz="0" w:space="0" w:color="auto"/>
                <w:bottom w:val="none" w:sz="0" w:space="0" w:color="auto"/>
                <w:right w:val="none" w:sz="0" w:space="0" w:color="auto"/>
              </w:divBdr>
              <w:divsChild>
                <w:div w:id="661396091">
                  <w:marLeft w:val="0"/>
                  <w:marRight w:val="0"/>
                  <w:marTop w:val="0"/>
                  <w:marBottom w:val="0"/>
                  <w:divBdr>
                    <w:top w:val="none" w:sz="0" w:space="0" w:color="auto"/>
                    <w:left w:val="none" w:sz="0" w:space="0" w:color="auto"/>
                    <w:bottom w:val="none" w:sz="0" w:space="0" w:color="auto"/>
                    <w:right w:val="none" w:sz="0" w:space="0" w:color="auto"/>
                  </w:divBdr>
                  <w:divsChild>
                    <w:div w:id="667752320">
                      <w:marLeft w:val="0"/>
                      <w:marRight w:val="0"/>
                      <w:marTop w:val="0"/>
                      <w:marBottom w:val="0"/>
                      <w:divBdr>
                        <w:top w:val="none" w:sz="0" w:space="0" w:color="auto"/>
                        <w:left w:val="none" w:sz="0" w:space="0" w:color="auto"/>
                        <w:bottom w:val="none" w:sz="0" w:space="0" w:color="auto"/>
                        <w:right w:val="none" w:sz="0" w:space="0" w:color="auto"/>
                      </w:divBdr>
                      <w:divsChild>
                        <w:div w:id="953633027">
                          <w:marLeft w:val="0"/>
                          <w:marRight w:val="0"/>
                          <w:marTop w:val="0"/>
                          <w:marBottom w:val="0"/>
                          <w:divBdr>
                            <w:top w:val="none" w:sz="0" w:space="0" w:color="auto"/>
                            <w:left w:val="none" w:sz="0" w:space="0" w:color="auto"/>
                            <w:bottom w:val="none" w:sz="0" w:space="0" w:color="auto"/>
                            <w:right w:val="none" w:sz="0" w:space="0" w:color="auto"/>
                          </w:divBdr>
                          <w:divsChild>
                            <w:div w:id="1137727369">
                              <w:marLeft w:val="0"/>
                              <w:marRight w:val="0"/>
                              <w:marTop w:val="0"/>
                              <w:marBottom w:val="0"/>
                              <w:divBdr>
                                <w:top w:val="none" w:sz="0" w:space="0" w:color="auto"/>
                                <w:left w:val="none" w:sz="0" w:space="0" w:color="auto"/>
                                <w:bottom w:val="none" w:sz="0" w:space="0" w:color="auto"/>
                                <w:right w:val="none" w:sz="0" w:space="0" w:color="auto"/>
                              </w:divBdr>
                              <w:divsChild>
                                <w:div w:id="421295391">
                                  <w:marLeft w:val="0"/>
                                  <w:marRight w:val="0"/>
                                  <w:marTop w:val="0"/>
                                  <w:marBottom w:val="0"/>
                                  <w:divBdr>
                                    <w:top w:val="none" w:sz="0" w:space="0" w:color="auto"/>
                                    <w:left w:val="none" w:sz="0" w:space="0" w:color="auto"/>
                                    <w:bottom w:val="none" w:sz="0" w:space="0" w:color="auto"/>
                                    <w:right w:val="none" w:sz="0" w:space="0" w:color="auto"/>
                                  </w:divBdr>
                                  <w:divsChild>
                                    <w:div w:id="1161778793">
                                      <w:marLeft w:val="0"/>
                                      <w:marRight w:val="0"/>
                                      <w:marTop w:val="0"/>
                                      <w:marBottom w:val="0"/>
                                      <w:divBdr>
                                        <w:top w:val="none" w:sz="0" w:space="0" w:color="auto"/>
                                        <w:left w:val="none" w:sz="0" w:space="0" w:color="auto"/>
                                        <w:bottom w:val="none" w:sz="0" w:space="0" w:color="auto"/>
                                        <w:right w:val="none" w:sz="0" w:space="0" w:color="auto"/>
                                      </w:divBdr>
                                      <w:divsChild>
                                        <w:div w:id="361830904">
                                          <w:marLeft w:val="0"/>
                                          <w:marRight w:val="0"/>
                                          <w:marTop w:val="0"/>
                                          <w:marBottom w:val="495"/>
                                          <w:divBdr>
                                            <w:top w:val="none" w:sz="0" w:space="0" w:color="auto"/>
                                            <w:left w:val="none" w:sz="0" w:space="0" w:color="auto"/>
                                            <w:bottom w:val="none" w:sz="0" w:space="0" w:color="auto"/>
                                            <w:right w:val="none" w:sz="0" w:space="0" w:color="auto"/>
                                          </w:divBdr>
                                          <w:divsChild>
                                            <w:div w:id="148847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1279898">
      <w:bodyDiv w:val="1"/>
      <w:marLeft w:val="0"/>
      <w:marRight w:val="0"/>
      <w:marTop w:val="0"/>
      <w:marBottom w:val="0"/>
      <w:divBdr>
        <w:top w:val="none" w:sz="0" w:space="0" w:color="auto"/>
        <w:left w:val="none" w:sz="0" w:space="0" w:color="auto"/>
        <w:bottom w:val="none" w:sz="0" w:space="0" w:color="auto"/>
        <w:right w:val="none" w:sz="0" w:space="0" w:color="auto"/>
      </w:divBdr>
      <w:divsChild>
        <w:div w:id="1688555418">
          <w:marLeft w:val="0"/>
          <w:marRight w:val="0"/>
          <w:marTop w:val="0"/>
          <w:marBottom w:val="0"/>
          <w:divBdr>
            <w:top w:val="none" w:sz="0" w:space="0" w:color="auto"/>
            <w:left w:val="none" w:sz="0" w:space="0" w:color="auto"/>
            <w:bottom w:val="none" w:sz="0" w:space="0" w:color="auto"/>
            <w:right w:val="none" w:sz="0" w:space="0" w:color="auto"/>
          </w:divBdr>
          <w:divsChild>
            <w:div w:id="520321185">
              <w:marLeft w:val="0"/>
              <w:marRight w:val="0"/>
              <w:marTop w:val="0"/>
              <w:marBottom w:val="0"/>
              <w:divBdr>
                <w:top w:val="none" w:sz="0" w:space="0" w:color="auto"/>
                <w:left w:val="none" w:sz="0" w:space="0" w:color="auto"/>
                <w:bottom w:val="none" w:sz="0" w:space="0" w:color="auto"/>
                <w:right w:val="none" w:sz="0" w:space="0" w:color="auto"/>
              </w:divBdr>
              <w:divsChild>
                <w:div w:id="824471921">
                  <w:marLeft w:val="0"/>
                  <w:marRight w:val="0"/>
                  <w:marTop w:val="0"/>
                  <w:marBottom w:val="0"/>
                  <w:divBdr>
                    <w:top w:val="none" w:sz="0" w:space="0" w:color="auto"/>
                    <w:left w:val="none" w:sz="0" w:space="0" w:color="auto"/>
                    <w:bottom w:val="none" w:sz="0" w:space="0" w:color="auto"/>
                    <w:right w:val="none" w:sz="0" w:space="0" w:color="auto"/>
                  </w:divBdr>
                  <w:divsChild>
                    <w:div w:id="2136680152">
                      <w:marLeft w:val="0"/>
                      <w:marRight w:val="0"/>
                      <w:marTop w:val="0"/>
                      <w:marBottom w:val="0"/>
                      <w:divBdr>
                        <w:top w:val="none" w:sz="0" w:space="0" w:color="auto"/>
                        <w:left w:val="none" w:sz="0" w:space="0" w:color="auto"/>
                        <w:bottom w:val="none" w:sz="0" w:space="0" w:color="auto"/>
                        <w:right w:val="none" w:sz="0" w:space="0" w:color="auto"/>
                      </w:divBdr>
                      <w:divsChild>
                        <w:div w:id="432668945">
                          <w:marLeft w:val="0"/>
                          <w:marRight w:val="0"/>
                          <w:marTop w:val="0"/>
                          <w:marBottom w:val="0"/>
                          <w:divBdr>
                            <w:top w:val="none" w:sz="0" w:space="0" w:color="auto"/>
                            <w:left w:val="none" w:sz="0" w:space="0" w:color="auto"/>
                            <w:bottom w:val="none" w:sz="0" w:space="0" w:color="auto"/>
                            <w:right w:val="none" w:sz="0" w:space="0" w:color="auto"/>
                          </w:divBdr>
                          <w:divsChild>
                            <w:div w:id="1695567978">
                              <w:marLeft w:val="0"/>
                              <w:marRight w:val="0"/>
                              <w:marTop w:val="0"/>
                              <w:marBottom w:val="0"/>
                              <w:divBdr>
                                <w:top w:val="none" w:sz="0" w:space="0" w:color="auto"/>
                                <w:left w:val="none" w:sz="0" w:space="0" w:color="auto"/>
                                <w:bottom w:val="none" w:sz="0" w:space="0" w:color="auto"/>
                                <w:right w:val="none" w:sz="0" w:space="0" w:color="auto"/>
                              </w:divBdr>
                              <w:divsChild>
                                <w:div w:id="73472938">
                                  <w:marLeft w:val="0"/>
                                  <w:marRight w:val="0"/>
                                  <w:marTop w:val="0"/>
                                  <w:marBottom w:val="0"/>
                                  <w:divBdr>
                                    <w:top w:val="none" w:sz="0" w:space="0" w:color="auto"/>
                                    <w:left w:val="none" w:sz="0" w:space="0" w:color="auto"/>
                                    <w:bottom w:val="none" w:sz="0" w:space="0" w:color="auto"/>
                                    <w:right w:val="none" w:sz="0" w:space="0" w:color="auto"/>
                                  </w:divBdr>
                                  <w:divsChild>
                                    <w:div w:id="1226648222">
                                      <w:marLeft w:val="0"/>
                                      <w:marRight w:val="0"/>
                                      <w:marTop w:val="0"/>
                                      <w:marBottom w:val="0"/>
                                      <w:divBdr>
                                        <w:top w:val="none" w:sz="0" w:space="0" w:color="auto"/>
                                        <w:left w:val="none" w:sz="0" w:space="0" w:color="auto"/>
                                        <w:bottom w:val="none" w:sz="0" w:space="0" w:color="auto"/>
                                        <w:right w:val="none" w:sz="0" w:space="0" w:color="auto"/>
                                      </w:divBdr>
                                      <w:divsChild>
                                        <w:div w:id="1465544397">
                                          <w:marLeft w:val="0"/>
                                          <w:marRight w:val="0"/>
                                          <w:marTop w:val="0"/>
                                          <w:marBottom w:val="495"/>
                                          <w:divBdr>
                                            <w:top w:val="none" w:sz="0" w:space="0" w:color="auto"/>
                                            <w:left w:val="none" w:sz="0" w:space="0" w:color="auto"/>
                                            <w:bottom w:val="none" w:sz="0" w:space="0" w:color="auto"/>
                                            <w:right w:val="none" w:sz="0" w:space="0" w:color="auto"/>
                                          </w:divBdr>
                                          <w:divsChild>
                                            <w:div w:id="175446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B42E4-D3B9-4E65-8D9A-38645167F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26</Pages>
  <Words>15147</Words>
  <Characters>86338</Characters>
  <Application>Microsoft Office Word</Application>
  <DocSecurity>0</DocSecurity>
  <Lines>719</Lines>
  <Paragraphs>202</Paragraphs>
  <ScaleCrop>false</ScaleCrop>
  <HeadingPairs>
    <vt:vector size="2" baseType="variant">
      <vt:variant>
        <vt:lpstr>Title</vt:lpstr>
      </vt:variant>
      <vt:variant>
        <vt:i4>1</vt:i4>
      </vt:variant>
    </vt:vector>
  </HeadingPairs>
  <TitlesOfParts>
    <vt:vector size="1" baseType="lpstr">
      <vt:lpstr/>
    </vt:vector>
  </TitlesOfParts>
  <Company>KPMG</Company>
  <LinksUpToDate>false</LinksUpToDate>
  <CharactersWithSpaces>101283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trabui@deloitte.com</dc:creator>
  <cp:keywords/>
  <dc:description/>
  <cp:lastModifiedBy>nguyenthithanhminh</cp:lastModifiedBy>
  <cp:revision>17</cp:revision>
  <cp:lastPrinted>2019-09-12T08:58:00Z</cp:lastPrinted>
  <dcterms:created xsi:type="dcterms:W3CDTF">2020-06-02T03:42:00Z</dcterms:created>
  <dcterms:modified xsi:type="dcterms:W3CDTF">2021-06-21T03:25:00Z</dcterms:modified>
</cp:coreProperties>
</file>