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7F" w:rsidRPr="007D42B2" w:rsidRDefault="0003077F" w:rsidP="00A772DB">
      <w:pPr>
        <w:pStyle w:val="Heading2"/>
        <w:spacing w:before="20"/>
        <w:ind w:left="0"/>
        <w:rPr>
          <w:rFonts w:ascii="Times New Roman" w:hAnsi="Times New Roman" w:cs="Times New Roman"/>
          <w:sz w:val="22"/>
          <w:szCs w:val="22"/>
        </w:rPr>
      </w:pPr>
      <w:r w:rsidRPr="007D42B2">
        <w:rPr>
          <w:rFonts w:ascii="Times New Roman" w:hAnsi="Times New Roman" w:cs="Times New Roman"/>
          <w:sz w:val="22"/>
          <w:szCs w:val="22"/>
        </w:rPr>
        <w:t>IAS 27</w:t>
      </w:r>
    </w:p>
    <w:p w:rsidR="0003077F" w:rsidRPr="007D42B2" w:rsidRDefault="0003077F" w:rsidP="00A772DB">
      <w:pPr>
        <w:pStyle w:val="BodyText"/>
        <w:spacing w:before="20"/>
        <w:jc w:val="both"/>
        <w:rPr>
          <w:b/>
          <w:sz w:val="22"/>
          <w:szCs w:val="22"/>
        </w:rPr>
      </w:pPr>
    </w:p>
    <w:p w:rsidR="0003077F" w:rsidRPr="007D42B2" w:rsidRDefault="0003077F" w:rsidP="00A772DB">
      <w:pPr>
        <w:spacing w:before="20"/>
        <w:jc w:val="both"/>
        <w:rPr>
          <w:b/>
          <w:sz w:val="36"/>
          <w:szCs w:val="32"/>
        </w:rPr>
      </w:pPr>
      <w:r w:rsidRPr="007D42B2">
        <w:rPr>
          <w:b/>
          <w:w w:val="115"/>
          <w:sz w:val="36"/>
          <w:szCs w:val="32"/>
        </w:rPr>
        <w:t>Báo cáo tài chính riêng</w:t>
      </w:r>
    </w:p>
    <w:p w:rsidR="0003077F" w:rsidRPr="007D42B2" w:rsidRDefault="0003077F" w:rsidP="00A772DB">
      <w:pPr>
        <w:pStyle w:val="BodyText"/>
        <w:spacing w:before="20"/>
        <w:jc w:val="both"/>
        <w:rPr>
          <w:sz w:val="22"/>
          <w:szCs w:val="22"/>
        </w:rPr>
      </w:pPr>
    </w:p>
    <w:p w:rsidR="00A772DB" w:rsidRPr="007D42B2" w:rsidRDefault="00A772DB" w:rsidP="00A772DB">
      <w:pPr>
        <w:pStyle w:val="BodyText"/>
        <w:spacing w:before="20"/>
        <w:jc w:val="both"/>
        <w:rPr>
          <w:sz w:val="22"/>
          <w:szCs w:val="22"/>
        </w:rPr>
      </w:pPr>
    </w:p>
    <w:p w:rsidR="0003077F" w:rsidRPr="007D42B2" w:rsidRDefault="0003077F" w:rsidP="00A772DB">
      <w:pPr>
        <w:spacing w:before="20"/>
        <w:ind w:hanging="1"/>
        <w:jc w:val="both"/>
        <w:rPr>
          <w:w w:val="110"/>
        </w:rPr>
      </w:pPr>
      <w:r w:rsidRPr="007D42B2">
        <w:rPr>
          <w:w w:val="110"/>
        </w:rPr>
        <w:t xml:space="preserve">Tháng 4 năm  2001, Ủy ban Chuẩn mực Kế toán Quốc tế  (Ủy ban) đã áp dụng </w:t>
      </w:r>
      <w:r w:rsidRPr="007D42B2">
        <w:rPr>
          <w:w w:val="105"/>
        </w:rPr>
        <w:t>IAS</w:t>
      </w:r>
      <w:r w:rsidRPr="007D42B2">
        <w:rPr>
          <w:spacing w:val="-22"/>
          <w:w w:val="105"/>
        </w:rPr>
        <w:t xml:space="preserve"> </w:t>
      </w:r>
      <w:r w:rsidRPr="007D42B2">
        <w:rPr>
          <w:w w:val="105"/>
        </w:rPr>
        <w:t>27</w:t>
      </w:r>
      <w:r w:rsidRPr="007D42B2">
        <w:rPr>
          <w:spacing w:val="-20"/>
          <w:w w:val="105"/>
        </w:rPr>
        <w:t xml:space="preserve"> </w:t>
      </w:r>
      <w:r w:rsidRPr="007D42B2">
        <w:rPr>
          <w:i/>
          <w:w w:val="105"/>
        </w:rPr>
        <w:t>Báo cáo tài chính hợp nhất và kế toán các khoản đầu tư vào công ty con</w:t>
      </w:r>
      <w:r w:rsidRPr="007D42B2">
        <w:rPr>
          <w:w w:val="105"/>
        </w:rPr>
        <w:t xml:space="preserve">, trước đó đã được Ủy ban Chuẩn mực Kế toán Quốc tế ban hành vào tháng 4 năm </w:t>
      </w:r>
      <w:r w:rsidRPr="007D42B2">
        <w:rPr>
          <w:w w:val="110"/>
        </w:rPr>
        <w:t>1989.</w:t>
      </w:r>
      <w:r w:rsidRPr="007D42B2">
        <w:rPr>
          <w:spacing w:val="-16"/>
          <w:w w:val="110"/>
        </w:rPr>
        <w:t xml:space="preserve"> </w:t>
      </w:r>
      <w:proofErr w:type="gramStart"/>
      <w:r w:rsidRPr="007D42B2">
        <w:rPr>
          <w:w w:val="110"/>
        </w:rPr>
        <w:t>Chuẩn mực này thay thế IAS</w:t>
      </w:r>
      <w:r w:rsidRPr="007D42B2">
        <w:rPr>
          <w:spacing w:val="-16"/>
          <w:w w:val="110"/>
        </w:rPr>
        <w:t xml:space="preserve"> </w:t>
      </w:r>
      <w:r w:rsidRPr="007D42B2">
        <w:rPr>
          <w:w w:val="110"/>
        </w:rPr>
        <w:t>3</w:t>
      </w:r>
      <w:r w:rsidRPr="007D42B2">
        <w:rPr>
          <w:spacing w:val="-16"/>
          <w:w w:val="110"/>
        </w:rPr>
        <w:t xml:space="preserve"> </w:t>
      </w:r>
      <w:r w:rsidRPr="007D42B2">
        <w:rPr>
          <w:i/>
          <w:w w:val="110"/>
        </w:rPr>
        <w:t xml:space="preserve">Báo cáo tài chính hơp nhất </w:t>
      </w:r>
      <w:r w:rsidRPr="007D42B2">
        <w:rPr>
          <w:w w:val="110"/>
        </w:rPr>
        <w:t>(ban hành vào tháng 6 năm 1976),</w:t>
      </w:r>
      <w:r w:rsidRPr="007D42B2">
        <w:rPr>
          <w:spacing w:val="9"/>
          <w:w w:val="110"/>
        </w:rPr>
        <w:t xml:space="preserve"> ngoại trừ những phần về kế toán các khoản đầu tư vào công ty liên kết</w:t>
      </w:r>
      <w:r w:rsidRPr="007D42B2">
        <w:rPr>
          <w:w w:val="110"/>
        </w:rPr>
        <w:t>.</w:t>
      </w:r>
      <w:proofErr w:type="gramEnd"/>
    </w:p>
    <w:p w:rsidR="0003077F" w:rsidRPr="007D42B2" w:rsidRDefault="0003077F" w:rsidP="00A772DB">
      <w:pPr>
        <w:spacing w:before="20"/>
        <w:ind w:hanging="1"/>
        <w:jc w:val="both"/>
      </w:pPr>
    </w:p>
    <w:p w:rsidR="0003077F" w:rsidRPr="007D42B2" w:rsidRDefault="0003077F" w:rsidP="00A772DB">
      <w:pPr>
        <w:spacing w:before="20"/>
        <w:jc w:val="both"/>
        <w:rPr>
          <w:w w:val="110"/>
        </w:rPr>
      </w:pPr>
      <w:proofErr w:type="gramStart"/>
      <w:r w:rsidRPr="007D42B2">
        <w:rPr>
          <w:w w:val="110"/>
        </w:rPr>
        <w:t xml:space="preserve">Vào tháng 12 năm 2003, Ủy ban đã ban hành IAS 27 sửa đổi với tên gọi mới là </w:t>
      </w:r>
      <w:r w:rsidRPr="007D42B2">
        <w:rPr>
          <w:i/>
          <w:w w:val="110"/>
        </w:rPr>
        <w:t>Báo cáo tài chính riêng và hợp nhất</w:t>
      </w:r>
      <w:r w:rsidRPr="007D42B2">
        <w:rPr>
          <w:w w:val="110"/>
        </w:rPr>
        <w:t>.</w:t>
      </w:r>
      <w:proofErr w:type="gramEnd"/>
      <w:r w:rsidRPr="007D42B2">
        <w:rPr>
          <w:w w:val="110"/>
        </w:rPr>
        <w:t xml:space="preserve"> IAS 27 sửa đổi này là mộ</w:t>
      </w:r>
      <w:bookmarkStart w:id="0" w:name="_GoBack"/>
      <w:bookmarkEnd w:id="0"/>
      <w:r w:rsidRPr="007D42B2">
        <w:rPr>
          <w:w w:val="110"/>
        </w:rPr>
        <w:t xml:space="preserve">t phần trong chương trình nghị sự ban đầu của các dự </w:t>
      </w:r>
      <w:proofErr w:type="gramStart"/>
      <w:r w:rsidRPr="007D42B2">
        <w:rPr>
          <w:w w:val="110"/>
        </w:rPr>
        <w:t>án</w:t>
      </w:r>
      <w:proofErr w:type="gramEnd"/>
      <w:r w:rsidRPr="007D42B2">
        <w:rPr>
          <w:w w:val="110"/>
        </w:rPr>
        <w:t xml:space="preserve"> kỹ thuật của IASB. IAS 27 sửa đổi cũng kết hợp hướng dẫn từ hai diễn giải có liên quan (SIC ‑ 12 </w:t>
      </w:r>
      <w:r w:rsidRPr="007D42B2">
        <w:rPr>
          <w:i/>
          <w:w w:val="110"/>
        </w:rPr>
        <w:t>Hợp nhất – Các đơn vị có mục đích đặc biệt</w:t>
      </w:r>
      <w:r w:rsidRPr="007D42B2">
        <w:rPr>
          <w:w w:val="110"/>
        </w:rPr>
        <w:t xml:space="preserve"> và SIC ‑ 33 </w:t>
      </w:r>
      <w:r w:rsidRPr="007D42B2">
        <w:rPr>
          <w:i/>
          <w:w w:val="110"/>
        </w:rPr>
        <w:t>Hợp nhất và phương pháp vốn chủ sở hữu - Quyền bỏ phiếu tiềm năng và phân bổ quyền sở hữu)</w:t>
      </w:r>
      <w:r w:rsidRPr="007D42B2">
        <w:rPr>
          <w:w w:val="110"/>
        </w:rPr>
        <w:t xml:space="preserve">. </w:t>
      </w:r>
    </w:p>
    <w:p w:rsidR="0003077F" w:rsidRPr="007D42B2" w:rsidRDefault="0003077F" w:rsidP="00A772DB">
      <w:pPr>
        <w:spacing w:before="20"/>
        <w:jc w:val="both"/>
        <w:rPr>
          <w:w w:val="110"/>
        </w:rPr>
      </w:pPr>
    </w:p>
    <w:p w:rsidR="0003077F" w:rsidRPr="007D42B2" w:rsidRDefault="0003077F" w:rsidP="00A772DB">
      <w:pPr>
        <w:spacing w:before="20"/>
        <w:jc w:val="both"/>
        <w:rPr>
          <w:w w:val="110"/>
        </w:rPr>
      </w:pPr>
      <w:r w:rsidRPr="007D42B2">
        <w:rPr>
          <w:w w:val="110"/>
        </w:rPr>
        <w:t xml:space="preserve">Ủy ban đã sửa đổi IAS 27 vào tháng 1 năm 2008 liên quan đến kế toán lợi ích của các cổ đông không kiểm soát và mất quyền kiểm soát ở công ty con như là một phần của dự </w:t>
      </w:r>
      <w:proofErr w:type="gramStart"/>
      <w:r w:rsidRPr="007D42B2">
        <w:rPr>
          <w:w w:val="110"/>
        </w:rPr>
        <w:t>án</w:t>
      </w:r>
      <w:proofErr w:type="gramEnd"/>
      <w:r w:rsidRPr="007D42B2">
        <w:rPr>
          <w:w w:val="110"/>
        </w:rPr>
        <w:t xml:space="preserve"> hợp nhất kinh doanh.</w:t>
      </w:r>
    </w:p>
    <w:p w:rsidR="0003077F" w:rsidRPr="007D42B2" w:rsidRDefault="0003077F" w:rsidP="00A772DB">
      <w:pPr>
        <w:spacing w:before="20"/>
        <w:jc w:val="both"/>
        <w:rPr>
          <w:w w:val="110"/>
        </w:rPr>
      </w:pPr>
    </w:p>
    <w:p w:rsidR="0003077F" w:rsidRPr="007D42B2" w:rsidRDefault="0003077F" w:rsidP="00A772DB">
      <w:pPr>
        <w:spacing w:before="20"/>
        <w:jc w:val="both"/>
      </w:pPr>
      <w:r w:rsidRPr="007D42B2">
        <w:t xml:space="preserve">Vào tháng 5 năm 2011, </w:t>
      </w:r>
      <w:r w:rsidRPr="007D42B2">
        <w:rPr>
          <w:w w:val="110"/>
        </w:rPr>
        <w:t>Ủy ban</w:t>
      </w:r>
      <w:r w:rsidRPr="007D42B2">
        <w:t xml:space="preserve"> đã ban hành IAS 27 sửa đổi với tên gọi đổi thành - </w:t>
      </w:r>
      <w:r w:rsidRPr="007D42B2">
        <w:rPr>
          <w:i/>
        </w:rPr>
        <w:t>Báo cáo tài chính riêng</w:t>
      </w:r>
      <w:r w:rsidRPr="007D42B2">
        <w:t xml:space="preserve">. </w:t>
      </w:r>
      <w:proofErr w:type="gramStart"/>
      <w:r w:rsidRPr="007D42B2">
        <w:t xml:space="preserve">IFRS 10 </w:t>
      </w:r>
      <w:r w:rsidRPr="007D42B2">
        <w:rPr>
          <w:i/>
        </w:rPr>
        <w:t xml:space="preserve">Báo cáo tài chính hợp nhất </w:t>
      </w:r>
      <w:r w:rsidRPr="007D42B2">
        <w:t>tập trung vào nguyên tắc quyền kiểm soát và các yêu cầu liên quan đến lập báo cáo tài chính hợp nhất.</w:t>
      </w:r>
      <w:proofErr w:type="gramEnd"/>
    </w:p>
    <w:p w:rsidR="0003077F" w:rsidRPr="007D42B2" w:rsidRDefault="0003077F" w:rsidP="00A772DB">
      <w:pPr>
        <w:spacing w:before="20"/>
        <w:jc w:val="both"/>
      </w:pPr>
    </w:p>
    <w:p w:rsidR="0003077F" w:rsidRPr="007D42B2" w:rsidRDefault="0003077F" w:rsidP="00A772DB">
      <w:pPr>
        <w:pStyle w:val="BodyText"/>
        <w:spacing w:before="20"/>
        <w:jc w:val="both"/>
        <w:rPr>
          <w:sz w:val="22"/>
          <w:szCs w:val="22"/>
        </w:rPr>
      </w:pPr>
      <w:r w:rsidRPr="007D42B2">
        <w:rPr>
          <w:sz w:val="22"/>
          <w:szCs w:val="22"/>
        </w:rPr>
        <w:t xml:space="preserve">Vào tháng 10 năm 2012, IAS 27 sửa đổi phần </w:t>
      </w:r>
      <w:r w:rsidRPr="007D42B2">
        <w:rPr>
          <w:i/>
          <w:sz w:val="22"/>
          <w:szCs w:val="22"/>
        </w:rPr>
        <w:t xml:space="preserve">Các </w:t>
      </w:r>
      <w:r w:rsidRPr="007D42B2">
        <w:rPr>
          <w:sz w:val="22"/>
          <w:szCs w:val="22"/>
        </w:rPr>
        <w:t>đ</w:t>
      </w:r>
      <w:r w:rsidRPr="007D42B2">
        <w:rPr>
          <w:i/>
          <w:sz w:val="22"/>
          <w:szCs w:val="22"/>
        </w:rPr>
        <w:t xml:space="preserve">ơn vị quản lý quỹ đầu tư </w:t>
      </w:r>
      <w:r w:rsidRPr="007D42B2">
        <w:rPr>
          <w:sz w:val="22"/>
          <w:szCs w:val="22"/>
        </w:rPr>
        <w:t xml:space="preserve">(Các sửa đổi IFRS 10, IFRS 12 và IAS 27). Những sửa đổi này đưa ra các yêu cầu </w:t>
      </w:r>
      <w:r w:rsidR="00A941C2" w:rsidRPr="007D42B2">
        <w:rPr>
          <w:sz w:val="22"/>
          <w:szCs w:val="22"/>
        </w:rPr>
        <w:t>thuyết minh</w:t>
      </w:r>
      <w:r w:rsidRPr="007D42B2">
        <w:rPr>
          <w:sz w:val="22"/>
          <w:szCs w:val="22"/>
        </w:rPr>
        <w:t xml:space="preserve"> mới cho các đơn vị quản lý quỹ đầu </w:t>
      </w:r>
      <w:proofErr w:type="gramStart"/>
      <w:r w:rsidRPr="007D42B2">
        <w:rPr>
          <w:sz w:val="22"/>
          <w:szCs w:val="22"/>
        </w:rPr>
        <w:t>tư</w:t>
      </w:r>
      <w:proofErr w:type="gramEnd"/>
      <w:r w:rsidRPr="007D42B2">
        <w:rPr>
          <w:sz w:val="22"/>
          <w:szCs w:val="22"/>
        </w:rPr>
        <w:t>.</w:t>
      </w:r>
    </w:p>
    <w:p w:rsidR="0003077F" w:rsidRPr="007D42B2" w:rsidRDefault="0003077F" w:rsidP="00A772DB">
      <w:pPr>
        <w:pStyle w:val="BodyText"/>
        <w:spacing w:before="20"/>
        <w:jc w:val="both"/>
        <w:rPr>
          <w:sz w:val="22"/>
          <w:szCs w:val="22"/>
        </w:rPr>
      </w:pPr>
    </w:p>
    <w:p w:rsidR="0003077F" w:rsidRPr="007D42B2" w:rsidRDefault="0003077F" w:rsidP="00A772DB">
      <w:pPr>
        <w:pStyle w:val="BodyText"/>
        <w:spacing w:before="20"/>
        <w:jc w:val="both"/>
        <w:rPr>
          <w:w w:val="110"/>
          <w:sz w:val="22"/>
          <w:szCs w:val="22"/>
        </w:rPr>
      </w:pPr>
      <w:proofErr w:type="gramStart"/>
      <w:r w:rsidRPr="007D42B2">
        <w:rPr>
          <w:sz w:val="22"/>
          <w:szCs w:val="22"/>
        </w:rPr>
        <w:t xml:space="preserve">Vào tháng 8 năm 2014, IAS 27 được sửa đổi phần </w:t>
      </w:r>
      <w:r w:rsidRPr="007D42B2">
        <w:rPr>
          <w:i/>
          <w:sz w:val="22"/>
          <w:szCs w:val="22"/>
        </w:rPr>
        <w:t>Phương pháp vốn chủ sở hữu trong Báo cáo tài chính riêng</w:t>
      </w:r>
      <w:r w:rsidRPr="007D42B2">
        <w:rPr>
          <w:sz w:val="22"/>
          <w:szCs w:val="22"/>
        </w:rPr>
        <w:t xml:space="preserve"> (Sửa đổi IAS 27).</w:t>
      </w:r>
      <w:proofErr w:type="gramEnd"/>
      <w:r w:rsidRPr="007D42B2">
        <w:rPr>
          <w:sz w:val="22"/>
          <w:szCs w:val="22"/>
        </w:rPr>
        <w:t xml:space="preserve"> Những sửa đổi này cho phép các đơn vị sử dụng phương pháp vốn chủ sở hữu để kế toán các khoản đầu tư vào các công ty con, công ty liên doanh và công ty liên kết trong báo cáo tài chính riêng</w:t>
      </w:r>
      <w:r w:rsidRPr="007D42B2">
        <w:rPr>
          <w:w w:val="110"/>
          <w:sz w:val="22"/>
          <w:szCs w:val="22"/>
        </w:rPr>
        <w:t>.</w:t>
      </w:r>
    </w:p>
    <w:p w:rsidR="0003077F" w:rsidRPr="007D42B2" w:rsidRDefault="0003077F" w:rsidP="00A772DB">
      <w:pPr>
        <w:pStyle w:val="BodyText"/>
        <w:spacing w:before="20"/>
        <w:jc w:val="both"/>
        <w:rPr>
          <w:w w:val="110"/>
          <w:sz w:val="22"/>
          <w:szCs w:val="22"/>
        </w:rPr>
      </w:pPr>
    </w:p>
    <w:p w:rsidR="0003077F" w:rsidRPr="007D42B2" w:rsidRDefault="0003077F" w:rsidP="00A772DB">
      <w:pPr>
        <w:pStyle w:val="BodyText"/>
        <w:spacing w:before="20"/>
        <w:jc w:val="both"/>
        <w:rPr>
          <w:w w:val="110"/>
          <w:sz w:val="22"/>
          <w:szCs w:val="22"/>
        </w:rPr>
      </w:pPr>
    </w:p>
    <w:p w:rsidR="0003077F" w:rsidRPr="007D42B2" w:rsidRDefault="0003077F" w:rsidP="00A772DB">
      <w:pPr>
        <w:widowControl/>
        <w:autoSpaceDE/>
        <w:autoSpaceDN/>
        <w:spacing w:before="20"/>
        <w:jc w:val="both"/>
        <w:rPr>
          <w:w w:val="110"/>
        </w:rPr>
      </w:pPr>
      <w:r w:rsidRPr="007D42B2">
        <w:rPr>
          <w:w w:val="110"/>
        </w:rPr>
        <w:br w:type="page"/>
      </w:r>
    </w:p>
    <w:p w:rsidR="0003077F" w:rsidRPr="007D42B2" w:rsidRDefault="0003077F" w:rsidP="00A772DB">
      <w:pPr>
        <w:pStyle w:val="Heading5"/>
        <w:spacing w:before="20"/>
        <w:jc w:val="both"/>
        <w:rPr>
          <w:rFonts w:ascii="Times New Roman" w:hAnsi="Times New Roman" w:cs="Times New Roman"/>
          <w:color w:val="auto"/>
        </w:rPr>
      </w:pPr>
      <w:r w:rsidRPr="007D42B2">
        <w:rPr>
          <w:rFonts w:ascii="Times New Roman" w:hAnsi="Times New Roman" w:cs="Times New Roman"/>
          <w:color w:val="auto"/>
        </w:rPr>
        <w:lastRenderedPageBreak/>
        <w:t>MỤC LỤC</w:t>
      </w:r>
    </w:p>
    <w:p w:rsidR="0003077F" w:rsidRPr="007D42B2" w:rsidRDefault="0003077F" w:rsidP="00A772DB">
      <w:pPr>
        <w:pStyle w:val="BodyText"/>
        <w:spacing w:before="20"/>
        <w:jc w:val="both"/>
        <w:rPr>
          <w:sz w:val="22"/>
          <w:szCs w:val="22"/>
        </w:rPr>
      </w:pPr>
    </w:p>
    <w:p w:rsidR="0003077F" w:rsidRPr="007D42B2" w:rsidRDefault="0003077F" w:rsidP="00E45550">
      <w:pPr>
        <w:spacing w:before="20"/>
        <w:ind w:right="30"/>
        <w:jc w:val="right"/>
        <w:rPr>
          <w:i/>
        </w:rPr>
      </w:pPr>
      <w:r w:rsidRPr="007D42B2">
        <w:rPr>
          <w:i/>
        </w:rPr>
        <w:t>Từ đoạn</w:t>
      </w:r>
    </w:p>
    <w:p w:rsidR="0003077F" w:rsidRPr="007D42B2" w:rsidRDefault="0003077F" w:rsidP="00A772DB">
      <w:pPr>
        <w:pStyle w:val="Heading3"/>
        <w:spacing w:before="20"/>
        <w:jc w:val="both"/>
        <w:rPr>
          <w:rFonts w:ascii="Times New Roman" w:hAnsi="Times New Roman" w:cs="Times New Roman"/>
          <w:b/>
          <w:color w:val="auto"/>
          <w:sz w:val="30"/>
          <w:szCs w:val="32"/>
        </w:rPr>
      </w:pPr>
      <w:r w:rsidRPr="007D42B2">
        <w:rPr>
          <w:rFonts w:ascii="Times New Roman" w:hAnsi="Times New Roman" w:cs="Times New Roman"/>
          <w:b/>
          <w:color w:val="auto"/>
          <w:sz w:val="30"/>
          <w:szCs w:val="32"/>
        </w:rPr>
        <w:t>CHUẨN MỰC KẾ TOÁN QUỐC TẾ 27</w:t>
      </w:r>
    </w:p>
    <w:p w:rsidR="0003077F" w:rsidRPr="007D42B2" w:rsidRDefault="0003077F" w:rsidP="00A772DB">
      <w:pPr>
        <w:pStyle w:val="Heading4"/>
        <w:spacing w:before="20"/>
        <w:jc w:val="both"/>
        <w:rPr>
          <w:rFonts w:ascii="Times New Roman" w:hAnsi="Times New Roman" w:cs="Times New Roman"/>
          <w:b/>
          <w:color w:val="auto"/>
          <w:sz w:val="30"/>
          <w:szCs w:val="32"/>
        </w:rPr>
      </w:pPr>
      <w:r w:rsidRPr="007D42B2">
        <w:rPr>
          <w:rFonts w:ascii="Times New Roman" w:hAnsi="Times New Roman" w:cs="Times New Roman"/>
          <w:b/>
          <w:color w:val="auto"/>
          <w:sz w:val="30"/>
          <w:szCs w:val="32"/>
        </w:rPr>
        <w:t>BÁO CÁO TÀI CHÍNH RIÊNG</w:t>
      </w:r>
    </w:p>
    <w:p w:rsidR="00A772DB" w:rsidRPr="007D42B2" w:rsidRDefault="00A772DB" w:rsidP="00A772DB">
      <w:pPr>
        <w:tabs>
          <w:tab w:val="right" w:pos="8280"/>
        </w:tabs>
        <w:spacing w:before="20"/>
        <w:jc w:val="both"/>
        <w:rPr>
          <w:b/>
        </w:rPr>
      </w:pPr>
    </w:p>
    <w:p w:rsidR="0003077F" w:rsidRPr="007D42B2" w:rsidRDefault="0003077F" w:rsidP="00A772DB">
      <w:pPr>
        <w:tabs>
          <w:tab w:val="right" w:pos="9000"/>
        </w:tabs>
        <w:spacing w:before="120"/>
        <w:jc w:val="both"/>
        <w:rPr>
          <w:b/>
        </w:rPr>
      </w:pPr>
      <w:r w:rsidRPr="007D42B2">
        <w:rPr>
          <w:b/>
        </w:rPr>
        <w:t>MỤC TIÊU</w:t>
      </w:r>
      <w:r w:rsidRPr="007D42B2">
        <w:rPr>
          <w:b/>
        </w:rPr>
        <w:tab/>
        <w:t>1</w:t>
      </w:r>
    </w:p>
    <w:p w:rsidR="0003077F" w:rsidRPr="007D42B2" w:rsidRDefault="0003077F" w:rsidP="00A772DB">
      <w:pPr>
        <w:tabs>
          <w:tab w:val="right" w:pos="9000"/>
        </w:tabs>
        <w:spacing w:before="120"/>
        <w:jc w:val="both"/>
        <w:rPr>
          <w:b/>
        </w:rPr>
      </w:pPr>
      <w:r w:rsidRPr="007D42B2">
        <w:rPr>
          <w:b/>
        </w:rPr>
        <w:t>PHẠM VI</w:t>
      </w:r>
      <w:r w:rsidRPr="007D42B2">
        <w:rPr>
          <w:b/>
        </w:rPr>
        <w:tab/>
        <w:t>2</w:t>
      </w:r>
    </w:p>
    <w:p w:rsidR="0003077F" w:rsidRPr="007D42B2" w:rsidRDefault="0003077F" w:rsidP="00A772DB">
      <w:pPr>
        <w:tabs>
          <w:tab w:val="right" w:pos="9000"/>
        </w:tabs>
        <w:spacing w:before="120"/>
        <w:jc w:val="both"/>
        <w:rPr>
          <w:b/>
        </w:rPr>
      </w:pPr>
      <w:r w:rsidRPr="007D42B2">
        <w:rPr>
          <w:b/>
        </w:rPr>
        <w:t>CÁC ĐỊNH NGHĨA</w:t>
      </w:r>
      <w:r w:rsidRPr="007D42B2">
        <w:rPr>
          <w:b/>
        </w:rPr>
        <w:tab/>
        <w:t>4</w:t>
      </w:r>
    </w:p>
    <w:p w:rsidR="0003077F" w:rsidRPr="007D42B2" w:rsidRDefault="0003077F" w:rsidP="00A772DB">
      <w:pPr>
        <w:tabs>
          <w:tab w:val="right" w:pos="9000"/>
        </w:tabs>
        <w:spacing w:before="120"/>
        <w:jc w:val="both"/>
        <w:rPr>
          <w:b/>
        </w:rPr>
      </w:pPr>
      <w:r w:rsidRPr="007D42B2">
        <w:rPr>
          <w:b/>
          <w:spacing w:val="-3"/>
        </w:rPr>
        <w:t>LẬP BÁO CÁO TÀI CHÍNH RIÊNG</w:t>
      </w:r>
      <w:r w:rsidRPr="007D42B2">
        <w:rPr>
          <w:b/>
          <w:spacing w:val="-3"/>
        </w:rPr>
        <w:tab/>
      </w:r>
      <w:r w:rsidRPr="007D42B2">
        <w:rPr>
          <w:b/>
        </w:rPr>
        <w:t>9</w:t>
      </w:r>
    </w:p>
    <w:p w:rsidR="0003077F" w:rsidRPr="007D42B2" w:rsidRDefault="00A772DB" w:rsidP="00A772DB">
      <w:pPr>
        <w:tabs>
          <w:tab w:val="right" w:pos="9000"/>
        </w:tabs>
        <w:spacing w:before="120"/>
        <w:jc w:val="both"/>
        <w:rPr>
          <w:b/>
        </w:rPr>
      </w:pPr>
      <w:r w:rsidRPr="007D42B2">
        <w:rPr>
          <w:b/>
        </w:rPr>
        <w:t>THUYẾT MINH</w:t>
      </w:r>
      <w:r w:rsidR="0003077F" w:rsidRPr="007D42B2">
        <w:rPr>
          <w:b/>
        </w:rPr>
        <w:tab/>
        <w:t>15</w:t>
      </w:r>
    </w:p>
    <w:p w:rsidR="0003077F" w:rsidRPr="007D42B2" w:rsidRDefault="0003077F" w:rsidP="00A772DB">
      <w:pPr>
        <w:tabs>
          <w:tab w:val="right" w:pos="9000"/>
        </w:tabs>
        <w:spacing w:before="120"/>
        <w:jc w:val="both"/>
        <w:rPr>
          <w:b/>
        </w:rPr>
      </w:pPr>
      <w:r w:rsidRPr="007D42B2">
        <w:rPr>
          <w:b/>
        </w:rPr>
        <w:t>NGÀY CÓ HIỆU LỰC VÀ CHUYỂN ĐỔI</w:t>
      </w:r>
      <w:r w:rsidRPr="007D42B2">
        <w:rPr>
          <w:b/>
        </w:rPr>
        <w:tab/>
        <w:t>18</w:t>
      </w:r>
    </w:p>
    <w:p w:rsidR="0003077F" w:rsidRPr="007D42B2" w:rsidRDefault="0003077F" w:rsidP="00A772DB">
      <w:pPr>
        <w:tabs>
          <w:tab w:val="right" w:pos="9000"/>
        </w:tabs>
        <w:spacing w:before="120"/>
        <w:jc w:val="both"/>
        <w:rPr>
          <w:b/>
        </w:rPr>
      </w:pPr>
      <w:r w:rsidRPr="007D42B2">
        <w:rPr>
          <w:b/>
        </w:rPr>
        <w:t xml:space="preserve">Tham chiếu đến </w:t>
      </w:r>
      <w:hyperlink w:anchor="_bookmark7" w:history="1"/>
      <w:hyperlink w:anchor="_bookmark0" w:history="1">
        <w:r w:rsidRPr="007D42B2">
          <w:rPr>
            <w:b/>
          </w:rPr>
          <w:t>IFRS 9</w:t>
        </w:r>
      </w:hyperlink>
      <w:r w:rsidRPr="007D42B2">
        <w:rPr>
          <w:b/>
        </w:rPr>
        <w:tab/>
        <w:t>19</w:t>
      </w:r>
    </w:p>
    <w:p w:rsidR="0003077F" w:rsidRPr="007D42B2" w:rsidRDefault="00CE63C4" w:rsidP="00A772DB">
      <w:pPr>
        <w:tabs>
          <w:tab w:val="right" w:pos="9000"/>
        </w:tabs>
        <w:spacing w:before="120"/>
        <w:jc w:val="both"/>
        <w:rPr>
          <w:b/>
        </w:rPr>
      </w:pPr>
      <w:r w:rsidRPr="007D42B2">
        <w:rPr>
          <w:b/>
        </w:rPr>
        <w:t>THU HỒI</w:t>
      </w:r>
      <w:hyperlink w:anchor="_bookmark0" w:history="1">
        <w:r w:rsidR="0003077F" w:rsidRPr="007D42B2">
          <w:rPr>
            <w:b/>
          </w:rPr>
          <w:t xml:space="preserve"> IAS</w:t>
        </w:r>
        <w:r w:rsidR="0003077F" w:rsidRPr="007D42B2">
          <w:rPr>
            <w:b/>
            <w:spacing w:val="-1"/>
          </w:rPr>
          <w:t xml:space="preserve"> </w:t>
        </w:r>
        <w:r w:rsidR="0003077F" w:rsidRPr="007D42B2">
          <w:rPr>
            <w:b/>
          </w:rPr>
          <w:t>27 (2008)</w:t>
        </w:r>
      </w:hyperlink>
      <w:r w:rsidR="0003077F" w:rsidRPr="007D42B2">
        <w:rPr>
          <w:b/>
        </w:rPr>
        <w:tab/>
        <w:t>20</w:t>
      </w:r>
    </w:p>
    <w:p w:rsidR="0003077F" w:rsidRPr="007D42B2" w:rsidRDefault="0003077F" w:rsidP="00A772DB">
      <w:pPr>
        <w:tabs>
          <w:tab w:val="right" w:pos="8280"/>
        </w:tabs>
        <w:spacing w:before="120"/>
        <w:jc w:val="both"/>
        <w:rPr>
          <w:b/>
        </w:rPr>
      </w:pPr>
      <w:r w:rsidRPr="007D42B2">
        <w:rPr>
          <w:b/>
        </w:rPr>
        <w:t xml:space="preserve">PHÊ CHUẨN CỦA ỦY BAN VỀ IAS 27 ĐƯỢC BAN HÀNH </w:t>
      </w:r>
      <w:hyperlink w:anchor="_bookmark0" w:history="1">
        <w:r w:rsidRPr="007D42B2">
          <w:rPr>
            <w:b/>
          </w:rPr>
          <w:t>VÀO THÁNG 3 NĂM 2003</w:t>
        </w:r>
      </w:hyperlink>
    </w:p>
    <w:p w:rsidR="0003077F" w:rsidRPr="007D42B2" w:rsidRDefault="0003077F" w:rsidP="00A772DB">
      <w:pPr>
        <w:tabs>
          <w:tab w:val="right" w:pos="8280"/>
        </w:tabs>
        <w:spacing w:before="120"/>
        <w:jc w:val="both"/>
        <w:rPr>
          <w:b/>
        </w:rPr>
      </w:pPr>
      <w:r w:rsidRPr="007D42B2">
        <w:rPr>
          <w:b/>
        </w:rPr>
        <w:t>PHÊ CHUẨN CỦA ỦY BAN VỀ CÁC SỬA ĐỔI CỦA IAS 27:</w:t>
      </w:r>
    </w:p>
    <w:p w:rsidR="0003077F" w:rsidRPr="007D42B2" w:rsidRDefault="0003077F" w:rsidP="00A772DB">
      <w:pPr>
        <w:tabs>
          <w:tab w:val="right" w:pos="8460"/>
        </w:tabs>
        <w:spacing w:before="120"/>
        <w:ind w:right="570"/>
        <w:jc w:val="both"/>
        <w:rPr>
          <w:b/>
          <w:i/>
        </w:rPr>
      </w:pPr>
      <w:r w:rsidRPr="007D42B2">
        <w:rPr>
          <w:b/>
          <w:i/>
        </w:rPr>
        <w:t xml:space="preserve">Giá gốc </w:t>
      </w:r>
      <w:hyperlink w:anchor="_bookmark10" w:history="1">
        <w:r w:rsidRPr="007D42B2">
          <w:rPr>
            <w:b/>
            <w:i/>
          </w:rPr>
          <w:t xml:space="preserve">khoản đầu tư vào công ty con, đơn vị đồng kiểm soát hoặc công ty liên kết </w:t>
        </w:r>
      </w:hyperlink>
    </w:p>
    <w:p w:rsidR="0003077F" w:rsidRPr="007D42B2" w:rsidRDefault="009700D9" w:rsidP="00A772DB">
      <w:pPr>
        <w:tabs>
          <w:tab w:val="right" w:pos="8460"/>
        </w:tabs>
        <w:spacing w:before="120"/>
        <w:ind w:right="570"/>
        <w:jc w:val="both"/>
        <w:rPr>
          <w:b/>
        </w:rPr>
      </w:pPr>
      <w:hyperlink w:anchor="_bookmark10" w:history="1">
        <w:r w:rsidR="0003077F" w:rsidRPr="007D42B2">
          <w:rPr>
            <w:b/>
          </w:rPr>
          <w:t xml:space="preserve">(Sửa đổi </w:t>
        </w:r>
      </w:hyperlink>
      <w:hyperlink w:anchor="_bookmark0" w:history="1">
        <w:r w:rsidR="0003077F" w:rsidRPr="007D42B2">
          <w:rPr>
            <w:b/>
          </w:rPr>
          <w:t xml:space="preserve"> IFRS 1 và IAS 27) được ban hành vào tháng 5 năm 2008</w:t>
        </w:r>
      </w:hyperlink>
    </w:p>
    <w:p w:rsidR="0003077F" w:rsidRPr="007D42B2" w:rsidRDefault="009700D9" w:rsidP="00A772DB">
      <w:pPr>
        <w:tabs>
          <w:tab w:val="right" w:pos="8460"/>
        </w:tabs>
        <w:spacing w:before="120"/>
        <w:ind w:right="570"/>
        <w:jc w:val="both"/>
        <w:rPr>
          <w:b/>
        </w:rPr>
      </w:pPr>
      <w:hyperlink w:anchor="_bookmark11" w:history="1">
        <w:r w:rsidR="0003077F" w:rsidRPr="007D42B2">
          <w:rPr>
            <w:b/>
            <w:i/>
          </w:rPr>
          <w:t xml:space="preserve">Các đơn vị quản lý quỹ đầu tư </w:t>
        </w:r>
      </w:hyperlink>
      <w:hyperlink w:anchor="_bookmark0" w:history="1">
        <w:r w:rsidR="0003077F" w:rsidRPr="007D42B2">
          <w:rPr>
            <w:b/>
            <w:i/>
          </w:rPr>
          <w:t xml:space="preserve"> </w:t>
        </w:r>
        <w:r w:rsidR="0003077F" w:rsidRPr="007D42B2">
          <w:rPr>
            <w:b/>
          </w:rPr>
          <w:t xml:space="preserve">(Sửa đổi IFRS 10, IFRS 12 và IAS 27) được ban hành vào tháng 10 năm </w:t>
        </w:r>
      </w:hyperlink>
      <w:hyperlink w:anchor="_bookmark0" w:history="1">
        <w:r w:rsidR="0003077F" w:rsidRPr="007D42B2">
          <w:rPr>
            <w:b/>
          </w:rPr>
          <w:t>2012</w:t>
        </w:r>
      </w:hyperlink>
    </w:p>
    <w:p w:rsidR="0003077F" w:rsidRPr="007D42B2" w:rsidRDefault="0003077F" w:rsidP="00A772DB">
      <w:pPr>
        <w:tabs>
          <w:tab w:val="right" w:pos="8460"/>
        </w:tabs>
        <w:spacing w:before="120"/>
        <w:ind w:right="570"/>
        <w:jc w:val="both"/>
        <w:rPr>
          <w:b/>
        </w:rPr>
      </w:pPr>
      <w:r w:rsidRPr="007D42B2">
        <w:rPr>
          <w:b/>
          <w:i/>
        </w:rPr>
        <w:t>Phương pháp vốn chủ sở hữu trong báo cáo tài chính riêng</w:t>
      </w:r>
      <w:hyperlink w:anchor="_bookmark0" w:history="1">
        <w:r w:rsidRPr="007D42B2">
          <w:rPr>
            <w:b/>
            <w:i/>
          </w:rPr>
          <w:t xml:space="preserve"> </w:t>
        </w:r>
        <w:r w:rsidRPr="007D42B2">
          <w:rPr>
            <w:b/>
          </w:rPr>
          <w:t xml:space="preserve">(Sửa đổi IAS 27) được ban hành vào tháng 8 năm </w:t>
        </w:r>
      </w:hyperlink>
      <w:r w:rsidRPr="007D42B2">
        <w:rPr>
          <w:b/>
        </w:rPr>
        <w:t>2014</w:t>
      </w:r>
    </w:p>
    <w:p w:rsidR="0003077F" w:rsidRPr="007D42B2" w:rsidRDefault="0003077F" w:rsidP="00A772DB">
      <w:pPr>
        <w:tabs>
          <w:tab w:val="right" w:pos="8280"/>
        </w:tabs>
        <w:spacing w:before="120"/>
        <w:jc w:val="both"/>
      </w:pPr>
    </w:p>
    <w:tbl>
      <w:tblPr>
        <w:tblStyle w:val="TableGrid"/>
        <w:tblW w:w="0" w:type="auto"/>
        <w:tblCellMar>
          <w:left w:w="29" w:type="dxa"/>
          <w:right w:w="29" w:type="dxa"/>
        </w:tblCellMar>
        <w:tblLook w:val="04A0"/>
      </w:tblPr>
      <w:tblGrid>
        <w:gridCol w:w="9088"/>
      </w:tblGrid>
      <w:tr w:rsidR="00704D04" w:rsidRPr="007D42B2" w:rsidTr="0003077F">
        <w:tc>
          <w:tcPr>
            <w:tcW w:w="9350" w:type="dxa"/>
          </w:tcPr>
          <w:p w:rsidR="0003077F" w:rsidRPr="007D42B2" w:rsidRDefault="0003077F" w:rsidP="00A772DB">
            <w:pPr>
              <w:tabs>
                <w:tab w:val="right" w:pos="8280"/>
              </w:tabs>
              <w:spacing w:before="120"/>
              <w:jc w:val="both"/>
              <w:rPr>
                <w:b/>
              </w:rPr>
            </w:pPr>
            <w:r w:rsidRPr="007D42B2">
              <w:rPr>
                <w:b/>
              </w:rPr>
              <w:t>HƯỚNG DẪN KÈM THEO ĐƯỢC LIỆT KÊ BÊN DƯỚI, XEM PHẦN B CỦA PHIÊN BẢN NÀY</w:t>
            </w:r>
          </w:p>
        </w:tc>
      </w:tr>
    </w:tbl>
    <w:p w:rsidR="0003077F" w:rsidRPr="007D42B2" w:rsidRDefault="009700D9" w:rsidP="00A772DB">
      <w:pPr>
        <w:tabs>
          <w:tab w:val="right" w:pos="8280"/>
        </w:tabs>
        <w:spacing w:before="120"/>
        <w:jc w:val="both"/>
        <w:rPr>
          <w:b/>
        </w:rPr>
      </w:pPr>
      <w:hyperlink w:anchor="_bookmark0" w:history="1">
        <w:r w:rsidR="0003077F" w:rsidRPr="007D42B2">
          <w:rPr>
            <w:b/>
          </w:rPr>
          <w:t xml:space="preserve">MỤC LỤC CÁC ĐỀ MỤC </w:t>
        </w:r>
      </w:hyperlink>
    </w:p>
    <w:tbl>
      <w:tblPr>
        <w:tblStyle w:val="TableGrid"/>
        <w:tblW w:w="0" w:type="auto"/>
        <w:tblCellMar>
          <w:left w:w="29" w:type="dxa"/>
          <w:right w:w="29" w:type="dxa"/>
        </w:tblCellMar>
        <w:tblLook w:val="04A0"/>
      </w:tblPr>
      <w:tblGrid>
        <w:gridCol w:w="9020"/>
      </w:tblGrid>
      <w:tr w:rsidR="00704D04" w:rsidRPr="007D42B2" w:rsidTr="00A772DB">
        <w:tc>
          <w:tcPr>
            <w:tcW w:w="9020" w:type="dxa"/>
          </w:tcPr>
          <w:p w:rsidR="0003077F" w:rsidRPr="007D42B2" w:rsidRDefault="0003077F" w:rsidP="00A772DB">
            <w:pPr>
              <w:tabs>
                <w:tab w:val="right" w:pos="8280"/>
              </w:tabs>
              <w:spacing w:before="120"/>
              <w:jc w:val="both"/>
              <w:rPr>
                <w:b/>
              </w:rPr>
            </w:pPr>
            <w:r w:rsidRPr="007D42B2">
              <w:rPr>
                <w:b/>
              </w:rPr>
              <w:t>CƠ SỞ CHO CÁC KẾT LUẬN, XEM PHẦN C CỦA PHIÊN BẢN NÀY</w:t>
            </w:r>
          </w:p>
        </w:tc>
      </w:tr>
    </w:tbl>
    <w:p w:rsidR="0003077F" w:rsidRPr="007D42B2" w:rsidRDefault="0003077F" w:rsidP="00A772DB">
      <w:pPr>
        <w:tabs>
          <w:tab w:val="right" w:pos="8280"/>
        </w:tabs>
        <w:spacing w:before="120"/>
        <w:jc w:val="both"/>
        <w:rPr>
          <w:b/>
        </w:rPr>
      </w:pPr>
      <w:r w:rsidRPr="007D42B2">
        <w:rPr>
          <w:b/>
        </w:rPr>
        <w:t>CƠ SỞ CHO CÁC KẾT LUẬN</w:t>
      </w:r>
    </w:p>
    <w:p w:rsidR="0003077F" w:rsidRPr="007D42B2" w:rsidRDefault="0003077F" w:rsidP="00A772DB">
      <w:pPr>
        <w:tabs>
          <w:tab w:val="right" w:pos="8280"/>
        </w:tabs>
        <w:spacing w:before="120"/>
        <w:jc w:val="both"/>
      </w:pPr>
      <w:r w:rsidRPr="007D42B2">
        <w:rPr>
          <w:b/>
        </w:rPr>
        <w:t>CÁC Ý KIẾN BẤT ĐỒNG</w:t>
      </w:r>
    </w:p>
    <w:p w:rsidR="0003077F" w:rsidRPr="007D42B2" w:rsidRDefault="0003077F" w:rsidP="00A772DB">
      <w:pPr>
        <w:pStyle w:val="BodyText"/>
        <w:spacing w:before="20"/>
        <w:ind w:left="1069" w:right="557"/>
        <w:jc w:val="both"/>
        <w:rPr>
          <w:sz w:val="22"/>
          <w:szCs w:val="22"/>
        </w:rPr>
      </w:pPr>
    </w:p>
    <w:p w:rsidR="0003077F" w:rsidRPr="007D42B2" w:rsidRDefault="0003077F" w:rsidP="00A772DB">
      <w:pPr>
        <w:spacing w:before="20"/>
        <w:jc w:val="both"/>
      </w:pPr>
    </w:p>
    <w:p w:rsidR="0003077F" w:rsidRPr="007D42B2" w:rsidRDefault="0003077F" w:rsidP="00A772DB">
      <w:pPr>
        <w:widowControl/>
        <w:autoSpaceDE/>
        <w:autoSpaceDN/>
        <w:spacing w:before="20"/>
        <w:jc w:val="both"/>
      </w:pPr>
      <w:r w:rsidRPr="007D42B2">
        <w:br w:type="page"/>
      </w:r>
    </w:p>
    <w:p w:rsidR="0003077F" w:rsidRPr="007D42B2" w:rsidRDefault="0003077F" w:rsidP="00A772DB">
      <w:pPr>
        <w:spacing w:before="20"/>
        <w:jc w:val="both"/>
      </w:pPr>
    </w:p>
    <w:p w:rsidR="0003077F" w:rsidRPr="007D42B2" w:rsidRDefault="0003077F" w:rsidP="00A772DB">
      <w:pPr>
        <w:spacing w:before="20"/>
        <w:jc w:val="both"/>
      </w:pPr>
    </w:p>
    <w:tbl>
      <w:tblPr>
        <w:tblStyle w:val="TableGrid"/>
        <w:tblW w:w="0" w:type="auto"/>
        <w:tblInd w:w="805" w:type="dxa"/>
        <w:tblLook w:val="04A0"/>
      </w:tblPr>
      <w:tblGrid>
        <w:gridCol w:w="8190"/>
      </w:tblGrid>
      <w:tr w:rsidR="00704D04" w:rsidRPr="007D42B2" w:rsidTr="0003077F">
        <w:tc>
          <w:tcPr>
            <w:tcW w:w="8190" w:type="dxa"/>
          </w:tcPr>
          <w:p w:rsidR="0003077F" w:rsidRPr="007D42B2" w:rsidRDefault="0003077F" w:rsidP="00A772DB">
            <w:pPr>
              <w:spacing w:before="20"/>
              <w:jc w:val="both"/>
            </w:pPr>
          </w:p>
          <w:p w:rsidR="0003077F" w:rsidRPr="007D42B2" w:rsidRDefault="004D3F32" w:rsidP="00A772DB">
            <w:pPr>
              <w:spacing w:before="20"/>
              <w:jc w:val="both"/>
            </w:pPr>
            <w:r w:rsidRPr="007D42B2">
              <w:t>Chuẩn mực K</w:t>
            </w:r>
            <w:r w:rsidR="0003077F" w:rsidRPr="007D42B2">
              <w:t xml:space="preserve">ế toán </w:t>
            </w:r>
            <w:r w:rsidRPr="007D42B2">
              <w:t>Q</w:t>
            </w:r>
            <w:r w:rsidR="0003077F" w:rsidRPr="007D42B2">
              <w:t xml:space="preserve">uốc tế 27 </w:t>
            </w:r>
            <w:r w:rsidR="0003077F" w:rsidRPr="007D42B2">
              <w:rPr>
                <w:i/>
              </w:rPr>
              <w:t>Báo cáo tài chính riêng</w:t>
            </w:r>
            <w:r w:rsidR="0003077F" w:rsidRPr="007D42B2">
              <w:t xml:space="preserve"> (IAS 27) đưa ra các yêu cầu trong các đoạn từ 1-20. Tất cả các đoạn có giá trị ngang nhau nhưng vẫn giữ định dạng IASC của chuẩn mực khi được IASB thông qua. Phải đọc IAS 27 trong ngữ cảnh về mục </w:t>
            </w:r>
            <w:r w:rsidR="004A075A" w:rsidRPr="007D42B2">
              <w:t>tiêu</w:t>
            </w:r>
            <w:r w:rsidR="0003077F" w:rsidRPr="007D42B2">
              <w:t xml:space="preserve"> của chuẩn mực và cơ sở cho các kết luận, </w:t>
            </w:r>
            <w:r w:rsidR="0003077F" w:rsidRPr="007D42B2">
              <w:rPr>
                <w:i/>
              </w:rPr>
              <w:t xml:space="preserve">lời nói đầu của các chuẩn mực IFRS </w:t>
            </w:r>
            <w:r w:rsidR="0003077F" w:rsidRPr="007D42B2">
              <w:t xml:space="preserve">và </w:t>
            </w:r>
            <w:r w:rsidR="00FE32A9" w:rsidRPr="007D42B2">
              <w:rPr>
                <w:i/>
              </w:rPr>
              <w:t>Khung</w:t>
            </w:r>
            <w:r w:rsidR="00D54A00" w:rsidRPr="007D42B2">
              <w:rPr>
                <w:i/>
              </w:rPr>
              <w:t xml:space="preserve"> khái niệm </w:t>
            </w:r>
            <w:r w:rsidR="0003077F" w:rsidRPr="007D42B2">
              <w:rPr>
                <w:i/>
              </w:rPr>
              <w:t>của báo cáo tài chính</w:t>
            </w:r>
            <w:r w:rsidR="0003077F" w:rsidRPr="007D42B2">
              <w:t xml:space="preserve">. IAS 8 </w:t>
            </w:r>
            <w:r w:rsidR="00FE32A9" w:rsidRPr="007D42B2">
              <w:rPr>
                <w:i/>
              </w:rPr>
              <w:t>Các c</w:t>
            </w:r>
            <w:r w:rsidR="0003077F" w:rsidRPr="007D42B2">
              <w:rPr>
                <w:i/>
              </w:rPr>
              <w:t xml:space="preserve">hính sách kế toán, các thay đổi về ước tính kế toán và các sai sót </w:t>
            </w:r>
            <w:r w:rsidR="0003077F" w:rsidRPr="007D42B2">
              <w:t>cung cấp cơ sở để lựa chọn và áp dụng các chính sách kế toán trong trường hợp không có hướng dẫn rõ ràng.</w:t>
            </w:r>
          </w:p>
          <w:p w:rsidR="0003077F" w:rsidRPr="007D42B2" w:rsidRDefault="0003077F" w:rsidP="00A772DB">
            <w:pPr>
              <w:spacing w:before="20"/>
              <w:jc w:val="both"/>
            </w:pPr>
          </w:p>
        </w:tc>
      </w:tr>
    </w:tbl>
    <w:p w:rsidR="0003077F" w:rsidRPr="007D42B2" w:rsidRDefault="0003077F" w:rsidP="00A772DB">
      <w:pPr>
        <w:spacing w:before="20"/>
        <w:jc w:val="both"/>
      </w:pPr>
    </w:p>
    <w:p w:rsidR="0003077F" w:rsidRPr="007D42B2" w:rsidRDefault="0003077F" w:rsidP="00A772DB">
      <w:pPr>
        <w:spacing w:before="20"/>
        <w:jc w:val="both"/>
      </w:pPr>
    </w:p>
    <w:p w:rsidR="0003077F" w:rsidRPr="007D42B2" w:rsidRDefault="0003077F" w:rsidP="00A772DB">
      <w:pPr>
        <w:widowControl/>
        <w:autoSpaceDE/>
        <w:autoSpaceDN/>
        <w:spacing w:before="20"/>
        <w:jc w:val="both"/>
      </w:pPr>
      <w:r w:rsidRPr="007D42B2">
        <w:br w:type="page"/>
      </w:r>
    </w:p>
    <w:p w:rsidR="0003077F" w:rsidRPr="007D42B2" w:rsidRDefault="0003077F" w:rsidP="00A772DB">
      <w:pPr>
        <w:spacing w:before="20"/>
        <w:jc w:val="both"/>
        <w:rPr>
          <w:b/>
          <w:sz w:val="30"/>
          <w:szCs w:val="32"/>
        </w:rPr>
      </w:pPr>
      <w:r w:rsidRPr="007D42B2">
        <w:rPr>
          <w:b/>
          <w:sz w:val="30"/>
          <w:szCs w:val="32"/>
        </w:rPr>
        <w:lastRenderedPageBreak/>
        <w:t>Chuẩn mực Kế toán Quốc tế 27</w:t>
      </w:r>
    </w:p>
    <w:p w:rsidR="0003077F" w:rsidRPr="007D42B2" w:rsidRDefault="0003077F" w:rsidP="00A772DB">
      <w:pPr>
        <w:spacing w:before="20"/>
        <w:jc w:val="both"/>
        <w:rPr>
          <w:b/>
          <w:i/>
          <w:sz w:val="30"/>
          <w:szCs w:val="32"/>
        </w:rPr>
      </w:pPr>
      <w:r w:rsidRPr="007D42B2">
        <w:rPr>
          <w:b/>
          <w:i/>
          <w:sz w:val="30"/>
          <w:szCs w:val="32"/>
        </w:rPr>
        <w:t>Báo cáo tài chính riêng</w:t>
      </w:r>
    </w:p>
    <w:p w:rsidR="0003077F" w:rsidRPr="007D42B2" w:rsidRDefault="0003077F" w:rsidP="00A772DB">
      <w:pPr>
        <w:spacing w:before="20"/>
        <w:jc w:val="both"/>
      </w:pPr>
    </w:p>
    <w:p w:rsidR="00845EFF" w:rsidRPr="007D42B2" w:rsidRDefault="00845EFF" w:rsidP="00A772DB">
      <w:pPr>
        <w:spacing w:before="20"/>
        <w:jc w:val="both"/>
      </w:pPr>
    </w:p>
    <w:p w:rsidR="0003077F" w:rsidRPr="007D42B2" w:rsidRDefault="0003077F" w:rsidP="00A772DB">
      <w:pPr>
        <w:spacing w:before="20"/>
        <w:jc w:val="both"/>
        <w:rPr>
          <w:b/>
          <w:sz w:val="30"/>
        </w:rPr>
      </w:pPr>
      <w:r w:rsidRPr="007D42B2">
        <w:rPr>
          <w:b/>
          <w:sz w:val="30"/>
        </w:rPr>
        <w:t>Mục tiêu</w:t>
      </w:r>
    </w:p>
    <w:p w:rsidR="0003077F" w:rsidRPr="007D42B2" w:rsidRDefault="0003077F" w:rsidP="00A772DB">
      <w:pPr>
        <w:spacing w:before="20"/>
        <w:jc w:val="both"/>
      </w:pPr>
    </w:p>
    <w:p w:rsidR="0003077F" w:rsidRPr="007D42B2" w:rsidRDefault="0003077F" w:rsidP="00A772DB">
      <w:pPr>
        <w:pStyle w:val="ListParagraph"/>
        <w:numPr>
          <w:ilvl w:val="0"/>
          <w:numId w:val="1"/>
        </w:numPr>
        <w:spacing w:before="20"/>
        <w:ind w:hanging="720"/>
        <w:jc w:val="both"/>
      </w:pPr>
      <w:r w:rsidRPr="007D42B2">
        <w:rPr>
          <w:w w:val="115"/>
        </w:rPr>
        <w:t>Mục tiêu của chuẩn mực này là mô tả phương pháp kế toán và thuyết minh đối với các khoản đầu tư vào các công ty con, công ty liên doanh và công ty liên kết khi một đơn vị lập báo cáo tài chính riêng.</w:t>
      </w:r>
    </w:p>
    <w:p w:rsidR="0003077F" w:rsidRPr="007D42B2" w:rsidRDefault="0003077F" w:rsidP="00A772DB">
      <w:pPr>
        <w:spacing w:before="20"/>
        <w:jc w:val="both"/>
      </w:pPr>
    </w:p>
    <w:p w:rsidR="0003077F" w:rsidRPr="007D42B2" w:rsidRDefault="0003077F" w:rsidP="001A4C40">
      <w:pPr>
        <w:pBdr>
          <w:bottom w:val="single" w:sz="6" w:space="1" w:color="auto"/>
        </w:pBdr>
        <w:spacing w:before="20"/>
        <w:jc w:val="both"/>
        <w:rPr>
          <w:b/>
          <w:sz w:val="30"/>
        </w:rPr>
      </w:pPr>
      <w:r w:rsidRPr="007D42B2">
        <w:rPr>
          <w:b/>
          <w:sz w:val="30"/>
        </w:rPr>
        <w:t xml:space="preserve">Phạm </w:t>
      </w:r>
      <w:proofErr w:type="gramStart"/>
      <w:r w:rsidRPr="007D42B2">
        <w:rPr>
          <w:b/>
          <w:sz w:val="30"/>
        </w:rPr>
        <w:t>vi</w:t>
      </w:r>
      <w:proofErr w:type="gramEnd"/>
    </w:p>
    <w:p w:rsidR="00845EFF" w:rsidRPr="007D42B2" w:rsidRDefault="00845EFF" w:rsidP="00A772DB">
      <w:pPr>
        <w:spacing w:before="20"/>
        <w:jc w:val="both"/>
      </w:pPr>
    </w:p>
    <w:p w:rsidR="00845EFF" w:rsidRPr="007D42B2" w:rsidRDefault="00845EFF" w:rsidP="00A772DB">
      <w:pPr>
        <w:pStyle w:val="ListParagraph"/>
        <w:numPr>
          <w:ilvl w:val="0"/>
          <w:numId w:val="1"/>
        </w:numPr>
        <w:spacing w:before="20"/>
        <w:ind w:hanging="720"/>
        <w:jc w:val="both"/>
        <w:rPr>
          <w:w w:val="115"/>
        </w:rPr>
      </w:pPr>
      <w:r w:rsidRPr="007D42B2">
        <w:rPr>
          <w:w w:val="115"/>
        </w:rPr>
        <w:t xml:space="preserve">Chuẩn mực này áp dụng đối với kế toán các khoản đầu tư vào các công ty con, công ty liên doanh và công ty liên kết khi một đơn vị chọn, hoặc </w:t>
      </w:r>
      <w:proofErr w:type="gramStart"/>
      <w:r w:rsidRPr="007D42B2">
        <w:rPr>
          <w:w w:val="115"/>
        </w:rPr>
        <w:t>theo</w:t>
      </w:r>
      <w:proofErr w:type="gramEnd"/>
      <w:r w:rsidRPr="007D42B2">
        <w:rPr>
          <w:w w:val="115"/>
        </w:rPr>
        <w:t xml:space="preserve"> yêu cầu của luật địa phương, trình bày báo cáo tài chính riêng.</w:t>
      </w:r>
    </w:p>
    <w:p w:rsidR="00A772DB" w:rsidRPr="007D42B2" w:rsidRDefault="00A772DB" w:rsidP="00A772DB">
      <w:pPr>
        <w:pStyle w:val="ListParagraph"/>
        <w:spacing w:before="20"/>
        <w:jc w:val="both"/>
        <w:rPr>
          <w:w w:val="115"/>
        </w:rPr>
      </w:pPr>
    </w:p>
    <w:p w:rsidR="00845EFF" w:rsidRPr="007D42B2" w:rsidRDefault="00845EFF" w:rsidP="00A772DB">
      <w:pPr>
        <w:pStyle w:val="ListParagraph"/>
        <w:numPr>
          <w:ilvl w:val="0"/>
          <w:numId w:val="1"/>
        </w:numPr>
        <w:spacing w:before="20"/>
        <w:ind w:hanging="720"/>
        <w:jc w:val="both"/>
        <w:rPr>
          <w:w w:val="115"/>
        </w:rPr>
      </w:pPr>
      <w:r w:rsidRPr="007D42B2">
        <w:rPr>
          <w:w w:val="115"/>
        </w:rPr>
        <w:t xml:space="preserve">Chuẩn mực này không quy định các đơn vị nào phải lập báo cáo tài chính riêng. Chuẩn mực này được áp dụng khi một đơn vị lập báo cáo tài chính riêng </w:t>
      </w:r>
      <w:proofErr w:type="gramStart"/>
      <w:r w:rsidRPr="007D42B2">
        <w:rPr>
          <w:w w:val="115"/>
        </w:rPr>
        <w:t>theo</w:t>
      </w:r>
      <w:proofErr w:type="gramEnd"/>
      <w:r w:rsidRPr="007D42B2">
        <w:rPr>
          <w:w w:val="115"/>
        </w:rPr>
        <w:t xml:space="preserve"> các Chuẩn mực báo cáo tài chính Quốc tế (IFRS).</w:t>
      </w:r>
    </w:p>
    <w:p w:rsidR="00845EFF" w:rsidRPr="007D42B2" w:rsidRDefault="00845EFF" w:rsidP="00A772DB">
      <w:pPr>
        <w:spacing w:before="20"/>
        <w:jc w:val="both"/>
        <w:rPr>
          <w:w w:val="115"/>
        </w:rPr>
      </w:pPr>
    </w:p>
    <w:p w:rsidR="00845EFF" w:rsidRPr="007D42B2" w:rsidRDefault="00845EFF" w:rsidP="001A4C40">
      <w:pPr>
        <w:pBdr>
          <w:bottom w:val="single" w:sz="6" w:space="1" w:color="auto"/>
        </w:pBdr>
        <w:spacing w:before="20"/>
        <w:jc w:val="both"/>
        <w:rPr>
          <w:b/>
          <w:sz w:val="30"/>
        </w:rPr>
      </w:pPr>
      <w:r w:rsidRPr="007D42B2">
        <w:rPr>
          <w:b/>
          <w:sz w:val="30"/>
        </w:rPr>
        <w:t>Các định nghĩa</w:t>
      </w:r>
    </w:p>
    <w:p w:rsidR="00845EFF" w:rsidRPr="007D42B2" w:rsidRDefault="00845EFF" w:rsidP="00A772DB">
      <w:pPr>
        <w:spacing w:before="20"/>
        <w:jc w:val="both"/>
      </w:pPr>
    </w:p>
    <w:p w:rsidR="00845EFF" w:rsidRPr="007D42B2" w:rsidRDefault="00845EFF" w:rsidP="00A772DB">
      <w:pPr>
        <w:pStyle w:val="ListParagraph"/>
        <w:numPr>
          <w:ilvl w:val="0"/>
          <w:numId w:val="1"/>
        </w:numPr>
        <w:spacing w:before="20"/>
        <w:ind w:hanging="720"/>
        <w:jc w:val="both"/>
        <w:rPr>
          <w:w w:val="115"/>
        </w:rPr>
      </w:pPr>
      <w:r w:rsidRPr="007D42B2">
        <w:rPr>
          <w:w w:val="115"/>
        </w:rPr>
        <w:t>Các thuật ngữ sau đây được sử dụng trong chuẩn mực này có ý nghĩa cụ thể như sau:</w:t>
      </w:r>
    </w:p>
    <w:p w:rsidR="00845EFF" w:rsidRPr="007D42B2" w:rsidRDefault="00845EFF" w:rsidP="00A772DB">
      <w:pPr>
        <w:pStyle w:val="Heading6"/>
        <w:spacing w:before="20"/>
        <w:ind w:left="720" w:right="30"/>
        <w:jc w:val="both"/>
        <w:rPr>
          <w:rFonts w:ascii="Times New Roman" w:hAnsi="Times New Roman" w:cs="Times New Roman"/>
          <w:b/>
          <w:color w:val="auto"/>
          <w:w w:val="110"/>
        </w:rPr>
      </w:pPr>
      <w:r w:rsidRPr="007D42B2">
        <w:rPr>
          <w:rFonts w:ascii="Times New Roman" w:hAnsi="Times New Roman" w:cs="Times New Roman"/>
          <w:b/>
          <w:i/>
          <w:color w:val="auto"/>
          <w:w w:val="110"/>
        </w:rPr>
        <w:t xml:space="preserve">Báo cáo tài chính hợp nhất </w:t>
      </w:r>
      <w:r w:rsidRPr="007D42B2">
        <w:rPr>
          <w:rFonts w:ascii="Times New Roman" w:hAnsi="Times New Roman" w:cs="Times New Roman"/>
          <w:b/>
          <w:color w:val="auto"/>
          <w:w w:val="110"/>
        </w:rPr>
        <w:t>là báo cáo tài chính của một tập đoàn, trong đó tài sản, nợ phải trả, vốn chủ sở hữu, thu nhập, chi phí và các dòng tiền của công ty mẹ và các công ty con được trình bày là các khoản mục của một đơn vị kinh tế duy nhất.</w:t>
      </w:r>
    </w:p>
    <w:p w:rsidR="00845EFF" w:rsidRPr="007D42B2" w:rsidRDefault="00845EFF" w:rsidP="00A772DB">
      <w:pPr>
        <w:spacing w:before="20"/>
        <w:ind w:right="30"/>
        <w:jc w:val="both"/>
      </w:pPr>
    </w:p>
    <w:p w:rsidR="00845EFF" w:rsidRPr="007D42B2" w:rsidRDefault="00845EFF" w:rsidP="00A772DB">
      <w:pPr>
        <w:spacing w:before="20"/>
        <w:ind w:left="720" w:right="30" w:hanging="1"/>
        <w:jc w:val="both"/>
        <w:rPr>
          <w:b/>
        </w:rPr>
      </w:pPr>
      <w:r w:rsidRPr="007D42B2">
        <w:rPr>
          <w:b/>
          <w:i/>
          <w:w w:val="110"/>
        </w:rPr>
        <w:t xml:space="preserve">Báo cáo tài chính riêng </w:t>
      </w:r>
      <w:r w:rsidRPr="007D42B2">
        <w:rPr>
          <w:b/>
          <w:w w:val="110"/>
        </w:rPr>
        <w:t xml:space="preserve">là báo cáo tài chính của một đơn vị, trong đó đơn vị có thể chọn, theo các yêu cầu của chuẩn mực này, kế toán các khoản đầu tư vào các công ty con, công ty liên doanh và công ty liên kết hoặc theo giá gốc, theo quy định tại IFRS 9 </w:t>
      </w:r>
      <w:r w:rsidRPr="007D42B2">
        <w:rPr>
          <w:b/>
          <w:i/>
          <w:w w:val="110"/>
        </w:rPr>
        <w:t>Công cụ tài chính</w:t>
      </w:r>
      <w:r w:rsidRPr="007D42B2">
        <w:rPr>
          <w:b/>
          <w:w w:val="110"/>
        </w:rPr>
        <w:t xml:space="preserve"> hoặc sử dụng phương pháp vốn chủ sở hữu như được mô tả trong IAS 28 </w:t>
      </w:r>
      <w:r w:rsidRPr="007D42B2">
        <w:rPr>
          <w:b/>
          <w:i/>
          <w:w w:val="110"/>
        </w:rPr>
        <w:t>Đầu tư vào công ty liên kết và liên doanh</w:t>
      </w:r>
      <w:r w:rsidRPr="007D42B2">
        <w:rPr>
          <w:b/>
          <w:w w:val="110"/>
        </w:rPr>
        <w:t>.</w:t>
      </w:r>
    </w:p>
    <w:p w:rsidR="00845EFF" w:rsidRPr="007D42B2" w:rsidRDefault="00845EFF" w:rsidP="00A772DB">
      <w:pPr>
        <w:spacing w:before="20"/>
        <w:ind w:right="30"/>
        <w:jc w:val="both"/>
        <w:rPr>
          <w:w w:val="115"/>
        </w:rPr>
      </w:pPr>
    </w:p>
    <w:p w:rsidR="00845EFF" w:rsidRPr="007D42B2" w:rsidRDefault="00845EFF" w:rsidP="00A772DB">
      <w:pPr>
        <w:pStyle w:val="ListParagraph"/>
        <w:numPr>
          <w:ilvl w:val="0"/>
          <w:numId w:val="1"/>
        </w:numPr>
        <w:spacing w:before="20"/>
        <w:ind w:hanging="720"/>
        <w:jc w:val="both"/>
      </w:pPr>
      <w:r w:rsidRPr="007D42B2">
        <w:rPr>
          <w:w w:val="105"/>
        </w:rPr>
        <w:t xml:space="preserve">Các thuật ngữ sau đây được định nghĩa trong Phụ lục A của IFRS 10 </w:t>
      </w:r>
      <w:r w:rsidRPr="007D42B2">
        <w:rPr>
          <w:i/>
          <w:w w:val="105"/>
        </w:rPr>
        <w:t>Báo cáo tài chính hợp nhất</w:t>
      </w:r>
      <w:r w:rsidRPr="007D42B2">
        <w:rPr>
          <w:w w:val="105"/>
        </w:rPr>
        <w:t xml:space="preserve">, Phụ lục A của IFRS 11 </w:t>
      </w:r>
      <w:r w:rsidRPr="007D42B2">
        <w:rPr>
          <w:i/>
          <w:w w:val="105"/>
        </w:rPr>
        <w:t xml:space="preserve">Các thỏa thuận chung </w:t>
      </w:r>
      <w:r w:rsidRPr="007D42B2">
        <w:rPr>
          <w:w w:val="105"/>
        </w:rPr>
        <w:t>và đoạn 3 của IAS</w:t>
      </w:r>
      <w:r w:rsidRPr="007D42B2">
        <w:rPr>
          <w:spacing w:val="-14"/>
          <w:w w:val="105"/>
        </w:rPr>
        <w:t xml:space="preserve"> </w:t>
      </w:r>
      <w:r w:rsidRPr="007D42B2">
        <w:rPr>
          <w:w w:val="105"/>
        </w:rPr>
        <w:t>28:</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Công ty liên kết.</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Quyền</w:t>
      </w:r>
      <w:r w:rsidRPr="007D42B2">
        <w:rPr>
          <w:w w:val="115"/>
        </w:rPr>
        <w:t xml:space="preserve"> kiểm soát với bên được đầu </w:t>
      </w:r>
      <w:proofErr w:type="gramStart"/>
      <w:r w:rsidRPr="007D42B2">
        <w:rPr>
          <w:w w:val="115"/>
        </w:rPr>
        <w:t>tư</w:t>
      </w:r>
      <w:proofErr w:type="gramEnd"/>
      <w:r w:rsidRPr="007D42B2">
        <w:rPr>
          <w:w w:val="115"/>
        </w:rPr>
        <w:t>.</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Phương</w:t>
      </w:r>
      <w:r w:rsidRPr="007D42B2">
        <w:rPr>
          <w:w w:val="115"/>
        </w:rPr>
        <w:t xml:space="preserve"> pháp vốn chủ sở hữu.</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5"/>
        </w:rPr>
        <w:t>Tập đoàn.</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5"/>
        </w:rPr>
        <w:t xml:space="preserve">Đơn </w:t>
      </w:r>
      <w:r w:rsidRPr="007D42B2">
        <w:rPr>
          <w:w w:val="110"/>
        </w:rPr>
        <w:t>vị</w:t>
      </w:r>
      <w:r w:rsidRPr="007D42B2">
        <w:rPr>
          <w:w w:val="115"/>
        </w:rPr>
        <w:t xml:space="preserve"> quản lý quỹ đầu </w:t>
      </w:r>
      <w:proofErr w:type="gramStart"/>
      <w:r w:rsidRPr="007D42B2">
        <w:rPr>
          <w:w w:val="115"/>
        </w:rPr>
        <w:t>tư</w:t>
      </w:r>
      <w:proofErr w:type="gramEnd"/>
      <w:r w:rsidRPr="007D42B2">
        <w:rPr>
          <w:w w:val="115"/>
        </w:rPr>
        <w:t>.</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Đồng</w:t>
      </w:r>
      <w:r w:rsidRPr="007D42B2">
        <w:rPr>
          <w:w w:val="115"/>
        </w:rPr>
        <w:t xml:space="preserve"> kiểm soát.</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Công</w:t>
      </w:r>
      <w:r w:rsidRPr="007D42B2">
        <w:rPr>
          <w:w w:val="115"/>
        </w:rPr>
        <w:t xml:space="preserve"> ty liên doanh.</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5"/>
        </w:rPr>
        <w:t xml:space="preserve">Bên góp vốn liên doanh. </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20"/>
        </w:rPr>
        <w:t>Công ty mẹ.</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Ảnh</w:t>
      </w:r>
      <w:r w:rsidRPr="007D42B2">
        <w:rPr>
          <w:w w:val="115"/>
        </w:rPr>
        <w:t xml:space="preserve"> </w:t>
      </w:r>
      <w:r w:rsidRPr="007D42B2">
        <w:rPr>
          <w:w w:val="120"/>
        </w:rPr>
        <w:t>hưởng</w:t>
      </w:r>
      <w:r w:rsidRPr="007D42B2">
        <w:rPr>
          <w:w w:val="115"/>
        </w:rPr>
        <w:t xml:space="preserve"> đáng kể.</w:t>
      </w:r>
    </w:p>
    <w:p w:rsidR="00845EFF" w:rsidRPr="007D42B2" w:rsidRDefault="00845EFF" w:rsidP="00A772DB">
      <w:pPr>
        <w:pStyle w:val="ListParagraph"/>
        <w:numPr>
          <w:ilvl w:val="1"/>
          <w:numId w:val="4"/>
        </w:numPr>
        <w:tabs>
          <w:tab w:val="left" w:pos="1694"/>
        </w:tabs>
        <w:spacing w:before="20"/>
        <w:ind w:left="1080"/>
        <w:contextualSpacing w:val="0"/>
        <w:jc w:val="both"/>
      </w:pPr>
      <w:r w:rsidRPr="007D42B2">
        <w:rPr>
          <w:w w:val="110"/>
        </w:rPr>
        <w:t>Công ty con.</w:t>
      </w:r>
    </w:p>
    <w:p w:rsidR="00845EFF" w:rsidRPr="007D42B2" w:rsidRDefault="00845EFF" w:rsidP="00A772DB">
      <w:pPr>
        <w:spacing w:before="20"/>
        <w:jc w:val="both"/>
        <w:rPr>
          <w:w w:val="115"/>
        </w:rPr>
      </w:pPr>
    </w:p>
    <w:p w:rsidR="00845EFF" w:rsidRPr="007D42B2" w:rsidRDefault="00845EFF" w:rsidP="00A772DB">
      <w:pPr>
        <w:pStyle w:val="ListParagraph"/>
        <w:numPr>
          <w:ilvl w:val="0"/>
          <w:numId w:val="1"/>
        </w:numPr>
        <w:spacing w:before="20"/>
        <w:ind w:hanging="720"/>
        <w:jc w:val="both"/>
        <w:rPr>
          <w:w w:val="105"/>
        </w:rPr>
      </w:pPr>
      <w:r w:rsidRPr="007D42B2">
        <w:rPr>
          <w:w w:val="105"/>
        </w:rPr>
        <w:lastRenderedPageBreak/>
        <w:t xml:space="preserve">Báo cáo tài chính riêng là báo cáo tài chính được trình bày bổ sung cho báo cáo tài chính hợp nhất hoặc bổ sung cho báo cáo tài chính của nhà đầu tư không có các khoản đầu tư vào công ty con nhưng có các khoản đầu tư vào các công ty liên kết hoặc liên doanh, theo đó, các khoản đầu tư vào các công ty liên kết hoặc liên doanh phải được kế toán theo phương pháp vốn chủ sở hữu theo yêu cầu của IAS 28, ngoại trừ các trường hợp nêu trong đoạn 8 – 8A. </w:t>
      </w:r>
    </w:p>
    <w:p w:rsidR="00704D04" w:rsidRPr="007D42B2" w:rsidRDefault="00704D04" w:rsidP="00704D04">
      <w:pPr>
        <w:pStyle w:val="ListParagraph"/>
        <w:spacing w:before="20"/>
        <w:jc w:val="both"/>
        <w:rPr>
          <w:w w:val="105"/>
        </w:rPr>
      </w:pPr>
    </w:p>
    <w:p w:rsidR="00845EFF" w:rsidRPr="007D42B2" w:rsidRDefault="00845EFF" w:rsidP="00A772DB">
      <w:pPr>
        <w:pStyle w:val="ListParagraph"/>
        <w:numPr>
          <w:ilvl w:val="0"/>
          <w:numId w:val="1"/>
        </w:numPr>
        <w:spacing w:before="20"/>
        <w:ind w:hanging="720"/>
        <w:jc w:val="both"/>
        <w:rPr>
          <w:w w:val="105"/>
        </w:rPr>
      </w:pPr>
      <w:r w:rsidRPr="007D42B2">
        <w:rPr>
          <w:w w:val="105"/>
        </w:rPr>
        <w:t xml:space="preserve">Báo cáo tài chính của đơn vị không có công ty con, công ty liên kết hoặc không có lợi ích của bên góp vốn liên doanh trong công ty liên doanh không phải là báo cáo tài chính riêng. </w:t>
      </w:r>
    </w:p>
    <w:p w:rsidR="00704D04" w:rsidRPr="007D42B2" w:rsidRDefault="00704D04" w:rsidP="00704D04">
      <w:pPr>
        <w:pStyle w:val="ListParagraph"/>
        <w:spacing w:before="20"/>
        <w:jc w:val="both"/>
        <w:rPr>
          <w:w w:val="115"/>
        </w:rPr>
      </w:pPr>
    </w:p>
    <w:p w:rsidR="00845EFF" w:rsidRPr="007D42B2" w:rsidRDefault="00845EFF" w:rsidP="00A772DB">
      <w:pPr>
        <w:pStyle w:val="ListParagraph"/>
        <w:numPr>
          <w:ilvl w:val="0"/>
          <w:numId w:val="1"/>
        </w:numPr>
        <w:spacing w:before="20"/>
        <w:ind w:hanging="720"/>
        <w:jc w:val="both"/>
        <w:rPr>
          <w:w w:val="115"/>
        </w:rPr>
      </w:pPr>
      <w:r w:rsidRPr="007D42B2">
        <w:rPr>
          <w:w w:val="105"/>
        </w:rPr>
        <w:t xml:space="preserve">Một đơn vị được miễn hợp nhất </w:t>
      </w:r>
      <w:proofErr w:type="gramStart"/>
      <w:r w:rsidRPr="007D42B2">
        <w:rPr>
          <w:w w:val="105"/>
        </w:rPr>
        <w:t>theo</w:t>
      </w:r>
      <w:proofErr w:type="gramEnd"/>
      <w:r w:rsidRPr="007D42B2">
        <w:rPr>
          <w:w w:val="105"/>
        </w:rPr>
        <w:t xml:space="preserve"> quy định tại đoạn 4 (a) của IFRS 10 hoặc miễn áp dụng phương pháp vốn chủ sở hữu theo đoạn 17 của IAS 28 (được sửa đổi năm 2011) có thể trình bày báo cáo tài chính riêng như báo cáo tài chính duy nhất.</w:t>
      </w:r>
    </w:p>
    <w:p w:rsidR="00704D04" w:rsidRPr="007D42B2" w:rsidRDefault="00704D04" w:rsidP="00A772DB">
      <w:pPr>
        <w:pStyle w:val="ListParagraph"/>
        <w:spacing w:before="20"/>
        <w:ind w:hanging="720"/>
        <w:jc w:val="both"/>
        <w:rPr>
          <w:w w:val="115"/>
        </w:rPr>
      </w:pPr>
    </w:p>
    <w:p w:rsidR="00845EFF" w:rsidRPr="007D42B2" w:rsidRDefault="00845EFF" w:rsidP="00A772DB">
      <w:pPr>
        <w:pStyle w:val="ListParagraph"/>
        <w:spacing w:before="20"/>
        <w:ind w:hanging="720"/>
        <w:jc w:val="both"/>
        <w:rPr>
          <w:w w:val="115"/>
        </w:rPr>
      </w:pPr>
      <w:r w:rsidRPr="007D42B2">
        <w:rPr>
          <w:w w:val="115"/>
        </w:rPr>
        <w:t>8A</w:t>
      </w:r>
      <w:r w:rsidRPr="007D42B2">
        <w:rPr>
          <w:w w:val="115"/>
        </w:rPr>
        <w:tab/>
      </w:r>
      <w:r w:rsidRPr="007D42B2">
        <w:rPr>
          <w:w w:val="105"/>
        </w:rPr>
        <w:t>Một đơn vị quản lý quỹ đầu tư, trong kỳ hiện tại và tất cả các kỳ có số liệu so sánh được trình bày, được yêu cầu áp dụng miễn trừ hợp nhất cho tất cả các công ty con theo quy định tại đoạn 31 của IFRS 10 trình bày báo cáo tài chính riêng như báo cáo tài chính duy nhất.</w:t>
      </w:r>
    </w:p>
    <w:p w:rsidR="00845EFF" w:rsidRPr="007D42B2" w:rsidRDefault="00845EFF" w:rsidP="00A772DB">
      <w:pPr>
        <w:spacing w:before="20"/>
        <w:jc w:val="both"/>
        <w:rPr>
          <w:w w:val="115"/>
        </w:rPr>
      </w:pPr>
    </w:p>
    <w:p w:rsidR="00845EFF" w:rsidRPr="007D42B2" w:rsidRDefault="00845EFF" w:rsidP="001A4C40">
      <w:pPr>
        <w:pBdr>
          <w:bottom w:val="single" w:sz="6" w:space="1" w:color="auto"/>
        </w:pBdr>
        <w:spacing w:before="20"/>
        <w:jc w:val="both"/>
        <w:rPr>
          <w:b/>
          <w:w w:val="115"/>
          <w:sz w:val="30"/>
        </w:rPr>
      </w:pPr>
      <w:r w:rsidRPr="007D42B2">
        <w:rPr>
          <w:b/>
          <w:sz w:val="30"/>
        </w:rPr>
        <w:t>Lập báo cáo tài chính riêng</w:t>
      </w:r>
    </w:p>
    <w:p w:rsidR="00845EFF" w:rsidRPr="007D42B2" w:rsidRDefault="00845EFF" w:rsidP="00A772DB">
      <w:pPr>
        <w:spacing w:before="20"/>
        <w:jc w:val="both"/>
        <w:rPr>
          <w:w w:val="115"/>
        </w:rPr>
      </w:pPr>
    </w:p>
    <w:p w:rsidR="00845EFF" w:rsidRPr="007D42B2" w:rsidRDefault="00845EFF" w:rsidP="00A772DB">
      <w:pPr>
        <w:pStyle w:val="ListParagraph"/>
        <w:numPr>
          <w:ilvl w:val="0"/>
          <w:numId w:val="1"/>
        </w:numPr>
        <w:spacing w:before="20"/>
        <w:ind w:hanging="720"/>
        <w:jc w:val="both"/>
        <w:rPr>
          <w:b/>
          <w:w w:val="105"/>
        </w:rPr>
      </w:pPr>
      <w:r w:rsidRPr="007D42B2">
        <w:rPr>
          <w:b/>
          <w:w w:val="105"/>
        </w:rPr>
        <w:t>Báo cáo tài chính riêng được lập phù hợp với tất cả các chuẩn mực lập báo cáo tài chính quốc tế (IFRS) có liên quan, trừ các trường hợp quy định tại đoạn 10.</w:t>
      </w:r>
    </w:p>
    <w:p w:rsidR="00704D04" w:rsidRPr="007D42B2" w:rsidRDefault="00704D04" w:rsidP="00704D04">
      <w:pPr>
        <w:pStyle w:val="ListParagraph"/>
        <w:spacing w:before="20"/>
        <w:jc w:val="both"/>
        <w:rPr>
          <w:b/>
          <w:w w:val="105"/>
        </w:rPr>
      </w:pPr>
    </w:p>
    <w:p w:rsidR="00845EFF" w:rsidRPr="007D42B2" w:rsidRDefault="00845EFF" w:rsidP="00A772DB">
      <w:pPr>
        <w:pStyle w:val="ListParagraph"/>
        <w:numPr>
          <w:ilvl w:val="0"/>
          <w:numId w:val="1"/>
        </w:numPr>
        <w:spacing w:before="20"/>
        <w:ind w:hanging="720"/>
        <w:jc w:val="both"/>
        <w:rPr>
          <w:b/>
          <w:w w:val="105"/>
        </w:rPr>
      </w:pPr>
      <w:r w:rsidRPr="007D42B2">
        <w:rPr>
          <w:b/>
          <w:w w:val="105"/>
        </w:rPr>
        <w:t>Khi một đơn vị lập báo cáo tài chính riêng thì phải kế toán các khoản đầu tư vào các công ty con, công ty liên doanh và công ty liên kết theo một trong các cách sau đây:</w:t>
      </w:r>
    </w:p>
    <w:p w:rsidR="00845EFF" w:rsidRPr="007D42B2" w:rsidRDefault="00845EFF" w:rsidP="00704D04">
      <w:pPr>
        <w:pStyle w:val="Heading6"/>
        <w:keepNext w:val="0"/>
        <w:keepLines w:val="0"/>
        <w:numPr>
          <w:ilvl w:val="0"/>
          <w:numId w:val="6"/>
        </w:numPr>
        <w:tabs>
          <w:tab w:val="left" w:pos="1260"/>
        </w:tabs>
        <w:spacing w:before="20"/>
        <w:ind w:left="1260" w:hanging="540"/>
        <w:jc w:val="both"/>
        <w:rPr>
          <w:rFonts w:ascii="Times New Roman" w:hAnsi="Times New Roman" w:cs="Times New Roman"/>
          <w:b/>
          <w:color w:val="auto"/>
        </w:rPr>
      </w:pPr>
      <w:r w:rsidRPr="007D42B2">
        <w:rPr>
          <w:rFonts w:ascii="Times New Roman" w:hAnsi="Times New Roman" w:cs="Times New Roman"/>
          <w:b/>
          <w:color w:val="auto"/>
          <w:w w:val="110"/>
        </w:rPr>
        <w:t>Theo giá gốc;</w:t>
      </w:r>
    </w:p>
    <w:p w:rsidR="00845EFF" w:rsidRPr="007D42B2" w:rsidRDefault="00845EFF" w:rsidP="00704D04">
      <w:pPr>
        <w:pStyle w:val="Heading6"/>
        <w:keepNext w:val="0"/>
        <w:keepLines w:val="0"/>
        <w:numPr>
          <w:ilvl w:val="0"/>
          <w:numId w:val="6"/>
        </w:numPr>
        <w:tabs>
          <w:tab w:val="left" w:pos="1260"/>
        </w:tabs>
        <w:spacing w:before="20"/>
        <w:ind w:left="1260" w:hanging="540"/>
        <w:jc w:val="both"/>
        <w:rPr>
          <w:rFonts w:ascii="Times New Roman" w:hAnsi="Times New Roman" w:cs="Times New Roman"/>
          <w:b/>
          <w:color w:val="auto"/>
        </w:rPr>
      </w:pPr>
      <w:r w:rsidRPr="007D42B2">
        <w:rPr>
          <w:rFonts w:ascii="Times New Roman" w:hAnsi="Times New Roman" w:cs="Times New Roman"/>
          <w:b/>
          <w:color w:val="auto"/>
          <w:w w:val="105"/>
        </w:rPr>
        <w:t>Theo quy định tại IFRS 9; hoặc</w:t>
      </w:r>
    </w:p>
    <w:p w:rsidR="00845EFF" w:rsidRPr="007D42B2" w:rsidRDefault="00845EFF" w:rsidP="00704D04">
      <w:pPr>
        <w:pStyle w:val="Heading6"/>
        <w:keepNext w:val="0"/>
        <w:keepLines w:val="0"/>
        <w:numPr>
          <w:ilvl w:val="0"/>
          <w:numId w:val="6"/>
        </w:numPr>
        <w:tabs>
          <w:tab w:val="left" w:pos="1260"/>
        </w:tabs>
        <w:spacing w:before="20"/>
        <w:ind w:left="1260" w:hanging="540"/>
        <w:jc w:val="both"/>
        <w:rPr>
          <w:rFonts w:ascii="Times New Roman" w:hAnsi="Times New Roman" w:cs="Times New Roman"/>
          <w:b/>
          <w:color w:val="auto"/>
        </w:rPr>
      </w:pPr>
      <w:proofErr w:type="gramStart"/>
      <w:r w:rsidRPr="007D42B2">
        <w:rPr>
          <w:rFonts w:ascii="Times New Roman" w:hAnsi="Times New Roman" w:cs="Times New Roman"/>
          <w:b/>
          <w:color w:val="auto"/>
          <w:w w:val="110"/>
        </w:rPr>
        <w:t>Sử dụng phương pháp vốn chủ sở hữu được quy định trong IAS</w:t>
      </w:r>
      <w:r w:rsidRPr="007D42B2">
        <w:rPr>
          <w:rFonts w:ascii="Times New Roman" w:hAnsi="Times New Roman" w:cs="Times New Roman"/>
          <w:b/>
          <w:color w:val="auto"/>
          <w:spacing w:val="-9"/>
          <w:w w:val="110"/>
        </w:rPr>
        <w:t xml:space="preserve"> </w:t>
      </w:r>
      <w:r w:rsidRPr="007D42B2">
        <w:rPr>
          <w:rFonts w:ascii="Times New Roman" w:hAnsi="Times New Roman" w:cs="Times New Roman"/>
          <w:b/>
          <w:color w:val="auto"/>
          <w:w w:val="110"/>
        </w:rPr>
        <w:t>28.</w:t>
      </w:r>
      <w:proofErr w:type="gramEnd"/>
    </w:p>
    <w:p w:rsidR="00845EFF" w:rsidRPr="007D42B2" w:rsidRDefault="00845EFF" w:rsidP="00A772DB">
      <w:pPr>
        <w:spacing w:before="20"/>
        <w:jc w:val="both"/>
        <w:rPr>
          <w:w w:val="115"/>
        </w:rPr>
      </w:pPr>
    </w:p>
    <w:p w:rsidR="00845EFF" w:rsidRPr="007D42B2" w:rsidRDefault="00845EFF" w:rsidP="00A772DB">
      <w:pPr>
        <w:pStyle w:val="Heading6"/>
        <w:spacing w:before="20"/>
        <w:ind w:left="720"/>
        <w:jc w:val="both"/>
        <w:rPr>
          <w:rFonts w:ascii="Times New Roman" w:hAnsi="Times New Roman" w:cs="Times New Roman"/>
          <w:b/>
          <w:color w:val="auto"/>
        </w:rPr>
      </w:pPr>
      <w:r w:rsidRPr="007D42B2">
        <w:rPr>
          <w:rFonts w:ascii="Times New Roman" w:hAnsi="Times New Roman" w:cs="Times New Roman"/>
          <w:b/>
          <w:color w:val="auto"/>
          <w:w w:val="110"/>
        </w:rPr>
        <w:t xml:space="preserve">Đơn vị phải áp dụng cùng một phương pháp kế toán cho từng loại đầu </w:t>
      </w:r>
      <w:proofErr w:type="gramStart"/>
      <w:r w:rsidRPr="007D42B2">
        <w:rPr>
          <w:rFonts w:ascii="Times New Roman" w:hAnsi="Times New Roman" w:cs="Times New Roman"/>
          <w:b/>
          <w:color w:val="auto"/>
          <w:w w:val="110"/>
        </w:rPr>
        <w:t>tư</w:t>
      </w:r>
      <w:proofErr w:type="gramEnd"/>
      <w:r w:rsidRPr="007D42B2">
        <w:rPr>
          <w:rFonts w:ascii="Times New Roman" w:hAnsi="Times New Roman" w:cs="Times New Roman"/>
          <w:b/>
          <w:color w:val="auto"/>
          <w:w w:val="110"/>
        </w:rPr>
        <w:t>. Các khoản đầu tư kế toán theo giá gốc hoặc sử dụng phương pháp vốn chủ sở hữu được thực hiện theo quy định tại IFRS</w:t>
      </w:r>
      <w:r w:rsidRPr="007D42B2">
        <w:rPr>
          <w:rFonts w:ascii="Times New Roman" w:hAnsi="Times New Roman" w:cs="Times New Roman"/>
          <w:b/>
          <w:color w:val="auto"/>
          <w:spacing w:val="-7"/>
          <w:w w:val="110"/>
        </w:rPr>
        <w:t xml:space="preserve"> </w:t>
      </w:r>
      <w:r w:rsidRPr="007D42B2">
        <w:rPr>
          <w:rFonts w:ascii="Times New Roman" w:hAnsi="Times New Roman" w:cs="Times New Roman"/>
          <w:b/>
          <w:color w:val="auto"/>
          <w:w w:val="110"/>
        </w:rPr>
        <w:t>5</w:t>
      </w:r>
      <w:r w:rsidRPr="007D42B2">
        <w:rPr>
          <w:rFonts w:ascii="Times New Roman" w:hAnsi="Times New Roman" w:cs="Times New Roman"/>
          <w:b/>
          <w:color w:val="auto"/>
          <w:spacing w:val="-7"/>
          <w:w w:val="110"/>
        </w:rPr>
        <w:t xml:space="preserve"> </w:t>
      </w:r>
      <w:r w:rsidRPr="007D42B2">
        <w:rPr>
          <w:rFonts w:ascii="Times New Roman" w:hAnsi="Times New Roman" w:cs="Times New Roman"/>
          <w:b/>
          <w:i/>
          <w:color w:val="auto"/>
          <w:w w:val="110"/>
        </w:rPr>
        <w:t xml:space="preserve">Tài sản dài hạn giữ lại để bán và hoạt động không liên tục </w:t>
      </w:r>
      <w:r w:rsidRPr="007D42B2">
        <w:rPr>
          <w:rFonts w:ascii="Times New Roman" w:hAnsi="Times New Roman" w:cs="Times New Roman"/>
          <w:b/>
          <w:color w:val="auto"/>
          <w:w w:val="110"/>
        </w:rPr>
        <w:t xml:space="preserve">khi được phân loại là tài sản giữ lại để bán hoặc </w:t>
      </w:r>
      <w:r w:rsidR="00AC73A2" w:rsidRPr="007D42B2">
        <w:rPr>
          <w:rFonts w:ascii="Times New Roman" w:hAnsi="Times New Roman" w:cs="Times New Roman"/>
          <w:b/>
          <w:color w:val="auto"/>
          <w:w w:val="110"/>
        </w:rPr>
        <w:t>để chi trả cho chủ sở hữu</w:t>
      </w:r>
      <w:r w:rsidRPr="007D42B2">
        <w:rPr>
          <w:rFonts w:ascii="Times New Roman" w:hAnsi="Times New Roman" w:cs="Times New Roman"/>
          <w:b/>
          <w:color w:val="auto"/>
          <w:w w:val="110"/>
        </w:rPr>
        <w:t xml:space="preserve"> (hoặc được bao gồm trong nhóm tài sản thanh lý được phân loại là nắm giữ để bán hoặc </w:t>
      </w:r>
      <w:r w:rsidR="00E9162E" w:rsidRPr="007D42B2">
        <w:rPr>
          <w:rFonts w:ascii="Times New Roman" w:hAnsi="Times New Roman" w:cs="Times New Roman"/>
          <w:b/>
          <w:color w:val="auto"/>
          <w:w w:val="110"/>
        </w:rPr>
        <w:t>để chi trả cho chủ sở hữu</w:t>
      </w:r>
      <w:r w:rsidRPr="007D42B2">
        <w:rPr>
          <w:rFonts w:ascii="Times New Roman" w:hAnsi="Times New Roman" w:cs="Times New Roman"/>
          <w:b/>
          <w:color w:val="auto"/>
          <w:w w:val="110"/>
        </w:rPr>
        <w:t xml:space="preserve">). Việc xác định giá trị các khoản đầu tư được kế toán </w:t>
      </w:r>
      <w:proofErr w:type="gramStart"/>
      <w:r w:rsidRPr="007D42B2">
        <w:rPr>
          <w:rFonts w:ascii="Times New Roman" w:hAnsi="Times New Roman" w:cs="Times New Roman"/>
          <w:b/>
          <w:color w:val="auto"/>
          <w:w w:val="110"/>
        </w:rPr>
        <w:t>theo</w:t>
      </w:r>
      <w:proofErr w:type="gramEnd"/>
      <w:r w:rsidRPr="007D42B2">
        <w:rPr>
          <w:rFonts w:ascii="Times New Roman" w:hAnsi="Times New Roman" w:cs="Times New Roman"/>
          <w:b/>
          <w:color w:val="auto"/>
          <w:w w:val="110"/>
        </w:rPr>
        <w:t xml:space="preserve"> quy định tại IFRS 9 không thay đổi trong những tình huống này.</w:t>
      </w:r>
    </w:p>
    <w:p w:rsidR="00845EFF" w:rsidRPr="007D42B2" w:rsidRDefault="00845EFF" w:rsidP="00A772DB">
      <w:pPr>
        <w:spacing w:before="20"/>
        <w:jc w:val="both"/>
        <w:rPr>
          <w:w w:val="115"/>
        </w:rPr>
      </w:pPr>
    </w:p>
    <w:p w:rsidR="00845EFF" w:rsidRPr="007D42B2" w:rsidRDefault="00845EFF" w:rsidP="00A772DB">
      <w:pPr>
        <w:pStyle w:val="ListParagraph"/>
        <w:numPr>
          <w:ilvl w:val="0"/>
          <w:numId w:val="1"/>
        </w:numPr>
        <w:spacing w:before="20"/>
        <w:ind w:hanging="720"/>
        <w:jc w:val="both"/>
        <w:rPr>
          <w:w w:val="105"/>
        </w:rPr>
      </w:pPr>
      <w:r w:rsidRPr="007D42B2">
        <w:rPr>
          <w:w w:val="105"/>
        </w:rPr>
        <w:t>Nếu đơn vị chọn, theo quy định tại đoạn 18 của IAS 28 (được sửa đổi năm 2011), xác định giá trị khoản đầu tư vào công ty liên kết hoặc công ty liên doanh bằng với giá trị hợp lý thông qua báo cáo lãi, lỗ theo quy định tại IFRS 9, thì phải ghi nhận các khoản đầu tư này theo cách tương tự như trong báo cáo tài chính riêng.</w:t>
      </w:r>
    </w:p>
    <w:p w:rsidR="001B1978" w:rsidRPr="007D42B2" w:rsidRDefault="001B1978" w:rsidP="00A772DB">
      <w:pPr>
        <w:spacing w:before="20"/>
        <w:jc w:val="both"/>
        <w:rPr>
          <w:w w:val="105"/>
        </w:rPr>
      </w:pPr>
    </w:p>
    <w:p w:rsidR="001B1978" w:rsidRPr="007D42B2" w:rsidRDefault="001B1978" w:rsidP="00A772DB">
      <w:pPr>
        <w:pStyle w:val="BodyText"/>
        <w:spacing w:before="20"/>
        <w:ind w:left="720" w:hanging="720"/>
        <w:jc w:val="both"/>
        <w:rPr>
          <w:w w:val="115"/>
          <w:sz w:val="22"/>
          <w:szCs w:val="22"/>
        </w:rPr>
      </w:pPr>
      <w:r w:rsidRPr="007D42B2">
        <w:rPr>
          <w:w w:val="115"/>
          <w:sz w:val="22"/>
          <w:szCs w:val="22"/>
        </w:rPr>
        <w:t>11A</w:t>
      </w:r>
      <w:r w:rsidRPr="007D42B2">
        <w:rPr>
          <w:w w:val="115"/>
          <w:sz w:val="22"/>
          <w:szCs w:val="22"/>
        </w:rPr>
        <w:tab/>
        <w:t>Nếu công ty mẹ được yêu cầu, theo quy định tại đoạn 31 của IFRS</w:t>
      </w:r>
      <w:r w:rsidRPr="007D42B2">
        <w:rPr>
          <w:spacing w:val="-10"/>
          <w:w w:val="115"/>
          <w:sz w:val="22"/>
          <w:szCs w:val="22"/>
        </w:rPr>
        <w:t xml:space="preserve"> </w:t>
      </w:r>
      <w:r w:rsidRPr="007D42B2">
        <w:rPr>
          <w:w w:val="115"/>
          <w:sz w:val="22"/>
          <w:szCs w:val="22"/>
        </w:rPr>
        <w:t>10,</w:t>
      </w:r>
      <w:r w:rsidRPr="007D42B2">
        <w:rPr>
          <w:spacing w:val="-10"/>
          <w:w w:val="115"/>
          <w:sz w:val="22"/>
          <w:szCs w:val="22"/>
        </w:rPr>
        <w:t xml:space="preserve"> xác định giá trị khoản đầu tư vào công ty con theo giá trị hợp lý thông qua báo cáo lãi, lỗ theo quy định tại IFRS 9, thì cũng phải kế toán khoản đầu tư vào công ty con theo cách tương tự như trong báo cáo tài chính riêng</w:t>
      </w:r>
      <w:r w:rsidRPr="007D42B2">
        <w:rPr>
          <w:w w:val="115"/>
          <w:sz w:val="22"/>
          <w:szCs w:val="22"/>
        </w:rPr>
        <w:t>.</w:t>
      </w:r>
    </w:p>
    <w:p w:rsidR="00A941C2" w:rsidRPr="007D42B2" w:rsidRDefault="00A941C2" w:rsidP="00A772DB">
      <w:pPr>
        <w:pStyle w:val="BodyText"/>
        <w:spacing w:before="20"/>
        <w:ind w:left="720" w:hanging="720"/>
        <w:jc w:val="both"/>
        <w:rPr>
          <w:w w:val="115"/>
          <w:sz w:val="22"/>
          <w:szCs w:val="22"/>
        </w:rPr>
      </w:pPr>
    </w:p>
    <w:p w:rsidR="001B1978" w:rsidRPr="007D42B2" w:rsidRDefault="001B1978" w:rsidP="00A772DB">
      <w:pPr>
        <w:pStyle w:val="BodyText"/>
        <w:spacing w:before="20"/>
        <w:ind w:left="720" w:hanging="720"/>
        <w:jc w:val="both"/>
        <w:rPr>
          <w:w w:val="105"/>
          <w:sz w:val="22"/>
          <w:szCs w:val="22"/>
        </w:rPr>
      </w:pPr>
      <w:r w:rsidRPr="007D42B2">
        <w:rPr>
          <w:w w:val="115"/>
          <w:sz w:val="22"/>
          <w:szCs w:val="22"/>
        </w:rPr>
        <w:t>11B</w:t>
      </w:r>
      <w:r w:rsidRPr="007D42B2">
        <w:rPr>
          <w:w w:val="115"/>
          <w:sz w:val="22"/>
          <w:szCs w:val="22"/>
        </w:rPr>
        <w:tab/>
        <w:t>Khi công ty mẹ không còn là đơn vị quản lý quỹ đầu tư nữa, hoặc trở thành đơn vị quản lý quỹ đầu tư, thì phải ghi nhận sự thay đổi này kể từ ngày xảy ra thay đổi trạng thái, như sau:</w:t>
      </w:r>
    </w:p>
    <w:p w:rsidR="001B1978" w:rsidRPr="007D42B2" w:rsidRDefault="001B1978" w:rsidP="00A941C2">
      <w:pPr>
        <w:pStyle w:val="ListParagraph"/>
        <w:numPr>
          <w:ilvl w:val="0"/>
          <w:numId w:val="7"/>
        </w:numPr>
        <w:tabs>
          <w:tab w:val="left" w:pos="1260"/>
        </w:tabs>
        <w:spacing w:before="20"/>
        <w:ind w:left="1260" w:right="12" w:hanging="540"/>
        <w:contextualSpacing w:val="0"/>
        <w:jc w:val="both"/>
      </w:pPr>
      <w:r w:rsidRPr="007D42B2">
        <w:rPr>
          <w:w w:val="115"/>
        </w:rPr>
        <w:lastRenderedPageBreak/>
        <w:t xml:space="preserve">Khi một đơn vị không còn là đơn vị quản lý quỹ đầu tư, đơn vị sẽ kế toán khoản đầu tư vào công ty con </w:t>
      </w:r>
      <w:proofErr w:type="gramStart"/>
      <w:r w:rsidRPr="007D42B2">
        <w:rPr>
          <w:w w:val="115"/>
        </w:rPr>
        <w:t>theo</w:t>
      </w:r>
      <w:proofErr w:type="gramEnd"/>
      <w:r w:rsidRPr="007D42B2">
        <w:rPr>
          <w:w w:val="115"/>
        </w:rPr>
        <w:t xml:space="preserve"> quy định tại đoạn 10. Ngày thay đổi trạng thái sẽ được xem là ngày mua khoản đầu tư đó. Giá trị hợp lý của công ty con tại ngày mua sẽ được xem là khoản thanh toán khi kế toán cho khoản đầu tư </w:t>
      </w:r>
      <w:proofErr w:type="gramStart"/>
      <w:r w:rsidRPr="007D42B2">
        <w:rPr>
          <w:w w:val="115"/>
        </w:rPr>
        <w:t>theo</w:t>
      </w:r>
      <w:proofErr w:type="gramEnd"/>
      <w:r w:rsidRPr="007D42B2">
        <w:rPr>
          <w:w w:val="115"/>
        </w:rPr>
        <w:t xml:space="preserve"> quy định tại đoạn 10.</w:t>
      </w:r>
    </w:p>
    <w:p w:rsidR="001B1978" w:rsidRPr="007D42B2" w:rsidRDefault="001B1978" w:rsidP="00A941C2">
      <w:pPr>
        <w:pStyle w:val="ListParagraph"/>
        <w:numPr>
          <w:ilvl w:val="0"/>
          <w:numId w:val="8"/>
        </w:numPr>
        <w:tabs>
          <w:tab w:val="left" w:pos="1800"/>
        </w:tabs>
        <w:spacing w:before="20"/>
        <w:ind w:left="1800" w:right="12" w:hanging="540"/>
        <w:jc w:val="both"/>
      </w:pPr>
      <w:r w:rsidRPr="007D42B2">
        <w:rPr>
          <w:w w:val="105"/>
        </w:rPr>
        <w:t>[</w:t>
      </w:r>
      <w:r w:rsidR="004A075A" w:rsidRPr="007D42B2">
        <w:rPr>
          <w:w w:val="105"/>
        </w:rPr>
        <w:t xml:space="preserve">đã </w:t>
      </w:r>
      <w:r w:rsidRPr="007D42B2">
        <w:rPr>
          <w:w w:val="105"/>
        </w:rPr>
        <w:t>xóa]</w:t>
      </w:r>
    </w:p>
    <w:p w:rsidR="001B1978" w:rsidRPr="007D42B2" w:rsidRDefault="001B1978" w:rsidP="00A941C2">
      <w:pPr>
        <w:pStyle w:val="ListParagraph"/>
        <w:numPr>
          <w:ilvl w:val="0"/>
          <w:numId w:val="8"/>
        </w:numPr>
        <w:tabs>
          <w:tab w:val="left" w:pos="1800"/>
        </w:tabs>
        <w:spacing w:before="20"/>
        <w:ind w:left="1800" w:right="12" w:hanging="540"/>
        <w:jc w:val="both"/>
      </w:pPr>
      <w:r w:rsidRPr="007D42B2">
        <w:rPr>
          <w:w w:val="105"/>
        </w:rPr>
        <w:t>[</w:t>
      </w:r>
      <w:r w:rsidR="004A075A" w:rsidRPr="007D42B2">
        <w:rPr>
          <w:w w:val="105"/>
        </w:rPr>
        <w:t xml:space="preserve">đã </w:t>
      </w:r>
      <w:r w:rsidRPr="007D42B2">
        <w:rPr>
          <w:w w:val="105"/>
        </w:rPr>
        <w:t>xóa]</w:t>
      </w:r>
    </w:p>
    <w:p w:rsidR="001B1978" w:rsidRPr="007D42B2" w:rsidRDefault="001B1978" w:rsidP="00A941C2">
      <w:pPr>
        <w:pStyle w:val="ListParagraph"/>
        <w:numPr>
          <w:ilvl w:val="0"/>
          <w:numId w:val="7"/>
        </w:numPr>
        <w:tabs>
          <w:tab w:val="left" w:pos="1260"/>
        </w:tabs>
        <w:spacing w:before="20"/>
        <w:ind w:left="1260" w:right="12" w:hanging="540"/>
        <w:contextualSpacing w:val="0"/>
        <w:jc w:val="both"/>
      </w:pPr>
      <w:r w:rsidRPr="007D42B2">
        <w:rPr>
          <w:w w:val="115"/>
        </w:rPr>
        <w:t xml:space="preserve">Khi một đơn vị trở thành đơn vị quản lý quỹ đầu tư, đơn vị sẽ kế toán khoản đầu tư vào công ty con </w:t>
      </w:r>
      <w:proofErr w:type="gramStart"/>
      <w:r w:rsidRPr="007D42B2">
        <w:rPr>
          <w:w w:val="115"/>
        </w:rPr>
        <w:t>theo</w:t>
      </w:r>
      <w:proofErr w:type="gramEnd"/>
      <w:r w:rsidRPr="007D42B2">
        <w:rPr>
          <w:w w:val="115"/>
        </w:rPr>
        <w:t xml:space="preserve"> giá trị hợp lý thông qua báo cáo lãi, lỗ theo quy định tại IFRS</w:t>
      </w:r>
      <w:r w:rsidRPr="007D42B2">
        <w:rPr>
          <w:spacing w:val="-4"/>
          <w:w w:val="115"/>
        </w:rPr>
        <w:t xml:space="preserve"> </w:t>
      </w:r>
      <w:r w:rsidRPr="007D42B2">
        <w:rPr>
          <w:w w:val="115"/>
        </w:rPr>
        <w:t>9.</w:t>
      </w:r>
      <w:r w:rsidRPr="007D42B2">
        <w:rPr>
          <w:spacing w:val="-4"/>
          <w:w w:val="115"/>
        </w:rPr>
        <w:t xml:space="preserve"> Chênh lệch giữa giá trị ghi sổ trước đây của công ty con và giá trị hợp lý tại ngày thay đổi trạng thái của nhà đầu tư sẽ được ghi nhận là lãi hoặc lỗ trong báo cáo lãi</w:t>
      </w:r>
      <w:r w:rsidR="00BD6D50" w:rsidRPr="007D42B2">
        <w:rPr>
          <w:spacing w:val="-4"/>
          <w:w w:val="115"/>
        </w:rPr>
        <w:t xml:space="preserve"> hoặc </w:t>
      </w:r>
      <w:r w:rsidRPr="007D42B2">
        <w:rPr>
          <w:spacing w:val="-4"/>
          <w:w w:val="115"/>
        </w:rPr>
        <w:t>lỗ</w:t>
      </w:r>
      <w:r w:rsidRPr="007D42B2">
        <w:rPr>
          <w:w w:val="115"/>
        </w:rPr>
        <w:t xml:space="preserve">. Lãi hoặc lỗ lũy kế </w:t>
      </w:r>
      <w:r w:rsidR="00A25B9C" w:rsidRPr="007D42B2">
        <w:rPr>
          <w:w w:val="115"/>
        </w:rPr>
        <w:t xml:space="preserve">trước đó </w:t>
      </w:r>
      <w:r w:rsidRPr="007D42B2">
        <w:rPr>
          <w:w w:val="115"/>
        </w:rPr>
        <w:t xml:space="preserve">đã ghi nhận vào </w:t>
      </w:r>
      <w:proofErr w:type="gramStart"/>
      <w:r w:rsidRPr="007D42B2">
        <w:rPr>
          <w:w w:val="115"/>
        </w:rPr>
        <w:t>thu</w:t>
      </w:r>
      <w:proofErr w:type="gramEnd"/>
      <w:r w:rsidRPr="007D42B2">
        <w:rPr>
          <w:w w:val="115"/>
        </w:rPr>
        <w:t xml:space="preserve"> nhập toàn diện khác liên quan đến các công ty con này sẽ được xử lý giống như đơn vị quản lý quỹ đầu tư thanh lý các công ty con này tại ngày thay đổi trạng thái.</w:t>
      </w:r>
    </w:p>
    <w:p w:rsidR="001B1978" w:rsidRPr="007D42B2" w:rsidRDefault="001B1978" w:rsidP="00A941C2">
      <w:pPr>
        <w:pStyle w:val="ListParagraph"/>
        <w:spacing w:before="20"/>
        <w:ind w:right="12"/>
        <w:jc w:val="both"/>
        <w:rPr>
          <w:b/>
          <w:w w:val="105"/>
        </w:rPr>
      </w:pPr>
    </w:p>
    <w:p w:rsidR="001B1978" w:rsidRPr="007D42B2" w:rsidRDefault="001B1978" w:rsidP="00A772DB">
      <w:pPr>
        <w:pStyle w:val="ListParagraph"/>
        <w:numPr>
          <w:ilvl w:val="0"/>
          <w:numId w:val="1"/>
        </w:numPr>
        <w:spacing w:before="20"/>
        <w:ind w:hanging="720"/>
        <w:jc w:val="both"/>
        <w:rPr>
          <w:b/>
          <w:w w:val="105"/>
        </w:rPr>
      </w:pPr>
      <w:r w:rsidRPr="007D42B2">
        <w:rPr>
          <w:b/>
          <w:w w:val="105"/>
        </w:rPr>
        <w:t>Cổ tức từ công ty con, công ty liên doanh hoặc công ty liên kết được ghi nhận vào báo cáo tài chính riêng của đơn vị khi quyền nhận cổ tức của đơn vị được xác lập. Cổ tức được ghi nhận trong báo cáo lãi</w:t>
      </w:r>
      <w:r w:rsidR="00BD6D50" w:rsidRPr="007D42B2">
        <w:rPr>
          <w:b/>
          <w:w w:val="105"/>
        </w:rPr>
        <w:t xml:space="preserve"> hoặc </w:t>
      </w:r>
      <w:r w:rsidRPr="007D42B2">
        <w:rPr>
          <w:b/>
          <w:w w:val="105"/>
        </w:rPr>
        <w:t>lỗ trừ khi đơn vị chọn sử dụng phương pháp vốn chủ sở hữu, theo đó, cổ tức được ghi giảm giá trị ghi sổ của khoản đầu tư.</w:t>
      </w:r>
    </w:p>
    <w:p w:rsidR="00845EFF" w:rsidRPr="007D42B2" w:rsidRDefault="00845EFF" w:rsidP="00A772DB">
      <w:pPr>
        <w:spacing w:before="20"/>
        <w:jc w:val="both"/>
        <w:rPr>
          <w:w w:val="115"/>
        </w:rPr>
      </w:pPr>
    </w:p>
    <w:p w:rsidR="001B1978" w:rsidRPr="007D42B2" w:rsidRDefault="001B1978" w:rsidP="00A772DB">
      <w:pPr>
        <w:pStyle w:val="ListParagraph"/>
        <w:numPr>
          <w:ilvl w:val="0"/>
          <w:numId w:val="1"/>
        </w:numPr>
        <w:spacing w:before="20"/>
        <w:ind w:hanging="720"/>
        <w:jc w:val="both"/>
        <w:rPr>
          <w:w w:val="105"/>
        </w:rPr>
      </w:pPr>
      <w:r w:rsidRPr="007D42B2">
        <w:rPr>
          <w:w w:val="105"/>
        </w:rPr>
        <w:t>Khi công ty mẹ tổ chức lại cấu trúc của tập đoàn bằng cách thành lập công ty mới là công ty mẹ của nó đáp ứng các tiêu chí sau đây:</w:t>
      </w:r>
    </w:p>
    <w:p w:rsidR="001B1978" w:rsidRPr="007D42B2" w:rsidRDefault="001B1978" w:rsidP="00A772DB">
      <w:pPr>
        <w:pStyle w:val="ListParagraph"/>
        <w:numPr>
          <w:ilvl w:val="0"/>
          <w:numId w:val="11"/>
        </w:numPr>
        <w:tabs>
          <w:tab w:val="left" w:pos="1260"/>
        </w:tabs>
        <w:spacing w:before="20"/>
        <w:ind w:left="1260" w:hanging="540"/>
        <w:contextualSpacing w:val="0"/>
        <w:jc w:val="both"/>
      </w:pPr>
      <w:r w:rsidRPr="007D42B2">
        <w:rPr>
          <w:w w:val="115"/>
        </w:rPr>
        <w:t>Công ty mẹ mới có quyền kiểm soát công ty mẹ ban đầu bằng cách phát hành các công cụ vốn để đổi lấy các công cụ vốn hiện có của công ty mẹ ban đầu;</w:t>
      </w:r>
    </w:p>
    <w:p w:rsidR="001B1978" w:rsidRPr="007D42B2" w:rsidRDefault="001B1978" w:rsidP="00A772DB">
      <w:pPr>
        <w:pStyle w:val="ListParagraph"/>
        <w:numPr>
          <w:ilvl w:val="0"/>
          <w:numId w:val="11"/>
        </w:numPr>
        <w:tabs>
          <w:tab w:val="left" w:pos="1260"/>
        </w:tabs>
        <w:spacing w:before="20"/>
        <w:ind w:left="1260" w:hanging="540"/>
        <w:contextualSpacing w:val="0"/>
        <w:jc w:val="both"/>
      </w:pPr>
      <w:r w:rsidRPr="007D42B2">
        <w:rPr>
          <w:w w:val="115"/>
        </w:rPr>
        <w:t>Tài sản và nợ phải trả của tập đoàn mới và tập đoàn ban đầu là như nhau ngay trước và sau khi tổ chức lại;</w:t>
      </w:r>
      <w:r w:rsidRPr="007D42B2">
        <w:rPr>
          <w:spacing w:val="-24"/>
          <w:w w:val="115"/>
        </w:rPr>
        <w:t xml:space="preserve"> và</w:t>
      </w:r>
    </w:p>
    <w:p w:rsidR="001B1978" w:rsidRPr="007D42B2" w:rsidRDefault="001B1978" w:rsidP="00A772DB">
      <w:pPr>
        <w:pStyle w:val="ListParagraph"/>
        <w:numPr>
          <w:ilvl w:val="0"/>
          <w:numId w:val="11"/>
        </w:numPr>
        <w:tabs>
          <w:tab w:val="left" w:pos="1260"/>
        </w:tabs>
        <w:spacing w:before="20"/>
        <w:ind w:left="1260" w:hanging="540"/>
        <w:contextualSpacing w:val="0"/>
        <w:jc w:val="both"/>
        <w:rPr>
          <w:w w:val="115"/>
        </w:rPr>
      </w:pPr>
      <w:r w:rsidRPr="007D42B2">
        <w:rPr>
          <w:w w:val="115"/>
        </w:rPr>
        <w:t>Chủ sở hữu của công ty mẹ ban đầu trước khi tổ chức lại có lợi ích tuyệt đối và tương đối như nhau trong tài sản thuần của tập đoàn ban đầu và tập đoàn mới ngay trước và sau khi tổ chức lại, và công ty mẹ mới kế toán khoản đầu tư vào công ty mẹ ban đầu theo quy định tại đoạn 10(a) trong báo cáo tài chính riêng, công ty mẹ mới sẽ xác định giá gốc của khoản đầu tư bằng với giá trị ghi sổ của phần sở hữu của mình trong các khoản mục của vốn chủ sở hữu trình bày trên báo cáo tài chính riêng của công ty mẹ ban đầu tại ngày tổ chức lại.</w:t>
      </w:r>
    </w:p>
    <w:p w:rsidR="001B1978" w:rsidRPr="007D42B2" w:rsidRDefault="001B1978" w:rsidP="00A772DB">
      <w:pPr>
        <w:pStyle w:val="ListParagraph"/>
        <w:tabs>
          <w:tab w:val="left" w:pos="1260"/>
        </w:tabs>
        <w:spacing w:before="20"/>
        <w:ind w:left="1260" w:right="1067"/>
        <w:contextualSpacing w:val="0"/>
        <w:jc w:val="both"/>
        <w:rPr>
          <w:w w:val="105"/>
        </w:rPr>
      </w:pPr>
    </w:p>
    <w:p w:rsidR="001B1978" w:rsidRPr="007D42B2" w:rsidRDefault="001B1978" w:rsidP="00A772DB">
      <w:pPr>
        <w:pStyle w:val="ListParagraph"/>
        <w:numPr>
          <w:ilvl w:val="0"/>
          <w:numId w:val="1"/>
        </w:numPr>
        <w:spacing w:before="20"/>
        <w:ind w:hanging="720"/>
        <w:jc w:val="both"/>
        <w:rPr>
          <w:w w:val="115"/>
        </w:rPr>
      </w:pPr>
      <w:r w:rsidRPr="007D42B2">
        <w:rPr>
          <w:w w:val="115"/>
          <w:position w:val="1"/>
        </w:rPr>
        <w:t xml:space="preserve">Tương tự, một đơn vị không phải công ty mẹ có thể thành lập một công ty mới là công ty mẹ của nó đáp ứng các tiêu chí trong đoạn </w:t>
      </w:r>
      <w:r w:rsidRPr="007D42B2">
        <w:rPr>
          <w:w w:val="115"/>
        </w:rPr>
        <w:t>13. Các yêu cầu trong đoạn 13 cũng áp dụng tương tự cho việc tổ chức lại này. Trong tường hợp này, “công ty mẹ ban đầu” và “tập đoàn ban đầu” là “đơn vị ban đầu”.</w:t>
      </w:r>
    </w:p>
    <w:p w:rsidR="00114EF1" w:rsidRPr="007D42B2" w:rsidRDefault="009700D9" w:rsidP="001A4C40">
      <w:pPr>
        <w:pBdr>
          <w:bottom w:val="single" w:sz="6" w:space="1" w:color="auto"/>
        </w:pBdr>
        <w:spacing w:before="20"/>
        <w:jc w:val="both"/>
        <w:rPr>
          <w:b/>
          <w:sz w:val="30"/>
        </w:rPr>
      </w:pPr>
      <w:r w:rsidRPr="007D42B2">
        <w:rPr>
          <w:b/>
          <w:noProof/>
          <w:sz w:val="30"/>
          <w:lang w:bidi="ar-SA"/>
        </w:rPr>
        <w:pict>
          <v:line id="Line 8" o:spid="_x0000_s1026" style="position:absolute;left:0;text-align:left;z-index:-251657216;visibility:visible;mso-wrap-distance-left:0;mso-wrap-distance-right:0;mso-position-horizontal-relative:page" from="483.3pt,19.85pt" to="483.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i5FgIAADw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" strokeweight=".5pt">
            <w10:wrap type="topAndBottom" anchorx="page"/>
          </v:line>
        </w:pict>
      </w:r>
      <w:bookmarkStart w:id="1" w:name="_bookmark5"/>
      <w:bookmarkEnd w:id="1"/>
      <w:r w:rsidR="00114EF1" w:rsidRPr="007D42B2">
        <w:rPr>
          <w:b/>
          <w:sz w:val="30"/>
        </w:rPr>
        <w:t>Thuyết minh</w:t>
      </w:r>
    </w:p>
    <w:p w:rsidR="00114EF1" w:rsidRPr="007D42B2" w:rsidRDefault="00114EF1" w:rsidP="00A772DB">
      <w:pPr>
        <w:spacing w:before="20"/>
        <w:jc w:val="both"/>
        <w:rPr>
          <w:w w:val="115"/>
        </w:rPr>
      </w:pPr>
    </w:p>
    <w:p w:rsidR="00114EF1" w:rsidRPr="007D42B2" w:rsidRDefault="00114EF1" w:rsidP="00A772DB">
      <w:pPr>
        <w:pStyle w:val="ListParagraph"/>
        <w:numPr>
          <w:ilvl w:val="0"/>
          <w:numId w:val="1"/>
        </w:numPr>
        <w:spacing w:before="20"/>
        <w:ind w:hanging="720"/>
        <w:jc w:val="both"/>
        <w:rPr>
          <w:b/>
        </w:rPr>
      </w:pPr>
      <w:r w:rsidRPr="007D42B2">
        <w:rPr>
          <w:b/>
          <w:w w:val="110"/>
        </w:rPr>
        <w:t xml:space="preserve">Một đơn vị phải áp dụng tất cả các IFRS có liên quan khi </w:t>
      </w:r>
      <w:r w:rsidR="008809E8" w:rsidRPr="007D42B2">
        <w:rPr>
          <w:b/>
          <w:w w:val="110"/>
        </w:rPr>
        <w:t>thuyết minh</w:t>
      </w:r>
      <w:r w:rsidRPr="007D42B2">
        <w:rPr>
          <w:b/>
          <w:w w:val="110"/>
        </w:rPr>
        <w:t xml:space="preserve"> trên báo cáo tài chính riêng, bao gồm cả những yêu cầu trong các đoạn 16 – 17.</w:t>
      </w:r>
    </w:p>
    <w:p w:rsidR="00114EF1" w:rsidRPr="007D42B2" w:rsidRDefault="00114EF1" w:rsidP="00A772DB">
      <w:pPr>
        <w:pStyle w:val="ListParagraph"/>
        <w:spacing w:before="20"/>
        <w:jc w:val="both"/>
        <w:rPr>
          <w:b/>
        </w:rPr>
      </w:pPr>
    </w:p>
    <w:p w:rsidR="00114EF1" w:rsidRPr="007D42B2" w:rsidRDefault="00114EF1" w:rsidP="00A772DB">
      <w:pPr>
        <w:pStyle w:val="ListParagraph"/>
        <w:numPr>
          <w:ilvl w:val="0"/>
          <w:numId w:val="1"/>
        </w:numPr>
        <w:spacing w:before="20"/>
        <w:ind w:hanging="720"/>
        <w:jc w:val="both"/>
        <w:rPr>
          <w:b/>
        </w:rPr>
      </w:pPr>
      <w:r w:rsidRPr="007D42B2">
        <w:rPr>
          <w:b/>
          <w:w w:val="110"/>
        </w:rPr>
        <w:t xml:space="preserve">Khi công ty mẹ, theo quy định tại đoạn 4(a) của IFRS 10, chọn không lập báo cáo tài chính hợp nhất và chỉ lập báo cáo tài chính riêng, thì công ty mẹ phải </w:t>
      </w:r>
      <w:r w:rsidR="008809E8" w:rsidRPr="007D42B2">
        <w:rPr>
          <w:b/>
          <w:w w:val="110"/>
        </w:rPr>
        <w:t>thuyết minh</w:t>
      </w:r>
      <w:r w:rsidRPr="007D42B2">
        <w:rPr>
          <w:b/>
          <w:w w:val="110"/>
        </w:rPr>
        <w:t xml:space="preserve"> trong báo cáo tài chính riêng:</w:t>
      </w:r>
    </w:p>
    <w:p w:rsidR="008809E8" w:rsidRPr="007D42B2" w:rsidRDefault="008809E8" w:rsidP="00704D04">
      <w:pPr>
        <w:pStyle w:val="Heading6"/>
        <w:keepNext w:val="0"/>
        <w:keepLines w:val="0"/>
        <w:numPr>
          <w:ilvl w:val="0"/>
          <w:numId w:val="12"/>
        </w:numPr>
        <w:tabs>
          <w:tab w:val="left" w:pos="1260"/>
        </w:tabs>
        <w:spacing w:before="20"/>
        <w:ind w:left="1260" w:hanging="540"/>
        <w:jc w:val="both"/>
        <w:rPr>
          <w:rFonts w:ascii="Times New Roman" w:hAnsi="Times New Roman" w:cs="Times New Roman"/>
          <w:b/>
          <w:color w:val="auto"/>
          <w:w w:val="110"/>
        </w:rPr>
      </w:pPr>
      <w:r w:rsidRPr="007D42B2">
        <w:rPr>
          <w:rFonts w:ascii="Times New Roman" w:hAnsi="Times New Roman" w:cs="Times New Roman"/>
          <w:b/>
          <w:color w:val="auto"/>
          <w:w w:val="110"/>
        </w:rPr>
        <w:t xml:space="preserve">Báo cáo tài chính là báo cáo tài chính riêng; cơ sở của việc miễn trừ hợp nhất đã được sử dụng; tên và địa điểm kinh doanh chính (và quốc gia nơi thành lập công ty, nếu khác nơi kinh doanh) của đơn vị có báo cáo tài </w:t>
      </w:r>
      <w:r w:rsidRPr="007D42B2">
        <w:rPr>
          <w:rFonts w:ascii="Times New Roman" w:hAnsi="Times New Roman" w:cs="Times New Roman"/>
          <w:b/>
          <w:color w:val="auto"/>
          <w:w w:val="110"/>
        </w:rPr>
        <w:lastRenderedPageBreak/>
        <w:t xml:space="preserve">chính hợp nhất được lập theo các Chuẩn mực lập báo cáo tài chính </w:t>
      </w:r>
      <w:r w:rsidR="00C0283A" w:rsidRPr="007D42B2">
        <w:rPr>
          <w:rFonts w:ascii="Times New Roman" w:hAnsi="Times New Roman" w:cs="Times New Roman"/>
          <w:b/>
          <w:color w:val="auto"/>
          <w:w w:val="110"/>
        </w:rPr>
        <w:t>Q</w:t>
      </w:r>
      <w:r w:rsidRPr="007D42B2">
        <w:rPr>
          <w:rFonts w:ascii="Times New Roman" w:hAnsi="Times New Roman" w:cs="Times New Roman"/>
          <w:b/>
          <w:color w:val="auto"/>
          <w:w w:val="110"/>
        </w:rPr>
        <w:t>uốc tế cho mục đích công bố thông tin cho công chúng; và địa chỉ nơi báo cáo tài chính hợp nhất này có thể thu thập.</w:t>
      </w:r>
    </w:p>
    <w:p w:rsidR="004A35C6" w:rsidRPr="007D42B2" w:rsidRDefault="004A35C6" w:rsidP="005A44E2"/>
    <w:p w:rsidR="008809E8" w:rsidRPr="007D42B2" w:rsidRDefault="008809E8" w:rsidP="00704D04">
      <w:pPr>
        <w:pStyle w:val="Heading6"/>
        <w:keepNext w:val="0"/>
        <w:keepLines w:val="0"/>
        <w:numPr>
          <w:ilvl w:val="0"/>
          <w:numId w:val="12"/>
        </w:numPr>
        <w:tabs>
          <w:tab w:val="left" w:pos="1260"/>
        </w:tabs>
        <w:spacing w:before="20"/>
        <w:ind w:left="1260" w:hanging="540"/>
        <w:jc w:val="both"/>
        <w:rPr>
          <w:rFonts w:ascii="Times New Roman" w:hAnsi="Times New Roman" w:cs="Times New Roman"/>
          <w:b/>
          <w:color w:val="auto"/>
          <w:w w:val="110"/>
        </w:rPr>
      </w:pPr>
      <w:r w:rsidRPr="007D42B2">
        <w:rPr>
          <w:rFonts w:ascii="Times New Roman" w:hAnsi="Times New Roman" w:cs="Times New Roman"/>
          <w:b/>
          <w:color w:val="auto"/>
          <w:w w:val="110"/>
        </w:rPr>
        <w:t>Danh mục các khoản đầu tư quan trọng vào công ty con, công ty liên doanh và công ty liên kết, bao gồm:</w:t>
      </w:r>
    </w:p>
    <w:p w:rsidR="008809E8" w:rsidRPr="007D42B2" w:rsidRDefault="008809E8" w:rsidP="00704D04">
      <w:pPr>
        <w:pStyle w:val="Heading6"/>
        <w:keepNext w:val="0"/>
        <w:keepLines w:val="0"/>
        <w:numPr>
          <w:ilvl w:val="1"/>
          <w:numId w:val="12"/>
        </w:numPr>
        <w:tabs>
          <w:tab w:val="left" w:pos="1800"/>
        </w:tabs>
        <w:spacing w:before="20"/>
        <w:ind w:left="1800" w:hanging="540"/>
        <w:jc w:val="both"/>
        <w:rPr>
          <w:rFonts w:ascii="Times New Roman" w:hAnsi="Times New Roman" w:cs="Times New Roman"/>
          <w:b/>
          <w:color w:val="auto"/>
        </w:rPr>
      </w:pPr>
      <w:r w:rsidRPr="007D42B2">
        <w:rPr>
          <w:rFonts w:ascii="Times New Roman" w:hAnsi="Times New Roman" w:cs="Times New Roman"/>
          <w:b/>
          <w:color w:val="auto"/>
          <w:w w:val="115"/>
        </w:rPr>
        <w:t xml:space="preserve">Tên của các công ty được đầu </w:t>
      </w:r>
      <w:proofErr w:type="gramStart"/>
      <w:r w:rsidRPr="007D42B2">
        <w:rPr>
          <w:rFonts w:ascii="Times New Roman" w:hAnsi="Times New Roman" w:cs="Times New Roman"/>
          <w:b/>
          <w:color w:val="auto"/>
          <w:w w:val="115"/>
        </w:rPr>
        <w:t>tư</w:t>
      </w:r>
      <w:proofErr w:type="gramEnd"/>
      <w:r w:rsidRPr="007D42B2">
        <w:rPr>
          <w:rFonts w:ascii="Times New Roman" w:hAnsi="Times New Roman" w:cs="Times New Roman"/>
          <w:b/>
          <w:color w:val="auto"/>
          <w:w w:val="115"/>
        </w:rPr>
        <w:t>.</w:t>
      </w:r>
    </w:p>
    <w:p w:rsidR="008809E8" w:rsidRPr="007D42B2" w:rsidRDefault="008809E8" w:rsidP="00704D04">
      <w:pPr>
        <w:pStyle w:val="Heading6"/>
        <w:keepNext w:val="0"/>
        <w:keepLines w:val="0"/>
        <w:numPr>
          <w:ilvl w:val="1"/>
          <w:numId w:val="12"/>
        </w:numPr>
        <w:tabs>
          <w:tab w:val="left" w:pos="1800"/>
        </w:tabs>
        <w:spacing w:before="20"/>
        <w:ind w:left="1800" w:right="557" w:hanging="540"/>
        <w:jc w:val="both"/>
        <w:rPr>
          <w:rFonts w:ascii="Times New Roman" w:hAnsi="Times New Roman" w:cs="Times New Roman"/>
          <w:b/>
          <w:color w:val="auto"/>
        </w:rPr>
      </w:pPr>
      <w:r w:rsidRPr="007D42B2">
        <w:rPr>
          <w:rFonts w:ascii="Times New Roman" w:hAnsi="Times New Roman" w:cs="Times New Roman"/>
          <w:b/>
          <w:color w:val="auto"/>
          <w:w w:val="110"/>
        </w:rPr>
        <w:t xml:space="preserve">Địa điểm kinh doanh chính (và quốc gia nơi thành lập công ty, nếu khác nơi kinh doanh) của các công ty được đầu </w:t>
      </w:r>
      <w:proofErr w:type="gramStart"/>
      <w:r w:rsidRPr="007D42B2">
        <w:rPr>
          <w:rFonts w:ascii="Times New Roman" w:hAnsi="Times New Roman" w:cs="Times New Roman"/>
          <w:b/>
          <w:color w:val="auto"/>
          <w:w w:val="110"/>
        </w:rPr>
        <w:t>tư</w:t>
      </w:r>
      <w:proofErr w:type="gramEnd"/>
      <w:r w:rsidRPr="007D42B2">
        <w:rPr>
          <w:rFonts w:ascii="Times New Roman" w:hAnsi="Times New Roman" w:cs="Times New Roman"/>
          <w:b/>
          <w:color w:val="auto"/>
          <w:w w:val="110"/>
        </w:rPr>
        <w:t>.</w:t>
      </w:r>
    </w:p>
    <w:p w:rsidR="008809E8" w:rsidRPr="007D42B2" w:rsidRDefault="008809E8" w:rsidP="00704D04">
      <w:pPr>
        <w:pStyle w:val="Heading6"/>
        <w:keepNext w:val="0"/>
        <w:keepLines w:val="0"/>
        <w:numPr>
          <w:ilvl w:val="1"/>
          <w:numId w:val="12"/>
        </w:numPr>
        <w:tabs>
          <w:tab w:val="left" w:pos="1800"/>
        </w:tabs>
        <w:spacing w:before="20"/>
        <w:ind w:left="1800" w:right="557" w:hanging="540"/>
        <w:jc w:val="both"/>
        <w:rPr>
          <w:rFonts w:ascii="Times New Roman" w:hAnsi="Times New Roman" w:cs="Times New Roman"/>
          <w:b/>
          <w:color w:val="auto"/>
        </w:rPr>
      </w:pPr>
      <w:proofErr w:type="gramStart"/>
      <w:r w:rsidRPr="007D42B2">
        <w:rPr>
          <w:rFonts w:ascii="Times New Roman" w:hAnsi="Times New Roman" w:cs="Times New Roman"/>
          <w:b/>
          <w:color w:val="auto"/>
          <w:w w:val="110"/>
        </w:rPr>
        <w:t>Tỷ lệ sở hữu (và tỷ lệ quyền biểu quyết, nếu khác với tỷ lệ sở hữu) nắm giữ tại các công ty được đầu tư này.</w:t>
      </w:r>
      <w:proofErr w:type="gramEnd"/>
    </w:p>
    <w:p w:rsidR="008809E8" w:rsidRPr="007D42B2" w:rsidRDefault="008809E8" w:rsidP="00A772DB">
      <w:pPr>
        <w:pStyle w:val="Heading6"/>
        <w:keepNext w:val="0"/>
        <w:keepLines w:val="0"/>
        <w:numPr>
          <w:ilvl w:val="0"/>
          <w:numId w:val="12"/>
        </w:numPr>
        <w:tabs>
          <w:tab w:val="left" w:pos="1260"/>
        </w:tabs>
        <w:spacing w:before="20"/>
        <w:ind w:left="1260" w:hanging="540"/>
        <w:jc w:val="both"/>
        <w:rPr>
          <w:rFonts w:ascii="Times New Roman" w:hAnsi="Times New Roman" w:cs="Times New Roman"/>
          <w:b/>
          <w:color w:val="auto"/>
        </w:rPr>
      </w:pPr>
      <w:proofErr w:type="gramStart"/>
      <w:r w:rsidRPr="007D42B2">
        <w:rPr>
          <w:rFonts w:ascii="Times New Roman" w:hAnsi="Times New Roman" w:cs="Times New Roman"/>
          <w:b/>
          <w:color w:val="auto"/>
          <w:w w:val="115"/>
        </w:rPr>
        <w:t>Mô tả phương pháp sử dụng để kế toán cho các khoản đầu tư được liệt kê trong mục (b).</w:t>
      </w:r>
      <w:proofErr w:type="gramEnd"/>
    </w:p>
    <w:p w:rsidR="008809E8" w:rsidRPr="007D42B2" w:rsidRDefault="008809E8" w:rsidP="00A772DB">
      <w:pPr>
        <w:pStyle w:val="ListParagraph"/>
        <w:spacing w:before="20"/>
        <w:jc w:val="both"/>
        <w:rPr>
          <w:b/>
        </w:rPr>
      </w:pPr>
    </w:p>
    <w:p w:rsidR="008809E8" w:rsidRPr="007D42B2" w:rsidRDefault="008809E8" w:rsidP="00A772DB">
      <w:pPr>
        <w:pStyle w:val="ListParagraph"/>
        <w:spacing w:before="20"/>
        <w:ind w:hanging="720"/>
        <w:jc w:val="both"/>
        <w:rPr>
          <w:b/>
        </w:rPr>
      </w:pPr>
      <w:r w:rsidRPr="007D42B2">
        <w:rPr>
          <w:b/>
          <w:w w:val="110"/>
        </w:rPr>
        <w:t>16A</w:t>
      </w:r>
      <w:r w:rsidRPr="007D42B2">
        <w:rPr>
          <w:b/>
          <w:w w:val="110"/>
        </w:rPr>
        <w:tab/>
        <w:t xml:space="preserve">Khi một đơn vị quản lý quỹ đầu tư là công ty mẹ (không phải công ty mẹ </w:t>
      </w:r>
      <w:proofErr w:type="gramStart"/>
      <w:r w:rsidRPr="007D42B2">
        <w:rPr>
          <w:b/>
          <w:w w:val="110"/>
        </w:rPr>
        <w:t>theo</w:t>
      </w:r>
      <w:proofErr w:type="gramEnd"/>
      <w:r w:rsidRPr="007D42B2">
        <w:rPr>
          <w:b/>
          <w:w w:val="110"/>
        </w:rPr>
        <w:t xml:space="preserve"> quy định tại đoạn 16) lập báo cáo tài chính riêng, theo quy định tại đoạn 8A, là báo cáo tài chính duy nhất thì phải thuyết minh thông tin này. Đơn vị quản lý quỹ đầu tư cũng </w:t>
      </w:r>
      <w:r w:rsidR="00C0283A" w:rsidRPr="007D42B2">
        <w:rPr>
          <w:b/>
          <w:w w:val="110"/>
        </w:rPr>
        <w:t xml:space="preserve">trình bày các thuyết minh </w:t>
      </w:r>
      <w:r w:rsidRPr="007D42B2">
        <w:rPr>
          <w:b/>
          <w:w w:val="110"/>
        </w:rPr>
        <w:t xml:space="preserve">liên quan đến các đơn vị quản lý quỹ đầu tư </w:t>
      </w:r>
      <w:proofErr w:type="gramStart"/>
      <w:r w:rsidRPr="007D42B2">
        <w:rPr>
          <w:b/>
          <w:w w:val="110"/>
        </w:rPr>
        <w:t>theo</w:t>
      </w:r>
      <w:proofErr w:type="gramEnd"/>
      <w:r w:rsidRPr="007D42B2">
        <w:rPr>
          <w:b/>
          <w:w w:val="110"/>
        </w:rPr>
        <w:t xml:space="preserve"> yêu cầu của IFRS 12 </w:t>
      </w:r>
      <w:r w:rsidR="00C0283A" w:rsidRPr="007D42B2">
        <w:rPr>
          <w:b/>
          <w:i/>
          <w:w w:val="110"/>
        </w:rPr>
        <w:t xml:space="preserve">Thuyết minh </w:t>
      </w:r>
      <w:r w:rsidRPr="007D42B2">
        <w:rPr>
          <w:b/>
          <w:i/>
          <w:w w:val="110"/>
        </w:rPr>
        <w:t>thông tin về lợi ích trong các đơn vị khác</w:t>
      </w:r>
      <w:r w:rsidRPr="007D42B2">
        <w:rPr>
          <w:b/>
          <w:w w:val="110"/>
        </w:rPr>
        <w:t>.</w:t>
      </w:r>
    </w:p>
    <w:p w:rsidR="008809E8" w:rsidRPr="007D42B2" w:rsidRDefault="008809E8" w:rsidP="00A772DB">
      <w:pPr>
        <w:pStyle w:val="ListParagraph"/>
        <w:spacing w:before="20"/>
        <w:jc w:val="both"/>
        <w:rPr>
          <w:b/>
        </w:rPr>
      </w:pPr>
    </w:p>
    <w:p w:rsidR="008809E8" w:rsidRPr="007D42B2" w:rsidRDefault="008809E8" w:rsidP="00A772DB">
      <w:pPr>
        <w:pStyle w:val="ListParagraph"/>
        <w:numPr>
          <w:ilvl w:val="0"/>
          <w:numId w:val="1"/>
        </w:numPr>
        <w:spacing w:before="20"/>
        <w:ind w:hanging="720"/>
        <w:jc w:val="both"/>
        <w:rPr>
          <w:b/>
        </w:rPr>
      </w:pPr>
      <w:r w:rsidRPr="007D42B2">
        <w:rPr>
          <w:b/>
          <w:w w:val="110"/>
        </w:rPr>
        <w:t xml:space="preserve">Khi công ty mẹ (không phải công ty mẹ theo quy định tại đoạn 16–16A) hoặc một nhà đầu tư có quyền đồng kiểm soát, hoặc có ảnh hưởng đáng kể đến một công ty được đầu tư lập báo cáo tài chính riêng, thì công ty mẹ hoặc nhà đầu tư sẽ lập báo cáo tài chính theo các quy định có liên quan tại IFRS 10, IFRS 11 hoặc IAS 28 (được sửa đổi năm 2011). Công ty mẹ hoặc nhà đầu tư sẽ </w:t>
      </w:r>
      <w:r w:rsidR="00C0283A" w:rsidRPr="007D42B2">
        <w:rPr>
          <w:b/>
          <w:w w:val="110"/>
        </w:rPr>
        <w:t>thuyết minh</w:t>
      </w:r>
      <w:r w:rsidRPr="007D42B2">
        <w:rPr>
          <w:b/>
          <w:w w:val="110"/>
        </w:rPr>
        <w:t xml:space="preserve"> trong báo cáo tài chính riêng:</w:t>
      </w:r>
    </w:p>
    <w:p w:rsidR="008809E8" w:rsidRPr="007D42B2" w:rsidRDefault="008809E8" w:rsidP="00A772DB">
      <w:pPr>
        <w:pStyle w:val="ListParagraph"/>
        <w:numPr>
          <w:ilvl w:val="0"/>
          <w:numId w:val="13"/>
        </w:numPr>
        <w:spacing w:before="20"/>
        <w:ind w:left="1260" w:hanging="540"/>
        <w:jc w:val="both"/>
        <w:rPr>
          <w:b/>
        </w:rPr>
      </w:pPr>
      <w:r w:rsidRPr="007D42B2">
        <w:rPr>
          <w:b/>
          <w:w w:val="115"/>
        </w:rPr>
        <w:t>Báo cáo tài chính là báo cáo tài chính riêng và lý do báo cáo tài chính này được lập, nếu pháp luật không yêu cầu.</w:t>
      </w:r>
    </w:p>
    <w:p w:rsidR="008809E8" w:rsidRPr="007D42B2" w:rsidRDefault="008809E8" w:rsidP="00A772DB">
      <w:pPr>
        <w:pStyle w:val="ListParagraph"/>
        <w:numPr>
          <w:ilvl w:val="0"/>
          <w:numId w:val="13"/>
        </w:numPr>
        <w:spacing w:before="20"/>
        <w:ind w:left="1260" w:hanging="540"/>
        <w:jc w:val="both"/>
        <w:rPr>
          <w:b/>
        </w:rPr>
      </w:pPr>
      <w:r w:rsidRPr="007D42B2">
        <w:rPr>
          <w:b/>
          <w:w w:val="110"/>
        </w:rPr>
        <w:t>Danh sách các khoản đầu tư quan trọng vào công ty con, công ty liên doanh và công ty liên kết, bao gồm:</w:t>
      </w:r>
    </w:p>
    <w:p w:rsidR="008809E8" w:rsidRPr="007D42B2" w:rsidRDefault="008809E8" w:rsidP="00704D04">
      <w:pPr>
        <w:pStyle w:val="Heading6"/>
        <w:keepNext w:val="0"/>
        <w:keepLines w:val="0"/>
        <w:numPr>
          <w:ilvl w:val="1"/>
          <w:numId w:val="9"/>
        </w:numPr>
        <w:tabs>
          <w:tab w:val="left" w:pos="1800"/>
        </w:tabs>
        <w:spacing w:before="20"/>
        <w:ind w:left="1800" w:hanging="540"/>
        <w:jc w:val="both"/>
        <w:rPr>
          <w:rFonts w:ascii="Times New Roman" w:hAnsi="Times New Roman" w:cs="Times New Roman"/>
          <w:b/>
          <w:color w:val="auto"/>
        </w:rPr>
      </w:pPr>
      <w:r w:rsidRPr="007D42B2">
        <w:rPr>
          <w:rFonts w:ascii="Times New Roman" w:hAnsi="Times New Roman" w:cs="Times New Roman"/>
          <w:b/>
          <w:color w:val="auto"/>
          <w:w w:val="115"/>
        </w:rPr>
        <w:t xml:space="preserve">Tên của các công ty được đầu </w:t>
      </w:r>
      <w:proofErr w:type="gramStart"/>
      <w:r w:rsidRPr="007D42B2">
        <w:rPr>
          <w:rFonts w:ascii="Times New Roman" w:hAnsi="Times New Roman" w:cs="Times New Roman"/>
          <w:b/>
          <w:color w:val="auto"/>
          <w:w w:val="115"/>
        </w:rPr>
        <w:t>tư</w:t>
      </w:r>
      <w:proofErr w:type="gramEnd"/>
      <w:r w:rsidRPr="007D42B2">
        <w:rPr>
          <w:rFonts w:ascii="Times New Roman" w:hAnsi="Times New Roman" w:cs="Times New Roman"/>
          <w:b/>
          <w:color w:val="auto"/>
          <w:w w:val="115"/>
        </w:rPr>
        <w:t>.</w:t>
      </w:r>
    </w:p>
    <w:p w:rsidR="008809E8" w:rsidRPr="007D42B2" w:rsidRDefault="008809E8" w:rsidP="00704D04">
      <w:pPr>
        <w:pStyle w:val="Heading6"/>
        <w:keepNext w:val="0"/>
        <w:keepLines w:val="0"/>
        <w:numPr>
          <w:ilvl w:val="1"/>
          <w:numId w:val="9"/>
        </w:numPr>
        <w:tabs>
          <w:tab w:val="left" w:pos="1800"/>
        </w:tabs>
        <w:spacing w:before="20"/>
        <w:ind w:left="1800" w:right="1067" w:hanging="540"/>
        <w:jc w:val="both"/>
        <w:rPr>
          <w:rFonts w:ascii="Times New Roman" w:hAnsi="Times New Roman" w:cs="Times New Roman"/>
          <w:b/>
          <w:color w:val="auto"/>
        </w:rPr>
      </w:pPr>
      <w:proofErr w:type="gramStart"/>
      <w:r w:rsidRPr="007D42B2">
        <w:rPr>
          <w:rFonts w:ascii="Times New Roman" w:hAnsi="Times New Roman" w:cs="Times New Roman"/>
          <w:b/>
          <w:color w:val="auto"/>
          <w:w w:val="110"/>
        </w:rPr>
        <w:t>Địa điểm kinh doanh chính (và quốc gia nơi thành lập công ty, nếu khác địa điểm kinh doanh) của các công ty được đầu tư này.</w:t>
      </w:r>
      <w:proofErr w:type="gramEnd"/>
    </w:p>
    <w:p w:rsidR="008809E8" w:rsidRPr="007D42B2" w:rsidRDefault="008809E8" w:rsidP="00704D04">
      <w:pPr>
        <w:pStyle w:val="Heading6"/>
        <w:keepNext w:val="0"/>
        <w:keepLines w:val="0"/>
        <w:numPr>
          <w:ilvl w:val="1"/>
          <w:numId w:val="9"/>
        </w:numPr>
        <w:tabs>
          <w:tab w:val="left" w:pos="1800"/>
        </w:tabs>
        <w:spacing w:before="20"/>
        <w:ind w:left="1800" w:right="1067" w:hanging="540"/>
        <w:jc w:val="both"/>
        <w:rPr>
          <w:rFonts w:ascii="Times New Roman" w:hAnsi="Times New Roman" w:cs="Times New Roman"/>
          <w:b/>
          <w:color w:val="auto"/>
          <w:w w:val="110"/>
        </w:rPr>
      </w:pPr>
      <w:proofErr w:type="gramStart"/>
      <w:r w:rsidRPr="007D42B2">
        <w:rPr>
          <w:rFonts w:ascii="Times New Roman" w:hAnsi="Times New Roman" w:cs="Times New Roman"/>
          <w:b/>
          <w:color w:val="auto"/>
          <w:w w:val="110"/>
        </w:rPr>
        <w:t>Tỷ lệ sở hữu (và tỷ lệ quyền biểu quyết, nếu khác với tỷ lệ sở hữu) nắm giữ tại các công ty được đầu tư này.</w:t>
      </w:r>
      <w:proofErr w:type="gramEnd"/>
    </w:p>
    <w:p w:rsidR="008809E8" w:rsidRPr="007D42B2" w:rsidRDefault="008809E8" w:rsidP="00A772DB">
      <w:pPr>
        <w:pStyle w:val="ListParagraph"/>
        <w:numPr>
          <w:ilvl w:val="0"/>
          <w:numId w:val="13"/>
        </w:numPr>
        <w:spacing w:before="20"/>
        <w:ind w:left="1260" w:hanging="540"/>
        <w:jc w:val="both"/>
        <w:rPr>
          <w:b/>
          <w:w w:val="110"/>
        </w:rPr>
      </w:pPr>
      <w:r w:rsidRPr="007D42B2">
        <w:rPr>
          <w:b/>
          <w:w w:val="110"/>
        </w:rPr>
        <w:t>Mô tả phương pháp sử dụng để kế toán cho các khoản đầu tư được liệt kê trong mục (b).</w:t>
      </w:r>
    </w:p>
    <w:p w:rsidR="00704D04" w:rsidRPr="007D42B2" w:rsidRDefault="00704D04" w:rsidP="00A772DB">
      <w:pPr>
        <w:spacing w:before="20"/>
        <w:jc w:val="both"/>
        <w:rPr>
          <w:b/>
        </w:rPr>
      </w:pPr>
    </w:p>
    <w:p w:rsidR="008809E8" w:rsidRPr="007D42B2" w:rsidRDefault="00704D04" w:rsidP="001A4C40">
      <w:pPr>
        <w:pBdr>
          <w:bottom w:val="single" w:sz="6" w:space="1" w:color="auto"/>
        </w:pBdr>
        <w:spacing w:before="20"/>
        <w:jc w:val="both"/>
        <w:rPr>
          <w:sz w:val="30"/>
        </w:rPr>
      </w:pPr>
      <w:r w:rsidRPr="007D42B2">
        <w:rPr>
          <w:b/>
          <w:sz w:val="30"/>
        </w:rPr>
        <w:t>Ngày có hiệu lực và chuyển đổi</w:t>
      </w:r>
    </w:p>
    <w:p w:rsidR="008809E8" w:rsidRPr="007D42B2" w:rsidRDefault="009700D9" w:rsidP="00A772DB">
      <w:pPr>
        <w:spacing w:before="20"/>
        <w:jc w:val="both"/>
        <w:rPr>
          <w:b/>
        </w:rPr>
      </w:pPr>
      <w:r w:rsidRPr="007D42B2">
        <w:rPr>
          <w:b/>
          <w:noProof/>
          <w:lang w:bidi="ar-SA"/>
        </w:rPr>
        <w:pict>
          <v:line id="Line 7" o:spid="_x0000_s1031" style="position:absolute;left:0;text-align:left;z-index:-251655168;visibility:visible;mso-wrap-distance-left:0;mso-wrap-distance-right:0;mso-position-horizontal-relative:page" from="457.8pt,19.9pt" to="457.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fFwIAADw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" strokeweight=".5pt">
            <w10:wrap type="topAndBottom" anchorx="page"/>
          </v:line>
        </w:pict>
      </w:r>
      <w:bookmarkStart w:id="2" w:name="_bookmark6"/>
      <w:bookmarkEnd w:id="2"/>
    </w:p>
    <w:p w:rsidR="008809E8" w:rsidRPr="007D42B2" w:rsidRDefault="008809E8" w:rsidP="00A772DB">
      <w:pPr>
        <w:pStyle w:val="ListParagraph"/>
        <w:numPr>
          <w:ilvl w:val="0"/>
          <w:numId w:val="1"/>
        </w:numPr>
        <w:spacing w:before="20"/>
        <w:ind w:hanging="720"/>
        <w:jc w:val="both"/>
      </w:pPr>
      <w:r w:rsidRPr="007D42B2">
        <w:rPr>
          <w:w w:val="110"/>
        </w:rPr>
        <w:t xml:space="preserve">Chuẩn mực này được áp dụng cho kỳ báo cáo năm bắt đầu từ hoặc sau ngày 1 tháng 1 năm 2013. Đơn vị được phép áp dụng sớm hơn chuẩn mực này. Nếu áp dụng </w:t>
      </w:r>
      <w:r w:rsidR="004D3F32" w:rsidRPr="007D42B2">
        <w:rPr>
          <w:w w:val="110"/>
        </w:rPr>
        <w:t>c</w:t>
      </w:r>
      <w:r w:rsidRPr="007D42B2">
        <w:rPr>
          <w:w w:val="110"/>
        </w:rPr>
        <w:t xml:space="preserve">huẩn mực này sớm hơn yêu cầu thì phải </w:t>
      </w:r>
      <w:r w:rsidR="00C0283A" w:rsidRPr="007D42B2">
        <w:rPr>
          <w:w w:val="110"/>
        </w:rPr>
        <w:t>thuyết minh</w:t>
      </w:r>
      <w:r w:rsidRPr="007D42B2">
        <w:rPr>
          <w:w w:val="110"/>
        </w:rPr>
        <w:t xml:space="preserve"> thông tin về việc áp dụng sớm và áp dụng đồng thời IFRS 10, IFRS 11, IFRS 12 và IAS 28 (được sửa đổi vào năm 2011).</w:t>
      </w:r>
    </w:p>
    <w:p w:rsidR="008809E8" w:rsidRPr="007D42B2" w:rsidRDefault="008809E8" w:rsidP="00A772DB">
      <w:pPr>
        <w:spacing w:before="20"/>
        <w:jc w:val="both"/>
      </w:pPr>
    </w:p>
    <w:p w:rsidR="008809E8" w:rsidRPr="007D42B2" w:rsidRDefault="008809E8" w:rsidP="00A772DB">
      <w:pPr>
        <w:pStyle w:val="BodyText"/>
        <w:spacing w:before="20"/>
        <w:ind w:left="720" w:hanging="720"/>
        <w:jc w:val="both"/>
        <w:rPr>
          <w:sz w:val="22"/>
          <w:szCs w:val="22"/>
        </w:rPr>
      </w:pPr>
      <w:r w:rsidRPr="007D42B2">
        <w:rPr>
          <w:w w:val="110"/>
          <w:sz w:val="22"/>
          <w:szCs w:val="22"/>
        </w:rPr>
        <w:t>18A</w:t>
      </w:r>
      <w:r w:rsidRPr="007D42B2">
        <w:rPr>
          <w:w w:val="110"/>
          <w:sz w:val="22"/>
          <w:szCs w:val="22"/>
        </w:rPr>
        <w:tab/>
      </w:r>
      <w:r w:rsidRPr="007D42B2">
        <w:rPr>
          <w:i/>
          <w:w w:val="110"/>
          <w:sz w:val="22"/>
          <w:szCs w:val="22"/>
        </w:rPr>
        <w:t xml:space="preserve">Các đơn vị quản lý quỹ đầu tư </w:t>
      </w:r>
      <w:r w:rsidRPr="007D42B2">
        <w:rPr>
          <w:w w:val="110"/>
          <w:sz w:val="22"/>
          <w:szCs w:val="22"/>
        </w:rPr>
        <w:t xml:space="preserve">(Sửa đổi IFRS 10, IFRS 12 và IAS 27), được ban hành vào tháng 10 năm 2012, sửa đổi các đoạn 5, 6, 17 và 18, và bổ sung các đoạn 8A, 11A–11B, </w:t>
      </w:r>
      <w:proofErr w:type="gramStart"/>
      <w:r w:rsidRPr="007D42B2">
        <w:rPr>
          <w:w w:val="110"/>
          <w:sz w:val="22"/>
          <w:szCs w:val="22"/>
        </w:rPr>
        <w:t>16A</w:t>
      </w:r>
      <w:proofErr w:type="gramEnd"/>
      <w:r w:rsidRPr="007D42B2">
        <w:rPr>
          <w:w w:val="110"/>
          <w:sz w:val="22"/>
          <w:szCs w:val="22"/>
        </w:rPr>
        <w:t xml:space="preserve"> và 18B – 18I. Đơn vị sẽ áp dụng các sửa đổi này </w:t>
      </w:r>
      <w:r w:rsidR="00E01C99" w:rsidRPr="007D42B2">
        <w:rPr>
          <w:w w:val="110"/>
          <w:sz w:val="22"/>
          <w:szCs w:val="22"/>
        </w:rPr>
        <w:t xml:space="preserve">cho </w:t>
      </w:r>
      <w:r w:rsidRPr="007D42B2">
        <w:rPr>
          <w:w w:val="110"/>
          <w:sz w:val="22"/>
          <w:szCs w:val="22"/>
        </w:rPr>
        <w:t xml:space="preserve">kỳ báo cáo năm bắt đầu hoặc sau ngày 1 tháng 1 năm 2014. Đơn vị được phép áp dụng sớm hơn các sửa đổi này. Nếu áp dụng các sửa đổi sớm hơn yêu cầu thì phải </w:t>
      </w:r>
      <w:r w:rsidR="00C0283A" w:rsidRPr="007D42B2">
        <w:rPr>
          <w:w w:val="110"/>
          <w:sz w:val="22"/>
          <w:szCs w:val="22"/>
        </w:rPr>
        <w:t>thuyết minh</w:t>
      </w:r>
      <w:r w:rsidRPr="007D42B2">
        <w:rPr>
          <w:w w:val="110"/>
          <w:sz w:val="22"/>
          <w:szCs w:val="22"/>
        </w:rPr>
        <w:t xml:space="preserve"> thông tin </w:t>
      </w:r>
      <w:r w:rsidRPr="007D42B2">
        <w:rPr>
          <w:w w:val="110"/>
          <w:sz w:val="22"/>
          <w:szCs w:val="22"/>
        </w:rPr>
        <w:lastRenderedPageBreak/>
        <w:t xml:space="preserve">về việc áp dụng sớm và áp dụng đồng thời tất cả các sửa đổi về </w:t>
      </w:r>
      <w:r w:rsidRPr="007D42B2">
        <w:rPr>
          <w:i/>
          <w:w w:val="110"/>
          <w:sz w:val="22"/>
          <w:szCs w:val="22"/>
        </w:rPr>
        <w:t>Các đơn vị quản lý quỹ đầu tư</w:t>
      </w:r>
      <w:r w:rsidRPr="007D42B2">
        <w:rPr>
          <w:w w:val="110"/>
          <w:sz w:val="22"/>
          <w:szCs w:val="22"/>
        </w:rPr>
        <w:t>.</w:t>
      </w:r>
    </w:p>
    <w:p w:rsidR="008809E8" w:rsidRPr="007D42B2" w:rsidRDefault="008809E8" w:rsidP="00A772DB">
      <w:pPr>
        <w:spacing w:before="20"/>
        <w:jc w:val="both"/>
        <w:rPr>
          <w:b/>
        </w:rPr>
      </w:pPr>
    </w:p>
    <w:p w:rsidR="008809E8" w:rsidRPr="007D42B2" w:rsidRDefault="008809E8" w:rsidP="00A772DB">
      <w:pPr>
        <w:pStyle w:val="BodyText"/>
        <w:spacing w:before="20"/>
        <w:ind w:left="720" w:hanging="720"/>
        <w:jc w:val="both"/>
        <w:rPr>
          <w:w w:val="115"/>
          <w:sz w:val="22"/>
          <w:szCs w:val="22"/>
        </w:rPr>
      </w:pPr>
      <w:r w:rsidRPr="007D42B2">
        <w:rPr>
          <w:w w:val="115"/>
          <w:sz w:val="22"/>
          <w:szCs w:val="22"/>
        </w:rPr>
        <w:t>18B</w:t>
      </w:r>
      <w:r w:rsidRPr="007D42B2">
        <w:rPr>
          <w:w w:val="115"/>
          <w:sz w:val="22"/>
          <w:szCs w:val="22"/>
        </w:rPr>
        <w:tab/>
        <w:t xml:space="preserve">Nếu, tại ngày áp dụng lần đầu các sửa đổi về </w:t>
      </w:r>
      <w:r w:rsidRPr="007D42B2">
        <w:rPr>
          <w:i/>
          <w:w w:val="115"/>
          <w:sz w:val="22"/>
          <w:szCs w:val="22"/>
        </w:rPr>
        <w:t>Các đơn vị quản lý quỹ đầu tư</w:t>
      </w:r>
      <w:r w:rsidRPr="007D42B2">
        <w:rPr>
          <w:w w:val="115"/>
          <w:sz w:val="22"/>
          <w:szCs w:val="22"/>
        </w:rPr>
        <w:t xml:space="preserve"> (theo mục đích của IFRS này, là ngày bắt đầu của kỳ báo cáo năm mà các sửa đổi này được áp dụng lần đầu), công ty mẹ thoả mãn điều kiện là một đơn vị quản lý quỹ đầu tư thì phải áp dụng các đoạn 18C – 18I đối với các khoản đầu tư vào công ty con.</w:t>
      </w:r>
    </w:p>
    <w:p w:rsidR="008809E8" w:rsidRPr="007D42B2" w:rsidRDefault="008809E8" w:rsidP="00A772DB">
      <w:pPr>
        <w:pStyle w:val="BodyText"/>
        <w:spacing w:before="20"/>
        <w:ind w:left="720" w:hanging="720"/>
        <w:jc w:val="both"/>
        <w:rPr>
          <w:w w:val="115"/>
          <w:sz w:val="22"/>
          <w:szCs w:val="22"/>
        </w:rPr>
      </w:pPr>
    </w:p>
    <w:p w:rsidR="008809E8" w:rsidRPr="007D42B2" w:rsidRDefault="008809E8" w:rsidP="00A772DB">
      <w:pPr>
        <w:pStyle w:val="BodyText"/>
        <w:spacing w:before="20"/>
        <w:ind w:left="720" w:hanging="720"/>
        <w:jc w:val="both"/>
        <w:rPr>
          <w:sz w:val="22"/>
          <w:szCs w:val="22"/>
        </w:rPr>
      </w:pPr>
      <w:r w:rsidRPr="007D42B2">
        <w:rPr>
          <w:w w:val="115"/>
          <w:sz w:val="22"/>
          <w:szCs w:val="22"/>
        </w:rPr>
        <w:t>18C</w:t>
      </w:r>
      <w:r w:rsidRPr="007D42B2">
        <w:rPr>
          <w:w w:val="115"/>
          <w:sz w:val="22"/>
          <w:szCs w:val="22"/>
        </w:rPr>
        <w:tab/>
        <w:t>Tại ngày áp dụng lần đầu, đơn vị quản lý quỹ đầu tư trước đó đã xác định giá trị khoản đầu tư vào công ty con theo giá gốc sẽ xác định giá trị khoản đầu tư này theo giá trị hợp lý thông qua báo cáo lãi, lỗ như là các yêu cầu của IFRS này đã có hiệu lực từ trước. Đơn vị quản lý quỹ đầu tư phải điều chỉnh hồi tố kỳ báo cáo năm ngay trước ngày áp dụng lần đầu và phải điều chỉnh lợi nhuận giữ lại tại ngày đầu của kỳ báo cáo ngay trước đó cho bất cứ khác biệt nào giữa:</w:t>
      </w:r>
    </w:p>
    <w:p w:rsidR="008809E8" w:rsidRPr="007D42B2" w:rsidRDefault="008809E8" w:rsidP="00A772DB">
      <w:pPr>
        <w:pStyle w:val="BodyText"/>
        <w:numPr>
          <w:ilvl w:val="0"/>
          <w:numId w:val="15"/>
        </w:numPr>
        <w:spacing w:before="20"/>
        <w:ind w:left="1260" w:hanging="540"/>
        <w:jc w:val="both"/>
        <w:rPr>
          <w:sz w:val="22"/>
          <w:szCs w:val="22"/>
        </w:rPr>
      </w:pPr>
      <w:r w:rsidRPr="007D42B2">
        <w:rPr>
          <w:w w:val="115"/>
          <w:sz w:val="22"/>
          <w:szCs w:val="22"/>
        </w:rPr>
        <w:t>Giá trị ghi sổ trước đó của khoản đầu tư;</w:t>
      </w:r>
      <w:r w:rsidRPr="007D42B2">
        <w:rPr>
          <w:spacing w:val="-22"/>
          <w:w w:val="115"/>
          <w:sz w:val="22"/>
          <w:szCs w:val="22"/>
        </w:rPr>
        <w:t xml:space="preserve"> và</w:t>
      </w:r>
    </w:p>
    <w:p w:rsidR="00AF5A2F" w:rsidRPr="007D42B2" w:rsidRDefault="008809E8" w:rsidP="00A772DB">
      <w:pPr>
        <w:pStyle w:val="ListParagraph"/>
        <w:numPr>
          <w:ilvl w:val="0"/>
          <w:numId w:val="15"/>
        </w:numPr>
        <w:spacing w:before="20"/>
        <w:ind w:left="1260" w:hanging="540"/>
        <w:jc w:val="both"/>
      </w:pPr>
      <w:r w:rsidRPr="007D42B2">
        <w:rPr>
          <w:w w:val="115"/>
        </w:rPr>
        <w:t xml:space="preserve">Giá trị hợp lý của khoản đầu tư vào công ty con của nhà đầu </w:t>
      </w:r>
      <w:proofErr w:type="gramStart"/>
      <w:r w:rsidRPr="007D42B2">
        <w:rPr>
          <w:w w:val="115"/>
        </w:rPr>
        <w:t>tư</w:t>
      </w:r>
      <w:proofErr w:type="gramEnd"/>
      <w:r w:rsidRPr="007D42B2">
        <w:rPr>
          <w:w w:val="115"/>
        </w:rPr>
        <w:t>.</w:t>
      </w:r>
    </w:p>
    <w:p w:rsidR="00AF5A2F" w:rsidRPr="007D42B2" w:rsidRDefault="00AF5A2F" w:rsidP="00A772DB">
      <w:pPr>
        <w:spacing w:before="20"/>
        <w:jc w:val="both"/>
      </w:pPr>
    </w:p>
    <w:p w:rsidR="00AF5A2F" w:rsidRPr="007D42B2" w:rsidRDefault="00AF5A2F" w:rsidP="00A772DB">
      <w:pPr>
        <w:pStyle w:val="BodyText"/>
        <w:spacing w:before="20"/>
        <w:ind w:left="720" w:hanging="720"/>
        <w:jc w:val="both"/>
        <w:rPr>
          <w:w w:val="115"/>
          <w:sz w:val="22"/>
          <w:szCs w:val="22"/>
        </w:rPr>
      </w:pPr>
      <w:r w:rsidRPr="007D42B2">
        <w:rPr>
          <w:w w:val="115"/>
          <w:sz w:val="22"/>
          <w:szCs w:val="22"/>
        </w:rPr>
        <w:t>18D</w:t>
      </w:r>
      <w:r w:rsidRPr="007D42B2">
        <w:rPr>
          <w:w w:val="115"/>
          <w:sz w:val="22"/>
          <w:szCs w:val="22"/>
        </w:rPr>
        <w:tab/>
        <w:t xml:space="preserve">Tại ngày áp dụng lần đầu, đơn vị quản lý quỹ đầu tư trước đó đã xác định giá trị khoản đầu tư vào công ty con theo giá trị hợp lý thông qua thu nhập toàn diện khác, sẽ tiếp tục xác định giá trị khoản đầu tư đó theo giá trị hợp lý. Số luỹ kế của điều chỉnh về giá trị hợp lý trước đây đã ghi nhận vào </w:t>
      </w:r>
      <w:proofErr w:type="gramStart"/>
      <w:r w:rsidRPr="007D42B2">
        <w:rPr>
          <w:w w:val="115"/>
          <w:sz w:val="22"/>
          <w:szCs w:val="22"/>
        </w:rPr>
        <w:t>thu</w:t>
      </w:r>
      <w:proofErr w:type="gramEnd"/>
      <w:r w:rsidRPr="007D42B2">
        <w:rPr>
          <w:w w:val="115"/>
          <w:sz w:val="22"/>
          <w:szCs w:val="22"/>
        </w:rPr>
        <w:t xml:space="preserve"> nhập toàn diện khác sẽ được chuyển sang lợi nhuận giữ lại tại ngày đầu của kỳ báo cáo năm ngay trước ngày áp dụng lần đầu.</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pStyle w:val="BodyText"/>
        <w:spacing w:before="20"/>
        <w:ind w:left="720" w:hanging="720"/>
        <w:jc w:val="both"/>
        <w:rPr>
          <w:w w:val="115"/>
          <w:sz w:val="22"/>
          <w:szCs w:val="22"/>
        </w:rPr>
      </w:pPr>
      <w:r w:rsidRPr="007D42B2">
        <w:rPr>
          <w:w w:val="115"/>
          <w:sz w:val="22"/>
          <w:szCs w:val="22"/>
        </w:rPr>
        <w:t>18E</w:t>
      </w:r>
      <w:r w:rsidRPr="007D42B2">
        <w:rPr>
          <w:w w:val="115"/>
          <w:sz w:val="22"/>
          <w:szCs w:val="22"/>
        </w:rPr>
        <w:tab/>
        <w:t>Tại ngày áp dụng lần đầu, đơn vị quản lý quỹ đầu tư sẽ không thực hiện các điều chỉnh về lợi ích tại công ty con mà trước đó đã được chọn xác định giá trị theo giá trị hợp lý thông qua báo cáo lãi, lỗ theo quy định tại IFRS 9, được cho phép tại đoạn 10.</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pStyle w:val="BodyText"/>
        <w:spacing w:before="20"/>
        <w:ind w:left="720" w:hanging="720"/>
        <w:jc w:val="both"/>
        <w:rPr>
          <w:w w:val="110"/>
          <w:sz w:val="22"/>
          <w:szCs w:val="22"/>
        </w:rPr>
      </w:pPr>
      <w:r w:rsidRPr="007D42B2">
        <w:rPr>
          <w:w w:val="110"/>
          <w:sz w:val="22"/>
          <w:szCs w:val="22"/>
        </w:rPr>
        <w:t>18E</w:t>
      </w:r>
      <w:r w:rsidRPr="007D42B2">
        <w:rPr>
          <w:w w:val="110"/>
          <w:sz w:val="22"/>
          <w:szCs w:val="22"/>
        </w:rPr>
        <w:tab/>
        <w:t xml:space="preserve">Trước ngày IFRS 13 </w:t>
      </w:r>
      <w:r w:rsidRPr="007D42B2">
        <w:rPr>
          <w:i/>
          <w:w w:val="110"/>
          <w:sz w:val="22"/>
          <w:szCs w:val="22"/>
        </w:rPr>
        <w:t xml:space="preserve">Xác định giá trị hợp lý </w:t>
      </w:r>
      <w:r w:rsidRPr="007D42B2">
        <w:rPr>
          <w:w w:val="110"/>
          <w:sz w:val="22"/>
          <w:szCs w:val="22"/>
        </w:rPr>
        <w:t xml:space="preserve">được áp dụng, </w:t>
      </w:r>
      <w:r w:rsidRPr="007D42B2">
        <w:rPr>
          <w:w w:val="115"/>
          <w:sz w:val="22"/>
          <w:szCs w:val="22"/>
        </w:rPr>
        <w:t>đơn vị quản lý quỹ đầu tư</w:t>
      </w:r>
      <w:r w:rsidRPr="007D42B2">
        <w:rPr>
          <w:w w:val="110"/>
          <w:sz w:val="22"/>
          <w:szCs w:val="22"/>
        </w:rPr>
        <w:t xml:space="preserve"> sử dụng giá trị hợp lý đã báo cáo trước đó cho nhà đầu tư hoặc ban điều hành, nếu những giá trị này thể hiện giá trị có thể thực hiện được giữa các bên có hiểu biết và mong muốn trong giao dịch ngang giá tại ngày định giá.</w:t>
      </w:r>
    </w:p>
    <w:p w:rsidR="00AF5A2F" w:rsidRPr="007D42B2" w:rsidRDefault="00AF5A2F" w:rsidP="00A772DB">
      <w:pPr>
        <w:pStyle w:val="BodyText"/>
        <w:spacing w:before="20"/>
        <w:ind w:left="720" w:hanging="720"/>
        <w:jc w:val="both"/>
        <w:rPr>
          <w:w w:val="110"/>
          <w:sz w:val="22"/>
          <w:szCs w:val="22"/>
        </w:rPr>
      </w:pPr>
    </w:p>
    <w:p w:rsidR="00AF5A2F" w:rsidRPr="007D42B2" w:rsidRDefault="00AF5A2F" w:rsidP="00A772DB">
      <w:pPr>
        <w:pStyle w:val="BodyText"/>
        <w:spacing w:before="20"/>
        <w:ind w:left="720" w:hanging="720"/>
        <w:jc w:val="both"/>
        <w:rPr>
          <w:sz w:val="22"/>
          <w:szCs w:val="22"/>
        </w:rPr>
      </w:pPr>
      <w:r w:rsidRPr="007D42B2">
        <w:rPr>
          <w:w w:val="110"/>
          <w:sz w:val="22"/>
          <w:szCs w:val="22"/>
        </w:rPr>
        <w:t>18G</w:t>
      </w:r>
      <w:r w:rsidRPr="007D42B2">
        <w:rPr>
          <w:w w:val="110"/>
          <w:sz w:val="22"/>
          <w:szCs w:val="22"/>
        </w:rPr>
        <w:tab/>
        <w:t xml:space="preserve">Nếu việc xác định giá trị khoản đầu tư vào công ty con theo quy định tại các đoạn 18C–18F không thực hiện được (như định nghĩa trong IAS 8 </w:t>
      </w:r>
      <w:r w:rsidR="005A44E2" w:rsidRPr="007D42B2">
        <w:rPr>
          <w:i/>
          <w:w w:val="110"/>
          <w:sz w:val="22"/>
          <w:szCs w:val="22"/>
        </w:rPr>
        <w:t>Các c</w:t>
      </w:r>
      <w:r w:rsidRPr="007D42B2">
        <w:rPr>
          <w:i/>
          <w:w w:val="110"/>
          <w:sz w:val="22"/>
          <w:szCs w:val="22"/>
        </w:rPr>
        <w:t xml:space="preserve">hính sách kế toán, </w:t>
      </w:r>
      <w:r w:rsidRPr="007D42B2">
        <w:rPr>
          <w:i/>
          <w:sz w:val="22"/>
          <w:szCs w:val="22"/>
        </w:rPr>
        <w:t>các thay đổi về ước tính kế toán và các sai sót</w:t>
      </w:r>
      <w:r w:rsidRPr="007D42B2">
        <w:rPr>
          <w:w w:val="110"/>
          <w:sz w:val="22"/>
          <w:szCs w:val="22"/>
        </w:rPr>
        <w:t>),</w:t>
      </w:r>
      <w:r w:rsidRPr="007D42B2">
        <w:rPr>
          <w:spacing w:val="-8"/>
          <w:w w:val="110"/>
          <w:sz w:val="22"/>
          <w:szCs w:val="22"/>
        </w:rPr>
        <w:t xml:space="preserve"> </w:t>
      </w:r>
      <w:r w:rsidRPr="007D42B2">
        <w:rPr>
          <w:w w:val="115"/>
          <w:sz w:val="22"/>
          <w:szCs w:val="22"/>
        </w:rPr>
        <w:t>đơn vị quản lý quỹ đầu tư</w:t>
      </w:r>
      <w:r w:rsidRPr="007D42B2">
        <w:rPr>
          <w:spacing w:val="-8"/>
          <w:w w:val="110"/>
          <w:sz w:val="22"/>
          <w:szCs w:val="22"/>
        </w:rPr>
        <w:t xml:space="preserve"> phải áp dụng các yêu cầu của </w:t>
      </w:r>
      <w:r w:rsidRPr="007D42B2">
        <w:rPr>
          <w:w w:val="110"/>
          <w:sz w:val="22"/>
          <w:szCs w:val="22"/>
        </w:rPr>
        <w:t xml:space="preserve">IFRS này </w:t>
      </w:r>
      <w:r w:rsidR="005A44E2" w:rsidRPr="007D42B2">
        <w:rPr>
          <w:w w:val="110"/>
          <w:sz w:val="22"/>
          <w:szCs w:val="22"/>
        </w:rPr>
        <w:t>từ</w:t>
      </w:r>
      <w:r w:rsidRPr="007D42B2">
        <w:rPr>
          <w:w w:val="110"/>
          <w:sz w:val="22"/>
          <w:szCs w:val="22"/>
        </w:rPr>
        <w:t xml:space="preserve"> ngày đầu kỳ báo cáo gần nhất mà việc áp dụng các đoạn 18C–18F có thể thực hiện được, kỳ báo cáo này có thể là kỳ báo cáo hiện tại. </w:t>
      </w:r>
      <w:proofErr w:type="gramStart"/>
      <w:r w:rsidRPr="007D42B2">
        <w:rPr>
          <w:w w:val="110"/>
          <w:sz w:val="22"/>
          <w:szCs w:val="22"/>
        </w:rPr>
        <w:t>Nhà đầu tư sẽ điều chỉnh hồi tố kỳ báo cáo năm ngay trước ngày áp dụng lần đầu, trừ khi kỳ báo cáo gần nhất có thể áp dụng được yêu cầu của đoạn này là kỳ báo cáo hiện tại.</w:t>
      </w:r>
      <w:proofErr w:type="gramEnd"/>
      <w:r w:rsidRPr="007D42B2">
        <w:rPr>
          <w:w w:val="110"/>
          <w:sz w:val="22"/>
          <w:szCs w:val="22"/>
        </w:rPr>
        <w:t xml:space="preserve"> Khi ngày Nếu ngày </w:t>
      </w:r>
      <w:r w:rsidRPr="007D42B2">
        <w:rPr>
          <w:w w:val="115"/>
          <w:sz w:val="22"/>
          <w:szCs w:val="22"/>
        </w:rPr>
        <w:t>đơn vị quản lý quỹ đầu tư</w:t>
      </w:r>
      <w:r w:rsidRPr="007D42B2">
        <w:rPr>
          <w:w w:val="110"/>
          <w:sz w:val="22"/>
          <w:szCs w:val="22"/>
        </w:rPr>
        <w:t xml:space="preserve"> có thể xác định được giá trị hợp lý của công ty con trước ngày bắt đầu của kỳ báo cáo ngay trước kỳ báo cáo phải áp dụng lần đầu chuẩn mực này, nhà đầu tư sẽ phải điều chỉnh vốn chủ sở hữu tại ngày đầu của kỳ báo cáo ngay trước đó </w:t>
      </w:r>
      <w:r w:rsidRPr="007D42B2">
        <w:rPr>
          <w:w w:val="115"/>
          <w:sz w:val="22"/>
          <w:szCs w:val="22"/>
        </w:rPr>
        <w:t>cho bất cứ khác biệt nào giữa:</w:t>
      </w:r>
    </w:p>
    <w:p w:rsidR="00AF5A2F" w:rsidRPr="007D42B2" w:rsidRDefault="00AF5A2F" w:rsidP="00A772DB">
      <w:pPr>
        <w:pStyle w:val="BodyText"/>
        <w:numPr>
          <w:ilvl w:val="0"/>
          <w:numId w:val="16"/>
        </w:numPr>
        <w:spacing w:before="20"/>
        <w:ind w:left="1260" w:hanging="540"/>
        <w:jc w:val="both"/>
        <w:rPr>
          <w:w w:val="115"/>
          <w:sz w:val="22"/>
          <w:szCs w:val="22"/>
        </w:rPr>
      </w:pPr>
      <w:r w:rsidRPr="007D42B2">
        <w:rPr>
          <w:w w:val="115"/>
          <w:sz w:val="22"/>
          <w:szCs w:val="22"/>
        </w:rPr>
        <w:t>Giá trị ghi sổ trước đó của khoản đầu tư; và</w:t>
      </w:r>
    </w:p>
    <w:p w:rsidR="00AF5A2F" w:rsidRPr="007D42B2" w:rsidRDefault="00AF5A2F" w:rsidP="00A772DB">
      <w:pPr>
        <w:pStyle w:val="BodyText"/>
        <w:numPr>
          <w:ilvl w:val="0"/>
          <w:numId w:val="16"/>
        </w:numPr>
        <w:spacing w:before="20"/>
        <w:ind w:left="1260" w:hanging="540"/>
        <w:jc w:val="both"/>
        <w:rPr>
          <w:w w:val="115"/>
          <w:sz w:val="22"/>
          <w:szCs w:val="22"/>
        </w:rPr>
      </w:pPr>
      <w:r w:rsidRPr="007D42B2">
        <w:rPr>
          <w:w w:val="115"/>
          <w:sz w:val="22"/>
          <w:szCs w:val="22"/>
        </w:rPr>
        <w:t xml:space="preserve">Giá trị hợp lý của khoản đầu tư vào công ty con của nhà đầu </w:t>
      </w:r>
      <w:proofErr w:type="gramStart"/>
      <w:r w:rsidRPr="007D42B2">
        <w:rPr>
          <w:w w:val="115"/>
          <w:sz w:val="22"/>
          <w:szCs w:val="22"/>
        </w:rPr>
        <w:t>tư</w:t>
      </w:r>
      <w:proofErr w:type="gramEnd"/>
      <w:r w:rsidRPr="007D42B2">
        <w:rPr>
          <w:w w:val="115"/>
          <w:sz w:val="22"/>
          <w:szCs w:val="22"/>
        </w:rPr>
        <w:t>.</w:t>
      </w:r>
    </w:p>
    <w:p w:rsidR="00AF5A2F" w:rsidRPr="007D42B2" w:rsidRDefault="00AF5A2F" w:rsidP="00A772DB">
      <w:pPr>
        <w:pStyle w:val="BodyText"/>
        <w:spacing w:before="20"/>
        <w:ind w:left="720"/>
        <w:jc w:val="both"/>
        <w:rPr>
          <w:w w:val="115"/>
          <w:sz w:val="22"/>
          <w:szCs w:val="22"/>
        </w:rPr>
      </w:pPr>
    </w:p>
    <w:p w:rsidR="00AF5A2F" w:rsidRPr="007D42B2" w:rsidRDefault="00AF5A2F" w:rsidP="00A772DB">
      <w:pPr>
        <w:pStyle w:val="BodyText"/>
        <w:spacing w:before="20"/>
        <w:ind w:left="720"/>
        <w:jc w:val="both"/>
        <w:rPr>
          <w:w w:val="115"/>
          <w:sz w:val="22"/>
          <w:szCs w:val="22"/>
        </w:rPr>
      </w:pPr>
      <w:proofErr w:type="gramStart"/>
      <w:r w:rsidRPr="007D42B2">
        <w:rPr>
          <w:w w:val="115"/>
          <w:sz w:val="22"/>
          <w:szCs w:val="22"/>
        </w:rPr>
        <w:t>Nếu kỳ báo cáo gần nhất có thể áp dụng quy định của đoạn này là kỳ báo cáo hiện tại thì phải điều chỉnh vốn chủ sở hữu đã được ghi nhận vào đầu kỳ báo cáo hiện tại.</w:t>
      </w:r>
      <w:proofErr w:type="gramEnd"/>
    </w:p>
    <w:p w:rsidR="00AF5A2F" w:rsidRPr="007D42B2" w:rsidRDefault="00AF5A2F" w:rsidP="00A772DB">
      <w:pPr>
        <w:pStyle w:val="BodyText"/>
        <w:spacing w:before="20"/>
        <w:ind w:left="720"/>
        <w:jc w:val="both"/>
        <w:rPr>
          <w:w w:val="115"/>
          <w:sz w:val="22"/>
          <w:szCs w:val="22"/>
        </w:rPr>
      </w:pPr>
    </w:p>
    <w:p w:rsidR="00AF5A2F" w:rsidRPr="007D42B2" w:rsidRDefault="00AF5A2F" w:rsidP="00A772DB">
      <w:pPr>
        <w:pStyle w:val="BodyText"/>
        <w:spacing w:before="20"/>
        <w:ind w:left="720" w:hanging="720"/>
        <w:jc w:val="both"/>
        <w:rPr>
          <w:w w:val="115"/>
          <w:sz w:val="22"/>
          <w:szCs w:val="22"/>
        </w:rPr>
      </w:pPr>
      <w:r w:rsidRPr="007D42B2">
        <w:rPr>
          <w:w w:val="115"/>
          <w:sz w:val="22"/>
          <w:szCs w:val="22"/>
        </w:rPr>
        <w:lastRenderedPageBreak/>
        <w:t>18H</w:t>
      </w:r>
      <w:r w:rsidRPr="007D42B2">
        <w:rPr>
          <w:w w:val="115"/>
          <w:sz w:val="22"/>
          <w:szCs w:val="22"/>
        </w:rPr>
        <w:tab/>
        <w:t xml:space="preserve">Nếu đơn vị quản lý quỹ đầu tư đã thanh lý, hoặc mất quyền kiểm soát đối với khoản đầu tư vào công ty con trước ngày áp dụng lần đầu các sửa đổi liên quan đến </w:t>
      </w:r>
      <w:r w:rsidRPr="007D42B2">
        <w:rPr>
          <w:i/>
          <w:w w:val="115"/>
          <w:sz w:val="22"/>
          <w:szCs w:val="22"/>
        </w:rPr>
        <w:t>Các đơn vị quản lý quỹ đầu tư</w:t>
      </w:r>
      <w:r w:rsidRPr="007D42B2">
        <w:rPr>
          <w:w w:val="115"/>
          <w:sz w:val="22"/>
          <w:szCs w:val="22"/>
        </w:rPr>
        <w:t>, thì đơn vị quản lý quỹ đầu tư không phải thực hiện điều chỉnh cho khoản đầu tư đã thanh lý đó.</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pStyle w:val="BodyText"/>
        <w:spacing w:before="20"/>
        <w:ind w:left="720" w:hanging="720"/>
        <w:jc w:val="both"/>
        <w:rPr>
          <w:w w:val="115"/>
          <w:sz w:val="22"/>
          <w:szCs w:val="22"/>
        </w:rPr>
      </w:pPr>
      <w:r w:rsidRPr="007D42B2">
        <w:rPr>
          <w:w w:val="115"/>
          <w:sz w:val="22"/>
          <w:szCs w:val="22"/>
        </w:rPr>
        <w:t>18I</w:t>
      </w:r>
      <w:r w:rsidRPr="007D42B2">
        <w:rPr>
          <w:w w:val="115"/>
          <w:sz w:val="22"/>
          <w:szCs w:val="22"/>
        </w:rPr>
        <w:tab/>
        <w:t xml:space="preserve">Mặc dù đề cập đến kỳ báo cáo năm ngay trước ngày áp dụng lần đầu (“kỳ báo cáo ngay trước đó”) trong các đoạn 18C–18G, đơn vị cũng có thể trình bày, nhưng không bắt buộc, thông tin so sánh đã điều chỉnh cho các kỳ báo cáo trước đó. Nếu đơn vị trình bày thông tin so sánh đã điều chỉnh cho các kỳ báo cáo trước đó, thì tất cả các đề cập đến “kỳ báo cáo ngay trước đó” </w:t>
      </w:r>
      <w:r w:rsidRPr="007D42B2">
        <w:rPr>
          <w:sz w:val="22"/>
          <w:szCs w:val="22"/>
        </w:rPr>
        <w:t xml:space="preserve">trong các đoạn </w:t>
      </w:r>
      <w:r w:rsidRPr="007D42B2">
        <w:rPr>
          <w:w w:val="115"/>
          <w:sz w:val="22"/>
          <w:szCs w:val="22"/>
        </w:rPr>
        <w:t>18C–18G</w:t>
      </w:r>
      <w:r w:rsidRPr="007D42B2">
        <w:rPr>
          <w:spacing w:val="-9"/>
          <w:w w:val="115"/>
          <w:sz w:val="22"/>
          <w:szCs w:val="22"/>
        </w:rPr>
        <w:t xml:space="preserve"> sẽ được hiểu là “</w:t>
      </w:r>
      <w:r w:rsidRPr="007D42B2">
        <w:rPr>
          <w:w w:val="115"/>
          <w:sz w:val="22"/>
          <w:szCs w:val="22"/>
        </w:rPr>
        <w:t>kỳ so sánh đã được điều chỉnh gần nhất được trình bày”. Nếu đơn vị trình bày thông tin so sánh chưa điều chỉnh cho các kỳ trước đó, thì phải nêu rõ thông tin so sánh chưa được điều chỉnh, nói rõ rằng các thông tin này được lập theo cơ sở khác, và giải thích cơ sở này.</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pStyle w:val="BodyText"/>
        <w:spacing w:before="20"/>
        <w:ind w:left="720" w:hanging="720"/>
        <w:jc w:val="both"/>
        <w:rPr>
          <w:sz w:val="22"/>
          <w:szCs w:val="22"/>
        </w:rPr>
      </w:pPr>
      <w:r w:rsidRPr="007D42B2">
        <w:rPr>
          <w:w w:val="110"/>
          <w:sz w:val="22"/>
          <w:szCs w:val="22"/>
        </w:rPr>
        <w:t>18J</w:t>
      </w:r>
      <w:r w:rsidRPr="007D42B2">
        <w:rPr>
          <w:w w:val="110"/>
          <w:sz w:val="22"/>
          <w:szCs w:val="22"/>
        </w:rPr>
        <w:tab/>
      </w:r>
      <w:r w:rsidRPr="007D42B2">
        <w:rPr>
          <w:i/>
          <w:w w:val="110"/>
          <w:sz w:val="22"/>
          <w:szCs w:val="22"/>
        </w:rPr>
        <w:t xml:space="preserve">Phương pháp vốn chủ sở hữu trong Báo cáo tài chính riêng </w:t>
      </w:r>
      <w:r w:rsidRPr="007D42B2">
        <w:rPr>
          <w:w w:val="110"/>
          <w:sz w:val="22"/>
          <w:szCs w:val="22"/>
        </w:rPr>
        <w:t>(Các sửa đổi IAS</w:t>
      </w:r>
      <w:r w:rsidRPr="007D42B2">
        <w:rPr>
          <w:spacing w:val="-24"/>
          <w:w w:val="110"/>
          <w:sz w:val="22"/>
          <w:szCs w:val="22"/>
        </w:rPr>
        <w:t xml:space="preserve"> </w:t>
      </w:r>
      <w:r w:rsidRPr="007D42B2">
        <w:rPr>
          <w:w w:val="110"/>
          <w:sz w:val="22"/>
          <w:szCs w:val="22"/>
        </w:rPr>
        <w:t>27),</w:t>
      </w:r>
      <w:r w:rsidRPr="007D42B2">
        <w:rPr>
          <w:spacing w:val="-23"/>
          <w:w w:val="110"/>
          <w:sz w:val="22"/>
          <w:szCs w:val="22"/>
        </w:rPr>
        <w:t xml:space="preserve">  </w:t>
      </w:r>
      <w:r w:rsidRPr="007D42B2">
        <w:rPr>
          <w:w w:val="115"/>
          <w:sz w:val="22"/>
          <w:szCs w:val="22"/>
        </w:rPr>
        <w:t xml:space="preserve">được ban hành vào tháng 8 năm </w:t>
      </w:r>
      <w:r w:rsidRPr="007D42B2">
        <w:rPr>
          <w:w w:val="110"/>
          <w:sz w:val="22"/>
          <w:szCs w:val="22"/>
        </w:rPr>
        <w:t xml:space="preserve">2014, với các đoạn </w:t>
      </w:r>
      <w:r w:rsidRPr="007D42B2">
        <w:rPr>
          <w:w w:val="115"/>
          <w:sz w:val="22"/>
          <w:szCs w:val="22"/>
        </w:rPr>
        <w:t>được</w:t>
      </w:r>
      <w:r w:rsidRPr="007D42B2">
        <w:rPr>
          <w:w w:val="110"/>
          <w:sz w:val="22"/>
          <w:szCs w:val="22"/>
        </w:rPr>
        <w:t xml:space="preserve"> sửa đổi 4–7, 10, 11B và 12. Đơn vị áp dụng hồi tố các sửa đổi này cho các kỳ báo cáo năm bắt đầu từ hoặc sau ngày 1 tháng 1 năm 2016 </w:t>
      </w:r>
      <w:proofErr w:type="gramStart"/>
      <w:r w:rsidRPr="007D42B2">
        <w:rPr>
          <w:w w:val="110"/>
          <w:sz w:val="22"/>
          <w:szCs w:val="22"/>
        </w:rPr>
        <w:t>theo</w:t>
      </w:r>
      <w:proofErr w:type="gramEnd"/>
      <w:r w:rsidRPr="007D42B2">
        <w:rPr>
          <w:w w:val="110"/>
          <w:sz w:val="22"/>
          <w:szCs w:val="22"/>
        </w:rPr>
        <w:t xml:space="preserve"> quy định tại IAS 8 </w:t>
      </w:r>
      <w:r w:rsidR="005A44E2" w:rsidRPr="007D42B2">
        <w:rPr>
          <w:i/>
          <w:w w:val="110"/>
          <w:sz w:val="22"/>
          <w:szCs w:val="22"/>
        </w:rPr>
        <w:t>Các c</w:t>
      </w:r>
      <w:r w:rsidRPr="007D42B2">
        <w:rPr>
          <w:i/>
          <w:w w:val="110"/>
          <w:sz w:val="22"/>
          <w:szCs w:val="22"/>
        </w:rPr>
        <w:t xml:space="preserve">hính sách kế toán, </w:t>
      </w:r>
      <w:r w:rsidRPr="007D42B2">
        <w:rPr>
          <w:i/>
          <w:sz w:val="22"/>
          <w:szCs w:val="22"/>
        </w:rPr>
        <w:t>các thay đổi về ước tính kế toán và các sai sót</w:t>
      </w:r>
      <w:r w:rsidRPr="007D42B2">
        <w:rPr>
          <w:w w:val="110"/>
          <w:sz w:val="22"/>
          <w:szCs w:val="22"/>
        </w:rPr>
        <w:t xml:space="preserve">. Đơn vị được phép áp dụng sớm hơn chuẩn mực này. Nếu đơn vị áp dụng các sửa đổi này cho kỳ báo cáo sớm hơn thì phải </w:t>
      </w:r>
      <w:r w:rsidR="00C0283A" w:rsidRPr="007D42B2">
        <w:rPr>
          <w:w w:val="110"/>
          <w:sz w:val="22"/>
          <w:szCs w:val="22"/>
        </w:rPr>
        <w:t>thuyết minh</w:t>
      </w:r>
      <w:r w:rsidRPr="007D42B2">
        <w:rPr>
          <w:w w:val="110"/>
          <w:sz w:val="22"/>
          <w:szCs w:val="22"/>
        </w:rPr>
        <w:t xml:space="preserve"> thông tin này.</w:t>
      </w:r>
    </w:p>
    <w:p w:rsidR="00AF5A2F" w:rsidRPr="007D42B2" w:rsidRDefault="00AF5A2F" w:rsidP="00A772DB">
      <w:pPr>
        <w:pStyle w:val="BodyText"/>
        <w:spacing w:before="20"/>
        <w:ind w:left="720" w:hanging="720"/>
        <w:jc w:val="both"/>
        <w:rPr>
          <w:sz w:val="22"/>
          <w:szCs w:val="22"/>
        </w:rPr>
      </w:pPr>
    </w:p>
    <w:p w:rsidR="00AF5A2F" w:rsidRPr="007D42B2" w:rsidRDefault="00AF5A2F" w:rsidP="00704D04">
      <w:pPr>
        <w:pStyle w:val="BodyText"/>
        <w:spacing w:before="20"/>
        <w:ind w:left="720"/>
        <w:jc w:val="both"/>
        <w:rPr>
          <w:b/>
          <w:sz w:val="30"/>
          <w:szCs w:val="22"/>
        </w:rPr>
      </w:pPr>
      <w:r w:rsidRPr="007D42B2">
        <w:rPr>
          <w:b/>
          <w:sz w:val="30"/>
          <w:szCs w:val="22"/>
        </w:rPr>
        <w:t>Tham chiếu IFRS 9</w:t>
      </w:r>
    </w:p>
    <w:p w:rsidR="00AF5A2F" w:rsidRPr="007D42B2" w:rsidRDefault="00AF5A2F" w:rsidP="00A772DB">
      <w:pPr>
        <w:pStyle w:val="ListParagraph"/>
        <w:numPr>
          <w:ilvl w:val="0"/>
          <w:numId w:val="1"/>
        </w:numPr>
        <w:spacing w:before="20"/>
        <w:ind w:hanging="720"/>
        <w:jc w:val="both"/>
      </w:pPr>
      <w:r w:rsidRPr="007D42B2">
        <w:rPr>
          <w:w w:val="110"/>
        </w:rPr>
        <w:t>Nếu một đơn vị áp dụng chuẩn mực này nhưng chưa áp dụng IFRS 9, thì tham chiếu đến IFRS</w:t>
      </w:r>
      <w:r w:rsidRPr="007D42B2">
        <w:rPr>
          <w:spacing w:val="-15"/>
          <w:w w:val="110"/>
        </w:rPr>
        <w:t xml:space="preserve"> </w:t>
      </w:r>
      <w:r w:rsidRPr="007D42B2">
        <w:rPr>
          <w:w w:val="110"/>
        </w:rPr>
        <w:t>9</w:t>
      </w:r>
      <w:r w:rsidRPr="007D42B2">
        <w:rPr>
          <w:spacing w:val="-16"/>
          <w:w w:val="110"/>
        </w:rPr>
        <w:t xml:space="preserve"> </w:t>
      </w:r>
      <w:r w:rsidRPr="007D42B2">
        <w:rPr>
          <w:w w:val="110"/>
        </w:rPr>
        <w:t>sẽ được hiểu là tham chiếu đến IAS</w:t>
      </w:r>
      <w:r w:rsidRPr="007D42B2">
        <w:rPr>
          <w:spacing w:val="-16"/>
          <w:w w:val="110"/>
        </w:rPr>
        <w:t xml:space="preserve"> </w:t>
      </w:r>
      <w:r w:rsidRPr="007D42B2">
        <w:rPr>
          <w:w w:val="110"/>
        </w:rPr>
        <w:t>39</w:t>
      </w:r>
      <w:r w:rsidRPr="007D42B2">
        <w:rPr>
          <w:spacing w:val="-15"/>
          <w:w w:val="110"/>
        </w:rPr>
        <w:t xml:space="preserve"> </w:t>
      </w:r>
      <w:r w:rsidRPr="007D42B2">
        <w:rPr>
          <w:i/>
          <w:w w:val="110"/>
        </w:rPr>
        <w:t>Báo cáo tài chính:</w:t>
      </w:r>
      <w:r w:rsidRPr="007D42B2">
        <w:rPr>
          <w:i/>
          <w:spacing w:val="-19"/>
          <w:w w:val="110"/>
        </w:rPr>
        <w:t xml:space="preserve"> </w:t>
      </w:r>
      <w:r w:rsidRPr="007D42B2">
        <w:rPr>
          <w:i/>
          <w:w w:val="110"/>
        </w:rPr>
        <w:t>Ghi nhận và xác định giá trị.</w:t>
      </w:r>
    </w:p>
    <w:p w:rsidR="00AF5A2F" w:rsidRPr="007D42B2" w:rsidRDefault="00AF5A2F" w:rsidP="00A772DB">
      <w:pPr>
        <w:pStyle w:val="BodyText"/>
        <w:spacing w:before="20"/>
        <w:ind w:left="720" w:hanging="720"/>
        <w:jc w:val="both"/>
        <w:rPr>
          <w:w w:val="115"/>
          <w:sz w:val="22"/>
          <w:szCs w:val="22"/>
        </w:rPr>
      </w:pPr>
    </w:p>
    <w:p w:rsidR="00AF5A2F" w:rsidRPr="007D42B2" w:rsidRDefault="00CE63C4" w:rsidP="001A4C40">
      <w:pPr>
        <w:pStyle w:val="BodyText"/>
        <w:pBdr>
          <w:bottom w:val="single" w:sz="6" w:space="1" w:color="auto"/>
        </w:pBdr>
        <w:spacing w:before="20"/>
        <w:ind w:left="720" w:hanging="720"/>
        <w:jc w:val="both"/>
        <w:rPr>
          <w:b/>
          <w:sz w:val="30"/>
          <w:szCs w:val="22"/>
        </w:rPr>
      </w:pPr>
      <w:r w:rsidRPr="007D42B2">
        <w:rPr>
          <w:b/>
          <w:sz w:val="30"/>
          <w:szCs w:val="22"/>
        </w:rPr>
        <w:t>Thu hồi</w:t>
      </w:r>
      <w:r w:rsidR="00AF5A2F" w:rsidRPr="007D42B2">
        <w:rPr>
          <w:b/>
          <w:sz w:val="30"/>
          <w:szCs w:val="22"/>
        </w:rPr>
        <w:t xml:space="preserve"> IAS 27 (2008)</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pStyle w:val="ListParagraph"/>
        <w:numPr>
          <w:ilvl w:val="0"/>
          <w:numId w:val="1"/>
        </w:numPr>
        <w:spacing w:before="20"/>
        <w:ind w:hanging="720"/>
        <w:jc w:val="both"/>
        <w:rPr>
          <w:w w:val="115"/>
        </w:rPr>
      </w:pPr>
      <w:r w:rsidRPr="007D42B2">
        <w:rPr>
          <w:w w:val="110"/>
        </w:rPr>
        <w:t>Chuẩn mực này được ban hành đồng thời với IFRS 10. Hai IFRS này cùng nhau thay thế cho IAS</w:t>
      </w:r>
      <w:r w:rsidRPr="007D42B2">
        <w:rPr>
          <w:spacing w:val="-13"/>
          <w:w w:val="110"/>
        </w:rPr>
        <w:t xml:space="preserve"> </w:t>
      </w:r>
      <w:r w:rsidRPr="007D42B2">
        <w:rPr>
          <w:w w:val="110"/>
        </w:rPr>
        <w:t>27</w:t>
      </w:r>
      <w:r w:rsidRPr="007D42B2">
        <w:rPr>
          <w:spacing w:val="-16"/>
          <w:w w:val="110"/>
        </w:rPr>
        <w:t xml:space="preserve"> </w:t>
      </w:r>
      <w:r w:rsidRPr="007D42B2">
        <w:rPr>
          <w:i/>
          <w:w w:val="110"/>
        </w:rPr>
        <w:t xml:space="preserve">Báo cáo tài chính riêng và hợp nhất </w:t>
      </w:r>
      <w:r w:rsidRPr="007D42B2">
        <w:rPr>
          <w:w w:val="110"/>
        </w:rPr>
        <w:t>(được sửa đổi năm 2008).</w:t>
      </w:r>
    </w:p>
    <w:p w:rsidR="00AF5A2F" w:rsidRPr="007D42B2" w:rsidRDefault="00AF5A2F" w:rsidP="00A772DB">
      <w:pPr>
        <w:pStyle w:val="BodyText"/>
        <w:spacing w:before="20"/>
        <w:ind w:left="720" w:hanging="720"/>
        <w:jc w:val="both"/>
        <w:rPr>
          <w:w w:val="115"/>
          <w:sz w:val="22"/>
          <w:szCs w:val="22"/>
        </w:rPr>
      </w:pPr>
    </w:p>
    <w:p w:rsidR="00AF5A2F" w:rsidRPr="007D42B2" w:rsidRDefault="00AF5A2F" w:rsidP="00A772DB">
      <w:pPr>
        <w:spacing w:before="20"/>
        <w:jc w:val="both"/>
      </w:pPr>
    </w:p>
    <w:p w:rsidR="00AF5A2F" w:rsidRPr="007D42B2" w:rsidRDefault="00AF5A2F" w:rsidP="00A772DB">
      <w:pPr>
        <w:widowControl/>
        <w:autoSpaceDE/>
        <w:autoSpaceDN/>
        <w:spacing w:before="20"/>
        <w:jc w:val="both"/>
      </w:pPr>
      <w:r w:rsidRPr="007D42B2">
        <w:br w:type="page"/>
      </w:r>
    </w:p>
    <w:p w:rsidR="00AF5A2F" w:rsidRPr="007D42B2" w:rsidRDefault="009700D9" w:rsidP="00A772DB">
      <w:pPr>
        <w:pStyle w:val="Heading1"/>
        <w:spacing w:before="20"/>
        <w:jc w:val="both"/>
        <w:rPr>
          <w:rFonts w:ascii="Times New Roman" w:hAnsi="Times New Roman" w:cs="Times New Roman"/>
          <w:b/>
          <w:color w:val="auto"/>
          <w:sz w:val="30"/>
          <w:szCs w:val="22"/>
        </w:rPr>
      </w:pPr>
      <w:r w:rsidRPr="007D42B2">
        <w:rPr>
          <w:rFonts w:ascii="Times New Roman" w:hAnsi="Times New Roman" w:cs="Times New Roman"/>
          <w:b/>
          <w:noProof/>
          <w:color w:val="auto"/>
          <w:sz w:val="30"/>
          <w:szCs w:val="22"/>
          <w:lang w:bidi="ar-SA"/>
        </w:rPr>
        <w:lastRenderedPageBreak/>
        <w:pict>
          <v:line id="Line 5" o:spid="_x0000_s1030" style="position:absolute;left:0;text-align:left;z-index:-251653120;visibility:visible;mso-wrap-distance-left:0;mso-wrap-distance-right:0;mso-position-horizontal-relative:page" from="483.3pt,19.9pt" to="483.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T8FgIAADw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" strokeweight=".5pt">
            <w10:wrap type="topAndBottom" anchorx="page"/>
          </v:line>
        </w:pict>
      </w:r>
      <w:bookmarkStart w:id="3" w:name="_bookmark9"/>
      <w:bookmarkEnd w:id="3"/>
      <w:r w:rsidR="00AF5A2F" w:rsidRPr="007D42B2">
        <w:rPr>
          <w:rFonts w:ascii="Times New Roman" w:hAnsi="Times New Roman" w:cs="Times New Roman"/>
          <w:b/>
          <w:color w:val="auto"/>
          <w:sz w:val="30"/>
          <w:szCs w:val="22"/>
        </w:rPr>
        <w:t>Phê chuẩn của Ủy ban về IAS 27 được ban hành vào tháng 12 năm 2003</w:t>
      </w:r>
    </w:p>
    <w:p w:rsidR="00AF5A2F" w:rsidRPr="007D42B2" w:rsidRDefault="00AF5A2F" w:rsidP="00A772DB">
      <w:pPr>
        <w:spacing w:before="20"/>
        <w:jc w:val="both"/>
        <w:rPr>
          <w:w w:val="110"/>
        </w:rPr>
      </w:pPr>
    </w:p>
    <w:p w:rsidR="00704D04" w:rsidRPr="007D42B2" w:rsidRDefault="00704D04" w:rsidP="00A772DB">
      <w:pPr>
        <w:spacing w:before="20"/>
        <w:jc w:val="both"/>
        <w:rPr>
          <w:w w:val="110"/>
        </w:rPr>
      </w:pPr>
    </w:p>
    <w:p w:rsidR="00AF5A2F" w:rsidRPr="007D42B2" w:rsidRDefault="00AF5A2F" w:rsidP="00A772DB">
      <w:pPr>
        <w:spacing w:before="20"/>
        <w:jc w:val="both"/>
      </w:pPr>
      <w:r w:rsidRPr="007D42B2">
        <w:rPr>
          <w:w w:val="110"/>
        </w:rPr>
        <w:t xml:space="preserve">Chuẩn mực </w:t>
      </w:r>
      <w:r w:rsidR="004D3F32" w:rsidRPr="007D42B2">
        <w:rPr>
          <w:w w:val="110"/>
        </w:rPr>
        <w:t>K</w:t>
      </w:r>
      <w:r w:rsidRPr="007D42B2">
        <w:rPr>
          <w:w w:val="110"/>
        </w:rPr>
        <w:t xml:space="preserve">ế toán </w:t>
      </w:r>
      <w:r w:rsidR="004D3F32" w:rsidRPr="007D42B2">
        <w:rPr>
          <w:w w:val="110"/>
        </w:rPr>
        <w:t>Q</w:t>
      </w:r>
      <w:r w:rsidRPr="007D42B2">
        <w:rPr>
          <w:w w:val="110"/>
        </w:rPr>
        <w:t xml:space="preserve">uốc tế 27 </w:t>
      </w:r>
      <w:r w:rsidRPr="007D42B2">
        <w:rPr>
          <w:i/>
          <w:w w:val="110"/>
        </w:rPr>
        <w:t xml:space="preserve">Báo cáo tài chính riêng và hợp nhất </w:t>
      </w:r>
      <w:r w:rsidRPr="007D42B2">
        <w:rPr>
          <w:w w:val="110"/>
        </w:rPr>
        <w:t xml:space="preserve">(được sửa đổi năm 2003) được phê chuẩn ban hành bởi 13 trên 14 thành viên của Ủy ban Chuẩn mực Kế toán Quốc tế. </w:t>
      </w:r>
      <w:proofErr w:type="gramStart"/>
      <w:r w:rsidRPr="007D42B2">
        <w:rPr>
          <w:w w:val="110"/>
        </w:rPr>
        <w:t>Ông Yamada có ý kiến bất đồng.</w:t>
      </w:r>
      <w:proofErr w:type="gramEnd"/>
      <w:r w:rsidRPr="007D42B2">
        <w:rPr>
          <w:w w:val="110"/>
        </w:rPr>
        <w:t xml:space="preserve"> </w:t>
      </w:r>
      <w:proofErr w:type="gramStart"/>
      <w:r w:rsidRPr="007D42B2">
        <w:rPr>
          <w:w w:val="110"/>
        </w:rPr>
        <w:t>Ý kiến bất đồng của Ông liên quan đến báo cáo tài chính hợp nhất và được trình bày sau phần cơ sở cho các kết luận về IFRS</w:t>
      </w:r>
      <w:r w:rsidRPr="007D42B2">
        <w:rPr>
          <w:spacing w:val="-5"/>
          <w:w w:val="110"/>
        </w:rPr>
        <w:t xml:space="preserve"> </w:t>
      </w:r>
      <w:r w:rsidRPr="007D42B2">
        <w:rPr>
          <w:w w:val="110"/>
        </w:rPr>
        <w:t>10</w:t>
      </w:r>
      <w:r w:rsidRPr="007D42B2">
        <w:rPr>
          <w:spacing w:val="-5"/>
          <w:w w:val="110"/>
        </w:rPr>
        <w:t xml:space="preserve"> </w:t>
      </w:r>
      <w:r w:rsidRPr="007D42B2">
        <w:rPr>
          <w:i/>
          <w:w w:val="110"/>
        </w:rPr>
        <w:t>Báo cáo tài chính hợp nhất</w:t>
      </w:r>
      <w:r w:rsidRPr="007D42B2">
        <w:rPr>
          <w:w w:val="110"/>
        </w:rPr>
        <w:t>.</w:t>
      </w:r>
      <w:proofErr w:type="gramEnd"/>
    </w:p>
    <w:p w:rsidR="00AF5A2F" w:rsidRPr="007D42B2" w:rsidRDefault="00AF5A2F" w:rsidP="00E45550">
      <w:pPr>
        <w:pStyle w:val="BodyText"/>
        <w:tabs>
          <w:tab w:val="left" w:pos="3960"/>
        </w:tabs>
        <w:spacing w:before="20"/>
        <w:jc w:val="both"/>
        <w:rPr>
          <w:sz w:val="22"/>
          <w:szCs w:val="22"/>
        </w:rPr>
      </w:pPr>
      <w:r w:rsidRPr="007D42B2">
        <w:rPr>
          <w:w w:val="110"/>
          <w:sz w:val="22"/>
          <w:szCs w:val="22"/>
        </w:rPr>
        <w:t>Sir</w:t>
      </w:r>
      <w:r w:rsidRPr="007D42B2">
        <w:rPr>
          <w:spacing w:val="-11"/>
          <w:w w:val="110"/>
          <w:sz w:val="22"/>
          <w:szCs w:val="22"/>
        </w:rPr>
        <w:t xml:space="preserve"> </w:t>
      </w:r>
      <w:r w:rsidRPr="007D42B2">
        <w:rPr>
          <w:w w:val="110"/>
          <w:sz w:val="22"/>
          <w:szCs w:val="22"/>
        </w:rPr>
        <w:t>David</w:t>
      </w:r>
      <w:r w:rsidRPr="007D42B2">
        <w:rPr>
          <w:spacing w:val="-11"/>
          <w:w w:val="110"/>
          <w:sz w:val="22"/>
          <w:szCs w:val="22"/>
        </w:rPr>
        <w:t xml:space="preserve"> </w:t>
      </w:r>
      <w:r w:rsidRPr="007D42B2">
        <w:rPr>
          <w:w w:val="110"/>
          <w:sz w:val="22"/>
          <w:szCs w:val="22"/>
        </w:rPr>
        <w:t>Tweedie</w:t>
      </w:r>
      <w:r w:rsidRPr="007D42B2">
        <w:rPr>
          <w:w w:val="110"/>
          <w:sz w:val="22"/>
          <w:szCs w:val="22"/>
        </w:rPr>
        <w:tab/>
        <w:t>Chủ tịch</w:t>
      </w:r>
    </w:p>
    <w:p w:rsidR="00E45550" w:rsidRPr="007D42B2" w:rsidRDefault="00AF5A2F" w:rsidP="00E45550">
      <w:pPr>
        <w:pStyle w:val="BodyText"/>
        <w:tabs>
          <w:tab w:val="left" w:pos="3960"/>
        </w:tabs>
        <w:spacing w:before="20"/>
        <w:ind w:right="2868"/>
        <w:jc w:val="both"/>
        <w:rPr>
          <w:w w:val="105"/>
          <w:sz w:val="22"/>
          <w:szCs w:val="22"/>
        </w:rPr>
      </w:pPr>
      <w:r w:rsidRPr="007D42B2">
        <w:rPr>
          <w:w w:val="110"/>
          <w:sz w:val="22"/>
          <w:szCs w:val="22"/>
        </w:rPr>
        <w:t>Thomas</w:t>
      </w:r>
      <w:r w:rsidRPr="007D42B2">
        <w:rPr>
          <w:spacing w:val="-6"/>
          <w:w w:val="110"/>
          <w:sz w:val="22"/>
          <w:szCs w:val="22"/>
        </w:rPr>
        <w:t xml:space="preserve"> </w:t>
      </w:r>
      <w:r w:rsidRPr="007D42B2">
        <w:rPr>
          <w:w w:val="110"/>
          <w:sz w:val="22"/>
          <w:szCs w:val="22"/>
        </w:rPr>
        <w:t>E</w:t>
      </w:r>
      <w:r w:rsidRPr="007D42B2">
        <w:rPr>
          <w:spacing w:val="-5"/>
          <w:w w:val="110"/>
          <w:sz w:val="22"/>
          <w:szCs w:val="22"/>
        </w:rPr>
        <w:t xml:space="preserve"> </w:t>
      </w:r>
      <w:r w:rsidRPr="007D42B2">
        <w:rPr>
          <w:w w:val="110"/>
          <w:sz w:val="22"/>
          <w:szCs w:val="22"/>
        </w:rPr>
        <w:t>Jones</w:t>
      </w:r>
      <w:r w:rsidRPr="007D42B2">
        <w:rPr>
          <w:w w:val="110"/>
          <w:sz w:val="22"/>
          <w:szCs w:val="22"/>
        </w:rPr>
        <w:tab/>
      </w:r>
      <w:r w:rsidRPr="007D42B2">
        <w:rPr>
          <w:w w:val="105"/>
          <w:sz w:val="22"/>
          <w:szCs w:val="22"/>
        </w:rPr>
        <w:t>Phó Chủ tịch</w:t>
      </w:r>
    </w:p>
    <w:p w:rsidR="00AF5A2F" w:rsidRPr="007D42B2" w:rsidRDefault="00AF5A2F" w:rsidP="00A772DB">
      <w:pPr>
        <w:pStyle w:val="BodyText"/>
        <w:tabs>
          <w:tab w:val="left" w:pos="4527"/>
        </w:tabs>
        <w:spacing w:before="20"/>
        <w:ind w:right="2868"/>
        <w:jc w:val="both"/>
        <w:rPr>
          <w:sz w:val="22"/>
          <w:szCs w:val="22"/>
        </w:rPr>
      </w:pPr>
      <w:r w:rsidRPr="007D42B2">
        <w:rPr>
          <w:w w:val="110"/>
          <w:sz w:val="22"/>
          <w:szCs w:val="22"/>
        </w:rPr>
        <w:t>Mary E</w:t>
      </w:r>
      <w:r w:rsidRPr="007D42B2">
        <w:rPr>
          <w:spacing w:val="-3"/>
          <w:w w:val="110"/>
          <w:sz w:val="22"/>
          <w:szCs w:val="22"/>
        </w:rPr>
        <w:t xml:space="preserve"> </w:t>
      </w:r>
      <w:r w:rsidRPr="007D42B2">
        <w:rPr>
          <w:w w:val="110"/>
          <w:sz w:val="22"/>
          <w:szCs w:val="22"/>
        </w:rPr>
        <w:t>Barth</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Hans-Georg Bruns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Anthony T Cope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Robert P Garnett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Gilbert Gélard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James J Leisenring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Warren J McGregor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Patricia L O’Malley </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Harry K Schmid </w:t>
      </w:r>
    </w:p>
    <w:p w:rsidR="00AF5A2F" w:rsidRPr="007D42B2" w:rsidRDefault="00AF5A2F" w:rsidP="00A772DB">
      <w:pPr>
        <w:pStyle w:val="BodyText"/>
        <w:spacing w:before="20"/>
        <w:ind w:right="6003"/>
        <w:jc w:val="both"/>
        <w:rPr>
          <w:sz w:val="22"/>
          <w:szCs w:val="22"/>
        </w:rPr>
      </w:pPr>
      <w:r w:rsidRPr="007D42B2">
        <w:rPr>
          <w:w w:val="105"/>
          <w:sz w:val="22"/>
          <w:szCs w:val="22"/>
        </w:rPr>
        <w:t>John T</w:t>
      </w:r>
      <w:r w:rsidRPr="007D42B2">
        <w:rPr>
          <w:spacing w:val="9"/>
          <w:w w:val="105"/>
          <w:sz w:val="22"/>
          <w:szCs w:val="22"/>
        </w:rPr>
        <w:t xml:space="preserve"> </w:t>
      </w:r>
      <w:r w:rsidRPr="007D42B2">
        <w:rPr>
          <w:w w:val="105"/>
          <w:sz w:val="22"/>
          <w:szCs w:val="22"/>
        </w:rPr>
        <w:t>Smith</w:t>
      </w:r>
    </w:p>
    <w:p w:rsidR="00E45550" w:rsidRPr="007D42B2" w:rsidRDefault="00AF5A2F" w:rsidP="00A772DB">
      <w:pPr>
        <w:pStyle w:val="BodyText"/>
        <w:spacing w:before="20"/>
        <w:ind w:right="6003"/>
        <w:jc w:val="both"/>
        <w:rPr>
          <w:w w:val="105"/>
          <w:sz w:val="22"/>
          <w:szCs w:val="22"/>
        </w:rPr>
      </w:pPr>
      <w:r w:rsidRPr="007D42B2">
        <w:rPr>
          <w:w w:val="105"/>
          <w:sz w:val="22"/>
          <w:szCs w:val="22"/>
        </w:rPr>
        <w:t xml:space="preserve">Geoffrey Whittington </w:t>
      </w:r>
    </w:p>
    <w:p w:rsidR="00AF5A2F" w:rsidRPr="007D42B2" w:rsidRDefault="00AF5A2F" w:rsidP="00A772DB">
      <w:pPr>
        <w:pStyle w:val="BodyText"/>
        <w:spacing w:before="20"/>
        <w:ind w:right="6003"/>
        <w:jc w:val="both"/>
        <w:rPr>
          <w:w w:val="105"/>
          <w:sz w:val="22"/>
          <w:szCs w:val="22"/>
        </w:rPr>
      </w:pPr>
      <w:r w:rsidRPr="007D42B2">
        <w:rPr>
          <w:w w:val="105"/>
          <w:sz w:val="22"/>
          <w:szCs w:val="22"/>
        </w:rPr>
        <w:t>Tatsumi Yamada</w:t>
      </w:r>
    </w:p>
    <w:p w:rsidR="00AF5A2F" w:rsidRPr="007D42B2" w:rsidRDefault="00AF5A2F" w:rsidP="00A772DB">
      <w:pPr>
        <w:spacing w:before="20"/>
        <w:jc w:val="both"/>
        <w:rPr>
          <w:w w:val="115"/>
        </w:rPr>
      </w:pPr>
    </w:p>
    <w:p w:rsidR="00AF5A2F" w:rsidRPr="007D42B2" w:rsidRDefault="00AF5A2F" w:rsidP="00A772DB">
      <w:pPr>
        <w:widowControl/>
        <w:autoSpaceDE/>
        <w:autoSpaceDN/>
        <w:spacing w:before="20"/>
        <w:jc w:val="both"/>
        <w:rPr>
          <w:w w:val="115"/>
        </w:rPr>
      </w:pPr>
      <w:r w:rsidRPr="007D42B2">
        <w:rPr>
          <w:w w:val="115"/>
        </w:rPr>
        <w:br w:type="page"/>
      </w:r>
    </w:p>
    <w:p w:rsidR="00AF5A2F" w:rsidRPr="007D42B2" w:rsidRDefault="009700D9" w:rsidP="00A33556">
      <w:pPr>
        <w:spacing w:before="20"/>
        <w:jc w:val="both"/>
        <w:rPr>
          <w:b/>
          <w:sz w:val="30"/>
        </w:rPr>
      </w:pPr>
      <w:r w:rsidRPr="007D42B2">
        <w:rPr>
          <w:b/>
          <w:noProof/>
          <w:sz w:val="30"/>
          <w:lang w:bidi="ar-SA"/>
        </w:rPr>
        <w:lastRenderedPageBreak/>
        <w:pict>
          <v:line id="Line 4" o:spid="_x0000_s1029" style="position:absolute;left:0;text-align:left;z-index:-251651072;visibility:visible;mso-wrap-distance-left:0;mso-wrap-distance-right:0;mso-position-horizontal-relative:page" from="457.8pt,44.05pt" to="457.8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VAFgIAADs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" strokeweight=".5pt">
            <w10:wrap type="topAndBottom" anchorx="page"/>
          </v:line>
        </w:pict>
      </w:r>
      <w:bookmarkStart w:id="4" w:name="_bookmark10"/>
      <w:bookmarkEnd w:id="4"/>
      <w:r w:rsidR="00AF5A2F" w:rsidRPr="007D42B2">
        <w:rPr>
          <w:b/>
          <w:sz w:val="30"/>
        </w:rPr>
        <w:t xml:space="preserve">Phê chuẩn của Ủy ban về </w:t>
      </w:r>
      <w:r w:rsidR="00AF5A2F" w:rsidRPr="007D42B2">
        <w:rPr>
          <w:b/>
          <w:i/>
          <w:sz w:val="30"/>
        </w:rPr>
        <w:t>Giá gốc của khoản đầu tư vào một công ty con, cơ sở kinh doanh đồng kiểm soát hoặc công ty liên kết</w:t>
      </w:r>
      <w:r w:rsidR="00AF5A2F" w:rsidRPr="007D42B2">
        <w:rPr>
          <w:b/>
          <w:sz w:val="30"/>
        </w:rPr>
        <w:t xml:space="preserve"> (Các sửa</w:t>
      </w:r>
      <w:r w:rsidR="00704D04" w:rsidRPr="007D42B2">
        <w:rPr>
          <w:b/>
          <w:sz w:val="30"/>
        </w:rPr>
        <w:t xml:space="preserve"> </w:t>
      </w:r>
      <w:r w:rsidR="00AF5A2F" w:rsidRPr="007D42B2">
        <w:rPr>
          <w:b/>
          <w:sz w:val="30"/>
        </w:rPr>
        <w:t xml:space="preserve">đổi IFRS 1 và IAS 27) được ban hành vào tháng 5 năm 2008 </w:t>
      </w:r>
    </w:p>
    <w:p w:rsidR="00AF5A2F" w:rsidRPr="007D42B2" w:rsidRDefault="00AF5A2F" w:rsidP="00A772DB">
      <w:pPr>
        <w:spacing w:before="20"/>
        <w:jc w:val="both"/>
        <w:rPr>
          <w:b/>
        </w:rPr>
      </w:pPr>
    </w:p>
    <w:p w:rsidR="00704D04" w:rsidRPr="007D42B2" w:rsidRDefault="00704D04" w:rsidP="00A772DB">
      <w:pPr>
        <w:spacing w:before="20"/>
        <w:jc w:val="both"/>
        <w:rPr>
          <w:w w:val="105"/>
        </w:rPr>
      </w:pPr>
    </w:p>
    <w:p w:rsidR="00AF5A2F" w:rsidRPr="007D42B2" w:rsidRDefault="00AF5A2F" w:rsidP="00A772DB">
      <w:pPr>
        <w:spacing w:before="20"/>
        <w:jc w:val="both"/>
        <w:rPr>
          <w:i/>
          <w:w w:val="105"/>
        </w:rPr>
      </w:pPr>
      <w:r w:rsidRPr="007D42B2">
        <w:rPr>
          <w:i/>
          <w:w w:val="105"/>
        </w:rPr>
        <w:t xml:space="preserve">Giá gốc của khoản đầu tư vào một công ty con, cơ sở kinh doanh đồng kiểm soát hoặc công ty liên kết </w:t>
      </w:r>
      <w:r w:rsidRPr="007D42B2">
        <w:rPr>
          <w:w w:val="110"/>
        </w:rPr>
        <w:t xml:space="preserve">(Các sửa đổi IFRS 1 Áp dụng lần đầu các </w:t>
      </w:r>
      <w:r w:rsidR="004D3F32" w:rsidRPr="007D42B2">
        <w:rPr>
          <w:w w:val="110"/>
        </w:rPr>
        <w:t>C</w:t>
      </w:r>
      <w:r w:rsidRPr="007D42B2">
        <w:rPr>
          <w:w w:val="110"/>
        </w:rPr>
        <w:t xml:space="preserve">huẩn mực lập báo cáo tài chính </w:t>
      </w:r>
      <w:r w:rsidR="004D3F32" w:rsidRPr="007D42B2">
        <w:rPr>
          <w:w w:val="110"/>
        </w:rPr>
        <w:t>Q</w:t>
      </w:r>
      <w:r w:rsidRPr="007D42B2">
        <w:rPr>
          <w:w w:val="110"/>
        </w:rPr>
        <w:t>uốc tế và IAS 27)</w:t>
      </w:r>
      <w:r w:rsidRPr="007D42B2">
        <w:rPr>
          <w:b/>
        </w:rPr>
        <w:t xml:space="preserve"> </w:t>
      </w:r>
      <w:r w:rsidRPr="007D42B2">
        <w:rPr>
          <w:w w:val="110"/>
        </w:rPr>
        <w:t xml:space="preserve">được phê chuẩn ban hành bởi 11 trên 13 thành viên của Ủy ban Chuẩn mực Kế toán Quốc tế. </w:t>
      </w:r>
      <w:proofErr w:type="gramStart"/>
      <w:r w:rsidRPr="007D42B2">
        <w:rPr>
          <w:w w:val="110"/>
        </w:rPr>
        <w:t xml:space="preserve">Giáo sư Barth và Ông </w:t>
      </w:r>
      <w:r w:rsidRPr="007D42B2">
        <w:rPr>
          <w:w w:val="105"/>
        </w:rPr>
        <w:t xml:space="preserve">Danjou </w:t>
      </w:r>
      <w:r w:rsidRPr="007D42B2">
        <w:rPr>
          <w:w w:val="110"/>
        </w:rPr>
        <w:t>có ý kiến bất đồng.</w:t>
      </w:r>
      <w:proofErr w:type="gramEnd"/>
      <w:r w:rsidRPr="007D42B2">
        <w:rPr>
          <w:w w:val="110"/>
        </w:rPr>
        <w:t xml:space="preserve"> </w:t>
      </w:r>
      <w:proofErr w:type="gramStart"/>
      <w:r w:rsidRPr="007D42B2">
        <w:rPr>
          <w:w w:val="110"/>
        </w:rPr>
        <w:t>Các ý kiến bất đồng của họ được trình bày sau phần cơ sở cho các kết luận.</w:t>
      </w:r>
      <w:proofErr w:type="gramEnd"/>
    </w:p>
    <w:p w:rsidR="00AF5A2F" w:rsidRPr="007D42B2" w:rsidRDefault="00AF5A2F" w:rsidP="00704D04">
      <w:pPr>
        <w:pStyle w:val="BodyText"/>
        <w:tabs>
          <w:tab w:val="left" w:pos="3960"/>
        </w:tabs>
        <w:spacing w:before="20"/>
        <w:jc w:val="both"/>
        <w:rPr>
          <w:sz w:val="22"/>
          <w:szCs w:val="22"/>
        </w:rPr>
      </w:pPr>
      <w:r w:rsidRPr="007D42B2">
        <w:rPr>
          <w:w w:val="110"/>
          <w:sz w:val="22"/>
          <w:szCs w:val="22"/>
        </w:rPr>
        <w:t>Sir</w:t>
      </w:r>
      <w:r w:rsidRPr="007D42B2">
        <w:rPr>
          <w:spacing w:val="-11"/>
          <w:w w:val="110"/>
          <w:sz w:val="22"/>
          <w:szCs w:val="22"/>
        </w:rPr>
        <w:t xml:space="preserve"> </w:t>
      </w:r>
      <w:r w:rsidRPr="007D42B2">
        <w:rPr>
          <w:w w:val="110"/>
          <w:sz w:val="22"/>
          <w:szCs w:val="22"/>
        </w:rPr>
        <w:t>David</w:t>
      </w:r>
      <w:r w:rsidRPr="007D42B2">
        <w:rPr>
          <w:spacing w:val="-11"/>
          <w:w w:val="110"/>
          <w:sz w:val="22"/>
          <w:szCs w:val="22"/>
        </w:rPr>
        <w:t xml:space="preserve"> </w:t>
      </w:r>
      <w:r w:rsidRPr="007D42B2">
        <w:rPr>
          <w:w w:val="110"/>
          <w:sz w:val="22"/>
          <w:szCs w:val="22"/>
        </w:rPr>
        <w:t>Tweedie</w:t>
      </w:r>
      <w:r w:rsidRPr="007D42B2">
        <w:rPr>
          <w:w w:val="110"/>
          <w:sz w:val="22"/>
          <w:szCs w:val="22"/>
        </w:rPr>
        <w:tab/>
        <w:t>Chủ tịch</w:t>
      </w:r>
    </w:p>
    <w:p w:rsidR="00AF5A2F" w:rsidRPr="007D42B2" w:rsidRDefault="00AF5A2F" w:rsidP="00704D04">
      <w:pPr>
        <w:pStyle w:val="BodyText"/>
        <w:tabs>
          <w:tab w:val="left" w:pos="3960"/>
        </w:tabs>
        <w:spacing w:before="20"/>
        <w:jc w:val="both"/>
        <w:rPr>
          <w:w w:val="105"/>
          <w:sz w:val="22"/>
          <w:szCs w:val="22"/>
        </w:rPr>
      </w:pPr>
      <w:r w:rsidRPr="007D42B2">
        <w:rPr>
          <w:w w:val="110"/>
          <w:sz w:val="22"/>
          <w:szCs w:val="22"/>
        </w:rPr>
        <w:t>Thomas</w:t>
      </w:r>
      <w:r w:rsidRPr="007D42B2">
        <w:rPr>
          <w:spacing w:val="-6"/>
          <w:w w:val="110"/>
          <w:sz w:val="22"/>
          <w:szCs w:val="22"/>
        </w:rPr>
        <w:t xml:space="preserve"> </w:t>
      </w:r>
      <w:r w:rsidRPr="007D42B2">
        <w:rPr>
          <w:w w:val="110"/>
          <w:sz w:val="22"/>
          <w:szCs w:val="22"/>
        </w:rPr>
        <w:t>E</w:t>
      </w:r>
      <w:r w:rsidRPr="007D42B2">
        <w:rPr>
          <w:spacing w:val="-5"/>
          <w:w w:val="110"/>
          <w:sz w:val="22"/>
          <w:szCs w:val="22"/>
        </w:rPr>
        <w:t xml:space="preserve"> </w:t>
      </w:r>
      <w:r w:rsidRPr="007D42B2">
        <w:rPr>
          <w:w w:val="110"/>
          <w:sz w:val="22"/>
          <w:szCs w:val="22"/>
        </w:rPr>
        <w:t>Jones</w:t>
      </w:r>
      <w:r w:rsidRPr="007D42B2">
        <w:rPr>
          <w:w w:val="110"/>
          <w:sz w:val="22"/>
          <w:szCs w:val="22"/>
        </w:rPr>
        <w:tab/>
        <w:t>Phó Chủ tịch</w:t>
      </w:r>
      <w:r w:rsidRPr="007D42B2">
        <w:rPr>
          <w:w w:val="105"/>
          <w:sz w:val="22"/>
          <w:szCs w:val="22"/>
        </w:rPr>
        <w:t xml:space="preserve"> </w:t>
      </w:r>
    </w:p>
    <w:p w:rsidR="00AF5A2F" w:rsidRPr="007D42B2" w:rsidRDefault="00AF5A2F" w:rsidP="00A772DB">
      <w:pPr>
        <w:pStyle w:val="BodyText"/>
        <w:tabs>
          <w:tab w:val="left" w:pos="4017"/>
        </w:tabs>
        <w:spacing w:before="20"/>
        <w:jc w:val="both"/>
        <w:rPr>
          <w:sz w:val="22"/>
          <w:szCs w:val="22"/>
        </w:rPr>
      </w:pPr>
      <w:r w:rsidRPr="007D42B2">
        <w:rPr>
          <w:w w:val="110"/>
          <w:sz w:val="22"/>
          <w:szCs w:val="22"/>
        </w:rPr>
        <w:t>Mary E</w:t>
      </w:r>
      <w:r w:rsidRPr="007D42B2">
        <w:rPr>
          <w:spacing w:val="-3"/>
          <w:w w:val="110"/>
          <w:sz w:val="22"/>
          <w:szCs w:val="22"/>
        </w:rPr>
        <w:t xml:space="preserve"> </w:t>
      </w:r>
      <w:r w:rsidRPr="007D42B2">
        <w:rPr>
          <w:w w:val="110"/>
          <w:sz w:val="22"/>
          <w:szCs w:val="22"/>
        </w:rPr>
        <w:t>Barth</w:t>
      </w:r>
    </w:p>
    <w:p w:rsidR="00AF5A2F" w:rsidRPr="007D42B2" w:rsidRDefault="00AF5A2F" w:rsidP="00A772DB">
      <w:pPr>
        <w:pStyle w:val="BodyText"/>
        <w:spacing w:before="20"/>
        <w:jc w:val="both"/>
        <w:rPr>
          <w:w w:val="110"/>
          <w:sz w:val="22"/>
          <w:szCs w:val="22"/>
        </w:rPr>
      </w:pPr>
      <w:r w:rsidRPr="007D42B2">
        <w:rPr>
          <w:w w:val="110"/>
          <w:sz w:val="22"/>
          <w:szCs w:val="22"/>
        </w:rPr>
        <w:t xml:space="preserve">Stephen Cooper </w:t>
      </w:r>
    </w:p>
    <w:p w:rsidR="00AF5A2F" w:rsidRPr="007D42B2" w:rsidRDefault="00AF5A2F" w:rsidP="00A772DB">
      <w:pPr>
        <w:pStyle w:val="BodyText"/>
        <w:spacing w:before="20"/>
        <w:jc w:val="both"/>
        <w:rPr>
          <w:w w:val="110"/>
          <w:sz w:val="22"/>
          <w:szCs w:val="22"/>
        </w:rPr>
      </w:pPr>
      <w:r w:rsidRPr="007D42B2">
        <w:rPr>
          <w:w w:val="110"/>
          <w:sz w:val="22"/>
          <w:szCs w:val="22"/>
        </w:rPr>
        <w:t xml:space="preserve">Philippe Danjou </w:t>
      </w:r>
    </w:p>
    <w:p w:rsidR="00AF5A2F" w:rsidRPr="007D42B2" w:rsidRDefault="00AF5A2F" w:rsidP="00A772DB">
      <w:pPr>
        <w:pStyle w:val="BodyText"/>
        <w:spacing w:before="20"/>
        <w:jc w:val="both"/>
        <w:rPr>
          <w:w w:val="110"/>
          <w:sz w:val="22"/>
          <w:szCs w:val="22"/>
        </w:rPr>
      </w:pPr>
      <w:r w:rsidRPr="007D42B2">
        <w:rPr>
          <w:w w:val="110"/>
          <w:sz w:val="22"/>
          <w:szCs w:val="22"/>
        </w:rPr>
        <w:t xml:space="preserve">Jan Engström </w:t>
      </w:r>
    </w:p>
    <w:p w:rsidR="00AF5A2F" w:rsidRPr="007D42B2" w:rsidRDefault="00AF5A2F" w:rsidP="00A772DB">
      <w:pPr>
        <w:pStyle w:val="BodyText"/>
        <w:spacing w:before="20"/>
        <w:jc w:val="both"/>
        <w:rPr>
          <w:w w:val="110"/>
          <w:sz w:val="22"/>
          <w:szCs w:val="22"/>
        </w:rPr>
      </w:pPr>
      <w:r w:rsidRPr="007D42B2">
        <w:rPr>
          <w:w w:val="110"/>
          <w:sz w:val="22"/>
          <w:szCs w:val="22"/>
        </w:rPr>
        <w:t xml:space="preserve">Robert P Garnett </w:t>
      </w:r>
    </w:p>
    <w:p w:rsidR="00AF5A2F" w:rsidRPr="007D42B2" w:rsidRDefault="00AF5A2F" w:rsidP="00A772DB">
      <w:pPr>
        <w:pStyle w:val="BodyText"/>
        <w:spacing w:before="20"/>
        <w:jc w:val="both"/>
        <w:rPr>
          <w:w w:val="110"/>
          <w:sz w:val="22"/>
          <w:szCs w:val="22"/>
        </w:rPr>
      </w:pPr>
      <w:r w:rsidRPr="007D42B2">
        <w:rPr>
          <w:w w:val="110"/>
          <w:sz w:val="22"/>
          <w:szCs w:val="22"/>
        </w:rPr>
        <w:t xml:space="preserve">Gilbert Gélard </w:t>
      </w:r>
    </w:p>
    <w:p w:rsidR="00AF5A2F" w:rsidRPr="007D42B2" w:rsidRDefault="00AF5A2F" w:rsidP="00A772DB">
      <w:pPr>
        <w:pStyle w:val="BodyText"/>
        <w:spacing w:before="20"/>
        <w:jc w:val="both"/>
        <w:rPr>
          <w:w w:val="110"/>
          <w:sz w:val="22"/>
          <w:szCs w:val="22"/>
        </w:rPr>
      </w:pPr>
      <w:r w:rsidRPr="007D42B2">
        <w:rPr>
          <w:w w:val="110"/>
          <w:sz w:val="22"/>
          <w:szCs w:val="22"/>
        </w:rPr>
        <w:t xml:space="preserve">James J Leisenring </w:t>
      </w:r>
    </w:p>
    <w:p w:rsidR="00AF5A2F" w:rsidRPr="007D42B2" w:rsidRDefault="00AF5A2F" w:rsidP="00A772DB">
      <w:pPr>
        <w:pStyle w:val="BodyText"/>
        <w:spacing w:before="20"/>
        <w:jc w:val="both"/>
        <w:rPr>
          <w:w w:val="110"/>
          <w:sz w:val="22"/>
          <w:szCs w:val="22"/>
        </w:rPr>
      </w:pPr>
      <w:r w:rsidRPr="007D42B2">
        <w:rPr>
          <w:w w:val="110"/>
          <w:sz w:val="22"/>
          <w:szCs w:val="22"/>
        </w:rPr>
        <w:t>Warren J</w:t>
      </w:r>
      <w:r w:rsidRPr="007D42B2">
        <w:rPr>
          <w:spacing w:val="-7"/>
          <w:w w:val="110"/>
          <w:sz w:val="22"/>
          <w:szCs w:val="22"/>
        </w:rPr>
        <w:t xml:space="preserve"> </w:t>
      </w:r>
      <w:r w:rsidRPr="007D42B2">
        <w:rPr>
          <w:w w:val="110"/>
          <w:sz w:val="22"/>
          <w:szCs w:val="22"/>
        </w:rPr>
        <w:t xml:space="preserve">McGregor </w:t>
      </w:r>
    </w:p>
    <w:p w:rsidR="00AF5A2F" w:rsidRPr="007D42B2" w:rsidRDefault="00AF5A2F" w:rsidP="00A772DB">
      <w:pPr>
        <w:pStyle w:val="BodyText"/>
        <w:spacing w:before="20"/>
        <w:jc w:val="both"/>
        <w:rPr>
          <w:w w:val="110"/>
          <w:sz w:val="22"/>
          <w:szCs w:val="22"/>
        </w:rPr>
      </w:pPr>
      <w:r w:rsidRPr="007D42B2">
        <w:rPr>
          <w:w w:val="110"/>
          <w:sz w:val="22"/>
          <w:szCs w:val="22"/>
        </w:rPr>
        <w:t xml:space="preserve">John T Smith </w:t>
      </w:r>
    </w:p>
    <w:p w:rsidR="00AF5A2F" w:rsidRPr="007D42B2" w:rsidRDefault="00AF5A2F" w:rsidP="00A772DB">
      <w:pPr>
        <w:pStyle w:val="BodyText"/>
        <w:spacing w:before="20"/>
        <w:jc w:val="both"/>
        <w:rPr>
          <w:w w:val="110"/>
          <w:sz w:val="22"/>
          <w:szCs w:val="22"/>
        </w:rPr>
      </w:pPr>
      <w:r w:rsidRPr="007D42B2">
        <w:rPr>
          <w:w w:val="110"/>
          <w:sz w:val="22"/>
          <w:szCs w:val="22"/>
        </w:rPr>
        <w:t xml:space="preserve">Tatsumi Yamada </w:t>
      </w:r>
    </w:p>
    <w:p w:rsidR="00AF5A2F" w:rsidRPr="007D42B2" w:rsidRDefault="00AF5A2F" w:rsidP="00A772DB">
      <w:pPr>
        <w:pStyle w:val="BodyText"/>
        <w:spacing w:before="20"/>
        <w:jc w:val="both"/>
        <w:rPr>
          <w:sz w:val="22"/>
          <w:szCs w:val="22"/>
        </w:rPr>
      </w:pPr>
      <w:r w:rsidRPr="007D42B2">
        <w:rPr>
          <w:w w:val="110"/>
          <w:sz w:val="22"/>
          <w:szCs w:val="22"/>
        </w:rPr>
        <w:t>Wei-Guo</w:t>
      </w:r>
      <w:r w:rsidRPr="007D42B2">
        <w:rPr>
          <w:spacing w:val="-4"/>
          <w:w w:val="110"/>
          <w:sz w:val="22"/>
          <w:szCs w:val="22"/>
        </w:rPr>
        <w:t xml:space="preserve"> </w:t>
      </w:r>
      <w:r w:rsidRPr="007D42B2">
        <w:rPr>
          <w:w w:val="110"/>
          <w:sz w:val="22"/>
          <w:szCs w:val="22"/>
        </w:rPr>
        <w:t>Zhang</w:t>
      </w:r>
    </w:p>
    <w:p w:rsidR="00AF5A2F" w:rsidRPr="007D42B2" w:rsidRDefault="00AF5A2F" w:rsidP="00A772DB">
      <w:pPr>
        <w:spacing w:before="20"/>
        <w:jc w:val="both"/>
      </w:pPr>
    </w:p>
    <w:p w:rsidR="00AF5A2F" w:rsidRPr="007D42B2" w:rsidRDefault="00AF5A2F" w:rsidP="00A772DB">
      <w:pPr>
        <w:widowControl/>
        <w:autoSpaceDE/>
        <w:autoSpaceDN/>
        <w:spacing w:before="20"/>
        <w:jc w:val="both"/>
      </w:pPr>
      <w:r w:rsidRPr="007D42B2">
        <w:br w:type="page"/>
      </w:r>
    </w:p>
    <w:p w:rsidR="00704D04" w:rsidRPr="007D42B2" w:rsidRDefault="009700D9" w:rsidP="00704D04">
      <w:pPr>
        <w:spacing w:before="20"/>
        <w:jc w:val="both"/>
        <w:rPr>
          <w:b/>
          <w:sz w:val="30"/>
        </w:rPr>
      </w:pPr>
      <w:r w:rsidRPr="007D42B2">
        <w:rPr>
          <w:b/>
          <w:noProof/>
          <w:sz w:val="30"/>
          <w:lang w:bidi="ar-SA"/>
        </w:rPr>
        <w:lastRenderedPageBreak/>
        <w:pict>
          <v:line id="_x0000_s1028" style="position:absolute;left:0;text-align:left;z-index:-251649024;visibility:visible;mso-wrap-distance-left:0;mso-wrap-distance-right:0;mso-position-horizontal-relative:page" from="457.8pt,44.05pt" to="457.8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tFgIAADw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" strokeweight=".5pt">
            <w10:wrap type="topAndBottom" anchorx="page"/>
          </v:line>
        </w:pict>
      </w:r>
      <w:r w:rsidR="00A772DB" w:rsidRPr="007D42B2">
        <w:rPr>
          <w:b/>
          <w:sz w:val="30"/>
        </w:rPr>
        <w:t xml:space="preserve">Phê chuẩn của Ủy ban về </w:t>
      </w:r>
      <w:r w:rsidR="00A772DB" w:rsidRPr="007D42B2">
        <w:rPr>
          <w:b/>
          <w:i/>
          <w:sz w:val="30"/>
        </w:rPr>
        <w:t xml:space="preserve">Các đơn vị quản lý quỹ đầu tư </w:t>
      </w:r>
      <w:r w:rsidR="00A772DB" w:rsidRPr="007D42B2">
        <w:rPr>
          <w:b/>
          <w:sz w:val="30"/>
        </w:rPr>
        <w:t xml:space="preserve">(Các sửa đổi IFRS 10, IFRS 12 và IAS 27) được ban hành vào tháng 10 năm 2012 </w:t>
      </w:r>
    </w:p>
    <w:p w:rsidR="00704D04" w:rsidRPr="007D42B2" w:rsidRDefault="00704D04" w:rsidP="00704D04">
      <w:pPr>
        <w:spacing w:before="20"/>
        <w:jc w:val="both"/>
        <w:rPr>
          <w:b/>
        </w:rPr>
      </w:pPr>
    </w:p>
    <w:p w:rsidR="00704D04" w:rsidRPr="007D42B2" w:rsidRDefault="00704D04" w:rsidP="00704D04">
      <w:pPr>
        <w:spacing w:before="20"/>
        <w:jc w:val="both"/>
        <w:rPr>
          <w:b/>
        </w:rPr>
      </w:pPr>
    </w:p>
    <w:p w:rsidR="00A772DB" w:rsidRPr="007D42B2" w:rsidRDefault="00A772DB" w:rsidP="00704D04">
      <w:pPr>
        <w:spacing w:before="20"/>
        <w:jc w:val="both"/>
        <w:rPr>
          <w:i/>
          <w:w w:val="110"/>
        </w:rPr>
      </w:pPr>
      <w:r w:rsidRPr="007D42B2">
        <w:rPr>
          <w:i/>
        </w:rPr>
        <w:t xml:space="preserve">Các đơn vị quản lý quỹ đầu tư </w:t>
      </w:r>
      <w:r w:rsidRPr="007D42B2">
        <w:t xml:space="preserve">(Các sửa đổi IFRS 10, IFRS 12 và IAS 27) </w:t>
      </w:r>
      <w:r w:rsidRPr="007D42B2">
        <w:rPr>
          <w:w w:val="110"/>
        </w:rPr>
        <w:t>được phê chuẩn ban hành bởi 15 thành viên của Ủy ban Chuẩn mực Kế toán Quốc tế.</w:t>
      </w:r>
    </w:p>
    <w:p w:rsidR="00A772DB" w:rsidRPr="007D42B2" w:rsidRDefault="00A772DB" w:rsidP="00704D04">
      <w:pPr>
        <w:pStyle w:val="BodyText"/>
        <w:tabs>
          <w:tab w:val="left" w:pos="3960"/>
        </w:tabs>
        <w:spacing w:before="20"/>
        <w:jc w:val="both"/>
        <w:rPr>
          <w:sz w:val="22"/>
          <w:szCs w:val="22"/>
        </w:rPr>
      </w:pPr>
      <w:r w:rsidRPr="007D42B2">
        <w:rPr>
          <w:w w:val="110"/>
          <w:sz w:val="22"/>
          <w:szCs w:val="22"/>
        </w:rPr>
        <w:t>Hans</w:t>
      </w:r>
      <w:r w:rsidRPr="007D42B2">
        <w:rPr>
          <w:spacing w:val="2"/>
          <w:w w:val="110"/>
          <w:sz w:val="22"/>
          <w:szCs w:val="22"/>
        </w:rPr>
        <w:t xml:space="preserve"> </w:t>
      </w:r>
      <w:r w:rsidRPr="007D42B2">
        <w:rPr>
          <w:w w:val="110"/>
          <w:sz w:val="22"/>
          <w:szCs w:val="22"/>
        </w:rPr>
        <w:t>Hoogervorst</w:t>
      </w:r>
      <w:r w:rsidRPr="007D42B2">
        <w:rPr>
          <w:w w:val="110"/>
          <w:sz w:val="22"/>
          <w:szCs w:val="22"/>
        </w:rPr>
        <w:tab/>
        <w:t>Chủ tịch</w:t>
      </w:r>
    </w:p>
    <w:p w:rsidR="00A772DB" w:rsidRPr="007D42B2" w:rsidRDefault="00A772DB" w:rsidP="00704D04">
      <w:pPr>
        <w:pStyle w:val="BodyText"/>
        <w:tabs>
          <w:tab w:val="left" w:pos="3960"/>
        </w:tabs>
        <w:spacing w:before="20"/>
        <w:jc w:val="both"/>
        <w:rPr>
          <w:w w:val="105"/>
          <w:sz w:val="22"/>
          <w:szCs w:val="22"/>
        </w:rPr>
      </w:pPr>
      <w:r w:rsidRPr="007D42B2">
        <w:rPr>
          <w:w w:val="110"/>
          <w:sz w:val="22"/>
          <w:szCs w:val="22"/>
        </w:rPr>
        <w:t>Ian</w:t>
      </w:r>
      <w:r w:rsidRPr="007D42B2">
        <w:rPr>
          <w:spacing w:val="7"/>
          <w:w w:val="110"/>
          <w:sz w:val="22"/>
          <w:szCs w:val="22"/>
        </w:rPr>
        <w:t xml:space="preserve"> </w:t>
      </w:r>
      <w:r w:rsidRPr="007D42B2">
        <w:rPr>
          <w:w w:val="110"/>
          <w:sz w:val="22"/>
          <w:szCs w:val="22"/>
        </w:rPr>
        <w:t>Mackintosh</w:t>
      </w:r>
      <w:r w:rsidRPr="007D42B2">
        <w:rPr>
          <w:w w:val="110"/>
          <w:sz w:val="22"/>
          <w:szCs w:val="22"/>
        </w:rPr>
        <w:tab/>
        <w:t>Phó Chủ tịch</w:t>
      </w:r>
      <w:r w:rsidRPr="007D42B2">
        <w:rPr>
          <w:w w:val="105"/>
          <w:sz w:val="22"/>
          <w:szCs w:val="22"/>
        </w:rPr>
        <w:t xml:space="preserve"> </w:t>
      </w:r>
    </w:p>
    <w:p w:rsidR="00A772DB" w:rsidRPr="007D42B2" w:rsidRDefault="00A772DB" w:rsidP="00A772DB">
      <w:pPr>
        <w:pStyle w:val="BodyText"/>
        <w:tabs>
          <w:tab w:val="left" w:pos="4527"/>
        </w:tabs>
        <w:spacing w:before="20"/>
        <w:jc w:val="both"/>
        <w:rPr>
          <w:sz w:val="22"/>
          <w:szCs w:val="22"/>
        </w:rPr>
      </w:pPr>
      <w:r w:rsidRPr="007D42B2">
        <w:rPr>
          <w:w w:val="110"/>
          <w:sz w:val="22"/>
          <w:szCs w:val="22"/>
        </w:rPr>
        <w:t>Stephen</w:t>
      </w:r>
      <w:r w:rsidRPr="007D42B2">
        <w:rPr>
          <w:spacing w:val="-2"/>
          <w:w w:val="110"/>
          <w:sz w:val="22"/>
          <w:szCs w:val="22"/>
        </w:rPr>
        <w:t xml:space="preserve"> </w:t>
      </w:r>
      <w:r w:rsidRPr="007D42B2">
        <w:rPr>
          <w:w w:val="110"/>
          <w:sz w:val="22"/>
          <w:szCs w:val="22"/>
        </w:rPr>
        <w:t>Cooper</w:t>
      </w:r>
    </w:p>
    <w:p w:rsidR="00A772DB" w:rsidRPr="007D42B2" w:rsidRDefault="00A772DB" w:rsidP="00A772DB">
      <w:pPr>
        <w:pStyle w:val="BodyText"/>
        <w:spacing w:before="20"/>
        <w:jc w:val="both"/>
        <w:rPr>
          <w:w w:val="110"/>
          <w:sz w:val="22"/>
          <w:szCs w:val="22"/>
        </w:rPr>
      </w:pPr>
      <w:r w:rsidRPr="007D42B2">
        <w:rPr>
          <w:w w:val="110"/>
          <w:sz w:val="22"/>
          <w:szCs w:val="22"/>
        </w:rPr>
        <w:t xml:space="preserve">Philippe Danjou </w:t>
      </w:r>
    </w:p>
    <w:p w:rsidR="00A772DB" w:rsidRPr="007D42B2" w:rsidRDefault="00A772DB" w:rsidP="00A772DB">
      <w:pPr>
        <w:pStyle w:val="BodyText"/>
        <w:spacing w:before="20"/>
        <w:jc w:val="both"/>
        <w:rPr>
          <w:w w:val="110"/>
          <w:sz w:val="22"/>
          <w:szCs w:val="22"/>
        </w:rPr>
      </w:pPr>
      <w:r w:rsidRPr="007D42B2">
        <w:rPr>
          <w:w w:val="110"/>
          <w:sz w:val="22"/>
          <w:szCs w:val="22"/>
        </w:rPr>
        <w:t xml:space="preserve">Martin Edelmann </w:t>
      </w:r>
    </w:p>
    <w:p w:rsidR="00A772DB" w:rsidRPr="007D42B2" w:rsidRDefault="00A772DB" w:rsidP="00A772DB">
      <w:pPr>
        <w:pStyle w:val="BodyText"/>
        <w:spacing w:before="20"/>
        <w:jc w:val="both"/>
        <w:rPr>
          <w:w w:val="110"/>
          <w:sz w:val="22"/>
          <w:szCs w:val="22"/>
        </w:rPr>
      </w:pPr>
      <w:r w:rsidRPr="007D42B2">
        <w:rPr>
          <w:w w:val="110"/>
          <w:sz w:val="22"/>
          <w:szCs w:val="22"/>
        </w:rPr>
        <w:t xml:space="preserve">Jan Engström </w:t>
      </w:r>
    </w:p>
    <w:p w:rsidR="00A772DB" w:rsidRPr="007D42B2" w:rsidRDefault="00A772DB" w:rsidP="00A772DB">
      <w:pPr>
        <w:pStyle w:val="BodyText"/>
        <w:spacing w:before="20"/>
        <w:jc w:val="both"/>
        <w:rPr>
          <w:sz w:val="22"/>
          <w:szCs w:val="22"/>
        </w:rPr>
      </w:pPr>
      <w:r w:rsidRPr="007D42B2">
        <w:rPr>
          <w:w w:val="110"/>
          <w:sz w:val="22"/>
          <w:szCs w:val="22"/>
        </w:rPr>
        <w:t>Patrick Finnegan</w:t>
      </w:r>
    </w:p>
    <w:p w:rsidR="00A772DB" w:rsidRPr="007D42B2" w:rsidRDefault="00A772DB" w:rsidP="00A772DB">
      <w:pPr>
        <w:pStyle w:val="BodyText"/>
        <w:spacing w:before="20"/>
        <w:jc w:val="both"/>
        <w:rPr>
          <w:w w:val="110"/>
          <w:sz w:val="22"/>
          <w:szCs w:val="22"/>
        </w:rPr>
      </w:pPr>
      <w:r w:rsidRPr="007D42B2">
        <w:rPr>
          <w:w w:val="110"/>
          <w:sz w:val="22"/>
          <w:szCs w:val="22"/>
        </w:rPr>
        <w:t>Amaro Luiz de Oliveira</w:t>
      </w:r>
      <w:r w:rsidRPr="007D42B2">
        <w:rPr>
          <w:spacing w:val="-36"/>
          <w:w w:val="110"/>
          <w:sz w:val="22"/>
          <w:szCs w:val="22"/>
        </w:rPr>
        <w:t xml:space="preserve"> </w:t>
      </w:r>
      <w:r w:rsidRPr="007D42B2">
        <w:rPr>
          <w:w w:val="110"/>
          <w:sz w:val="22"/>
          <w:szCs w:val="22"/>
        </w:rPr>
        <w:t xml:space="preserve">Gomes </w:t>
      </w:r>
    </w:p>
    <w:p w:rsidR="00A772DB" w:rsidRPr="007D42B2" w:rsidRDefault="00A772DB" w:rsidP="00A772DB">
      <w:pPr>
        <w:pStyle w:val="BodyText"/>
        <w:spacing w:before="20"/>
        <w:jc w:val="both"/>
        <w:rPr>
          <w:w w:val="110"/>
          <w:sz w:val="22"/>
          <w:szCs w:val="22"/>
        </w:rPr>
      </w:pPr>
      <w:r w:rsidRPr="007D42B2">
        <w:rPr>
          <w:w w:val="110"/>
          <w:sz w:val="22"/>
          <w:szCs w:val="22"/>
        </w:rPr>
        <w:t xml:space="preserve">Prabhakar Kalavacherla </w:t>
      </w:r>
    </w:p>
    <w:p w:rsidR="00A772DB" w:rsidRPr="007D42B2" w:rsidRDefault="00A772DB" w:rsidP="00A772DB">
      <w:pPr>
        <w:pStyle w:val="BodyText"/>
        <w:spacing w:before="20"/>
        <w:jc w:val="both"/>
        <w:rPr>
          <w:sz w:val="22"/>
          <w:szCs w:val="22"/>
        </w:rPr>
      </w:pPr>
      <w:r w:rsidRPr="007D42B2">
        <w:rPr>
          <w:w w:val="110"/>
          <w:sz w:val="22"/>
          <w:szCs w:val="22"/>
        </w:rPr>
        <w:t>Patricia</w:t>
      </w:r>
      <w:r w:rsidRPr="007D42B2">
        <w:rPr>
          <w:spacing w:val="-2"/>
          <w:w w:val="110"/>
          <w:sz w:val="22"/>
          <w:szCs w:val="22"/>
        </w:rPr>
        <w:t xml:space="preserve"> </w:t>
      </w:r>
      <w:r w:rsidRPr="007D42B2">
        <w:rPr>
          <w:w w:val="110"/>
          <w:sz w:val="22"/>
          <w:szCs w:val="22"/>
        </w:rPr>
        <w:t>McConnell</w:t>
      </w:r>
    </w:p>
    <w:p w:rsidR="00A772DB" w:rsidRPr="007D42B2" w:rsidRDefault="00A772DB" w:rsidP="00A772DB">
      <w:pPr>
        <w:pStyle w:val="BodyText"/>
        <w:spacing w:before="20"/>
        <w:jc w:val="both"/>
        <w:rPr>
          <w:w w:val="110"/>
          <w:sz w:val="22"/>
          <w:szCs w:val="22"/>
        </w:rPr>
      </w:pPr>
      <w:r w:rsidRPr="007D42B2">
        <w:rPr>
          <w:w w:val="110"/>
          <w:sz w:val="22"/>
          <w:szCs w:val="22"/>
        </w:rPr>
        <w:t xml:space="preserve">Takatsugu Ochi </w:t>
      </w:r>
    </w:p>
    <w:p w:rsidR="00A772DB" w:rsidRPr="007D42B2" w:rsidRDefault="00A772DB" w:rsidP="00A772DB">
      <w:pPr>
        <w:pStyle w:val="BodyText"/>
        <w:spacing w:before="20"/>
        <w:jc w:val="both"/>
        <w:rPr>
          <w:w w:val="110"/>
          <w:sz w:val="22"/>
          <w:szCs w:val="22"/>
        </w:rPr>
      </w:pPr>
      <w:r w:rsidRPr="007D42B2">
        <w:rPr>
          <w:w w:val="110"/>
          <w:sz w:val="22"/>
          <w:szCs w:val="22"/>
        </w:rPr>
        <w:t xml:space="preserve">Paul Pacter </w:t>
      </w:r>
    </w:p>
    <w:p w:rsidR="00A772DB" w:rsidRPr="007D42B2" w:rsidRDefault="00A772DB" w:rsidP="00A772DB">
      <w:pPr>
        <w:pStyle w:val="BodyText"/>
        <w:spacing w:before="20"/>
        <w:jc w:val="both"/>
        <w:rPr>
          <w:w w:val="110"/>
          <w:sz w:val="22"/>
          <w:szCs w:val="22"/>
        </w:rPr>
      </w:pPr>
      <w:r w:rsidRPr="007D42B2">
        <w:rPr>
          <w:w w:val="110"/>
          <w:sz w:val="22"/>
          <w:szCs w:val="22"/>
        </w:rPr>
        <w:t xml:space="preserve">Darrel Scott </w:t>
      </w:r>
    </w:p>
    <w:p w:rsidR="00A772DB" w:rsidRPr="007D42B2" w:rsidRDefault="00A772DB" w:rsidP="00A772DB">
      <w:pPr>
        <w:pStyle w:val="BodyText"/>
        <w:spacing w:before="20"/>
        <w:jc w:val="both"/>
        <w:rPr>
          <w:w w:val="110"/>
          <w:sz w:val="22"/>
          <w:szCs w:val="22"/>
        </w:rPr>
      </w:pPr>
      <w:r w:rsidRPr="007D42B2">
        <w:rPr>
          <w:w w:val="110"/>
          <w:sz w:val="22"/>
          <w:szCs w:val="22"/>
        </w:rPr>
        <w:t xml:space="preserve">Chungwoo Suh </w:t>
      </w:r>
    </w:p>
    <w:p w:rsidR="00A772DB" w:rsidRPr="007D42B2" w:rsidRDefault="00A772DB" w:rsidP="00A772DB">
      <w:pPr>
        <w:pStyle w:val="BodyText"/>
        <w:spacing w:before="20"/>
        <w:jc w:val="both"/>
        <w:rPr>
          <w:sz w:val="22"/>
          <w:szCs w:val="22"/>
        </w:rPr>
      </w:pPr>
      <w:r w:rsidRPr="007D42B2">
        <w:rPr>
          <w:w w:val="110"/>
          <w:sz w:val="22"/>
          <w:szCs w:val="22"/>
        </w:rPr>
        <w:t>Zhang Wei-Guo</w:t>
      </w:r>
    </w:p>
    <w:p w:rsidR="00A772DB" w:rsidRPr="007D42B2" w:rsidRDefault="00A772DB" w:rsidP="00A772DB">
      <w:pPr>
        <w:spacing w:before="20"/>
        <w:jc w:val="both"/>
      </w:pPr>
    </w:p>
    <w:p w:rsidR="00A772DB" w:rsidRPr="007D42B2" w:rsidRDefault="00A772DB" w:rsidP="00A772DB">
      <w:pPr>
        <w:widowControl/>
        <w:autoSpaceDE/>
        <w:autoSpaceDN/>
        <w:spacing w:before="20"/>
        <w:jc w:val="both"/>
      </w:pPr>
      <w:r w:rsidRPr="007D42B2">
        <w:br w:type="page"/>
      </w:r>
    </w:p>
    <w:p w:rsidR="00A772DB" w:rsidRPr="007D42B2" w:rsidRDefault="009700D9" w:rsidP="00A772DB">
      <w:pPr>
        <w:spacing w:before="20"/>
        <w:jc w:val="both"/>
        <w:rPr>
          <w:b/>
          <w:sz w:val="30"/>
        </w:rPr>
      </w:pPr>
      <w:r w:rsidRPr="007D42B2">
        <w:rPr>
          <w:b/>
          <w:noProof/>
          <w:sz w:val="30"/>
          <w:lang w:bidi="ar-SA"/>
        </w:rPr>
        <w:lastRenderedPageBreak/>
        <w:pict>
          <v:line id="_x0000_s1027" style="position:absolute;left:0;text-align:left;z-index:-251646976;visibility:visible;mso-wrap-distance-left:0;mso-wrap-distance-right:0;mso-position-horizontal-relative:page" from="457.8pt,44.05pt" to="457.8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W7FgIAADw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" strokeweight=".5pt">
            <w10:wrap type="topAndBottom" anchorx="page"/>
          </v:line>
        </w:pict>
      </w:r>
      <w:r w:rsidR="00A772DB" w:rsidRPr="007D42B2">
        <w:rPr>
          <w:b/>
          <w:sz w:val="30"/>
        </w:rPr>
        <w:t xml:space="preserve">Phê chuẩn của Ủy ban về </w:t>
      </w:r>
      <w:r w:rsidR="00A772DB" w:rsidRPr="007D42B2">
        <w:rPr>
          <w:b/>
          <w:i/>
          <w:sz w:val="30"/>
        </w:rPr>
        <w:t xml:space="preserve">Phương pháp vốn chủ sở hữu trong báo cáo tài chính riêng </w:t>
      </w:r>
      <w:r w:rsidR="00A772DB" w:rsidRPr="007D42B2">
        <w:rPr>
          <w:b/>
          <w:sz w:val="30"/>
        </w:rPr>
        <w:t xml:space="preserve">(Các sửa đổi IAS 27) được ban hành vào tháng 8 năm 2014 </w:t>
      </w:r>
    </w:p>
    <w:p w:rsidR="00A772DB" w:rsidRPr="007D42B2" w:rsidRDefault="00A772DB" w:rsidP="00A772DB">
      <w:pPr>
        <w:spacing w:before="20"/>
        <w:jc w:val="both"/>
        <w:rPr>
          <w:i/>
          <w:w w:val="105"/>
        </w:rPr>
      </w:pPr>
    </w:p>
    <w:p w:rsidR="00704D04" w:rsidRPr="007D42B2" w:rsidRDefault="00704D04" w:rsidP="00A772DB">
      <w:pPr>
        <w:spacing w:before="20"/>
        <w:jc w:val="both"/>
        <w:rPr>
          <w:i/>
          <w:w w:val="105"/>
        </w:rPr>
      </w:pPr>
    </w:p>
    <w:p w:rsidR="00A772DB" w:rsidRPr="007D42B2" w:rsidRDefault="00A772DB" w:rsidP="00A772DB">
      <w:pPr>
        <w:spacing w:before="20"/>
        <w:ind w:hanging="1"/>
        <w:jc w:val="both"/>
        <w:rPr>
          <w:i/>
          <w:w w:val="110"/>
        </w:rPr>
      </w:pPr>
      <w:r w:rsidRPr="007D42B2">
        <w:rPr>
          <w:i/>
          <w:w w:val="110"/>
        </w:rPr>
        <w:t>Phương pháp vốn chủ sở hữu trong báo cáo tài chính riêng</w:t>
      </w:r>
      <w:r w:rsidRPr="007D42B2">
        <w:rPr>
          <w:w w:val="110"/>
        </w:rPr>
        <w:t xml:space="preserve"> được phê chuẩn ban hành bởi 14 thành viên của Ủy ban Chuẩn mực Kế toán Quốc tế.</w:t>
      </w:r>
    </w:p>
    <w:p w:rsidR="00A772DB" w:rsidRPr="007D42B2" w:rsidRDefault="00A772DB" w:rsidP="00704D04">
      <w:pPr>
        <w:pStyle w:val="BodyText"/>
        <w:tabs>
          <w:tab w:val="left" w:pos="3960"/>
        </w:tabs>
        <w:spacing w:before="20"/>
        <w:jc w:val="both"/>
        <w:rPr>
          <w:sz w:val="22"/>
          <w:szCs w:val="22"/>
        </w:rPr>
      </w:pPr>
      <w:r w:rsidRPr="007D42B2">
        <w:rPr>
          <w:w w:val="110"/>
          <w:sz w:val="22"/>
          <w:szCs w:val="22"/>
        </w:rPr>
        <w:t>Hans</w:t>
      </w:r>
      <w:r w:rsidRPr="007D42B2">
        <w:rPr>
          <w:spacing w:val="2"/>
          <w:w w:val="110"/>
          <w:sz w:val="22"/>
          <w:szCs w:val="22"/>
        </w:rPr>
        <w:t xml:space="preserve"> </w:t>
      </w:r>
      <w:r w:rsidRPr="007D42B2">
        <w:rPr>
          <w:w w:val="110"/>
          <w:sz w:val="22"/>
          <w:szCs w:val="22"/>
        </w:rPr>
        <w:t>Hoogervorst</w:t>
      </w:r>
      <w:r w:rsidRPr="007D42B2">
        <w:rPr>
          <w:w w:val="110"/>
          <w:sz w:val="22"/>
          <w:szCs w:val="22"/>
        </w:rPr>
        <w:tab/>
        <w:t>Chủ tịch</w:t>
      </w:r>
    </w:p>
    <w:p w:rsidR="00A772DB" w:rsidRPr="007D42B2" w:rsidRDefault="00A772DB" w:rsidP="00704D04">
      <w:pPr>
        <w:pStyle w:val="BodyText"/>
        <w:tabs>
          <w:tab w:val="left" w:pos="3960"/>
        </w:tabs>
        <w:spacing w:before="20"/>
        <w:jc w:val="both"/>
        <w:rPr>
          <w:w w:val="105"/>
          <w:sz w:val="22"/>
          <w:szCs w:val="22"/>
        </w:rPr>
      </w:pPr>
      <w:r w:rsidRPr="007D42B2">
        <w:rPr>
          <w:w w:val="110"/>
          <w:sz w:val="22"/>
          <w:szCs w:val="22"/>
        </w:rPr>
        <w:t>Ian</w:t>
      </w:r>
      <w:r w:rsidRPr="007D42B2">
        <w:rPr>
          <w:spacing w:val="7"/>
          <w:w w:val="110"/>
          <w:sz w:val="22"/>
          <w:szCs w:val="22"/>
        </w:rPr>
        <w:t xml:space="preserve"> </w:t>
      </w:r>
      <w:r w:rsidRPr="007D42B2">
        <w:rPr>
          <w:w w:val="110"/>
          <w:sz w:val="22"/>
          <w:szCs w:val="22"/>
        </w:rPr>
        <w:t>Mackintosh</w:t>
      </w:r>
      <w:r w:rsidRPr="007D42B2">
        <w:rPr>
          <w:w w:val="110"/>
          <w:sz w:val="22"/>
          <w:szCs w:val="22"/>
        </w:rPr>
        <w:tab/>
        <w:t>Phó Chủ tịch</w:t>
      </w:r>
      <w:r w:rsidRPr="007D42B2">
        <w:rPr>
          <w:w w:val="105"/>
          <w:sz w:val="22"/>
          <w:szCs w:val="22"/>
        </w:rPr>
        <w:t xml:space="preserve"> </w:t>
      </w:r>
    </w:p>
    <w:p w:rsidR="00A772DB" w:rsidRPr="007D42B2" w:rsidRDefault="00A772DB" w:rsidP="00A772DB">
      <w:pPr>
        <w:pStyle w:val="BodyText"/>
        <w:tabs>
          <w:tab w:val="left" w:pos="4017"/>
        </w:tabs>
        <w:spacing w:before="20"/>
        <w:jc w:val="both"/>
        <w:rPr>
          <w:sz w:val="22"/>
          <w:szCs w:val="22"/>
        </w:rPr>
      </w:pPr>
      <w:r w:rsidRPr="007D42B2">
        <w:rPr>
          <w:w w:val="110"/>
          <w:sz w:val="22"/>
          <w:szCs w:val="22"/>
        </w:rPr>
        <w:t>Stephen</w:t>
      </w:r>
      <w:r w:rsidRPr="007D42B2">
        <w:rPr>
          <w:spacing w:val="-2"/>
          <w:w w:val="110"/>
          <w:sz w:val="22"/>
          <w:szCs w:val="22"/>
        </w:rPr>
        <w:t xml:space="preserve"> </w:t>
      </w:r>
      <w:r w:rsidRPr="007D42B2">
        <w:rPr>
          <w:w w:val="110"/>
          <w:sz w:val="22"/>
          <w:szCs w:val="22"/>
        </w:rPr>
        <w:t>Cooper</w:t>
      </w:r>
    </w:p>
    <w:p w:rsidR="00A772DB" w:rsidRPr="007D42B2" w:rsidRDefault="00A772DB" w:rsidP="00A772DB">
      <w:pPr>
        <w:pStyle w:val="BodyText"/>
        <w:spacing w:before="20"/>
        <w:jc w:val="both"/>
        <w:rPr>
          <w:w w:val="115"/>
          <w:sz w:val="22"/>
          <w:szCs w:val="22"/>
        </w:rPr>
      </w:pPr>
      <w:r w:rsidRPr="007D42B2">
        <w:rPr>
          <w:w w:val="115"/>
          <w:sz w:val="22"/>
          <w:szCs w:val="22"/>
        </w:rPr>
        <w:t xml:space="preserve">Philippe Danjou </w:t>
      </w:r>
    </w:p>
    <w:p w:rsidR="00A772DB" w:rsidRPr="007D42B2" w:rsidRDefault="00A772DB" w:rsidP="00A772DB">
      <w:pPr>
        <w:pStyle w:val="BodyText"/>
        <w:spacing w:before="20"/>
        <w:jc w:val="both"/>
        <w:rPr>
          <w:w w:val="115"/>
          <w:sz w:val="22"/>
          <w:szCs w:val="22"/>
        </w:rPr>
      </w:pPr>
      <w:r w:rsidRPr="007D42B2">
        <w:rPr>
          <w:w w:val="115"/>
          <w:sz w:val="22"/>
          <w:szCs w:val="22"/>
        </w:rPr>
        <w:t xml:space="preserve">Martin Edelmann </w:t>
      </w:r>
    </w:p>
    <w:p w:rsidR="00A772DB" w:rsidRPr="007D42B2" w:rsidRDefault="00A772DB" w:rsidP="00A772DB">
      <w:pPr>
        <w:pStyle w:val="BodyText"/>
        <w:spacing w:before="20"/>
        <w:jc w:val="both"/>
        <w:rPr>
          <w:sz w:val="22"/>
          <w:szCs w:val="22"/>
        </w:rPr>
      </w:pPr>
      <w:r w:rsidRPr="007D42B2">
        <w:rPr>
          <w:w w:val="115"/>
          <w:sz w:val="22"/>
          <w:szCs w:val="22"/>
        </w:rPr>
        <w:t>Patrick Finnegan</w:t>
      </w:r>
    </w:p>
    <w:p w:rsidR="00A772DB" w:rsidRPr="007D42B2" w:rsidRDefault="00A772DB" w:rsidP="00A772DB">
      <w:pPr>
        <w:pStyle w:val="BodyText"/>
        <w:spacing w:before="20"/>
        <w:jc w:val="both"/>
        <w:rPr>
          <w:w w:val="110"/>
          <w:sz w:val="22"/>
          <w:szCs w:val="22"/>
        </w:rPr>
      </w:pPr>
      <w:r w:rsidRPr="007D42B2">
        <w:rPr>
          <w:w w:val="110"/>
          <w:sz w:val="22"/>
          <w:szCs w:val="22"/>
        </w:rPr>
        <w:t xml:space="preserve">Amaro Luiz de Oliveira Gomes </w:t>
      </w:r>
    </w:p>
    <w:p w:rsidR="00A772DB" w:rsidRPr="007D42B2" w:rsidRDefault="00A772DB" w:rsidP="00A772DB">
      <w:pPr>
        <w:pStyle w:val="BodyText"/>
        <w:spacing w:before="20"/>
        <w:jc w:val="both"/>
        <w:rPr>
          <w:sz w:val="22"/>
          <w:szCs w:val="22"/>
        </w:rPr>
      </w:pPr>
      <w:r w:rsidRPr="007D42B2">
        <w:rPr>
          <w:w w:val="110"/>
          <w:sz w:val="22"/>
          <w:szCs w:val="22"/>
        </w:rPr>
        <w:t>Gary Kabureck</w:t>
      </w:r>
    </w:p>
    <w:p w:rsidR="00A772DB" w:rsidRPr="007D42B2" w:rsidRDefault="00A772DB" w:rsidP="00A772DB">
      <w:pPr>
        <w:pStyle w:val="BodyText"/>
        <w:spacing w:before="20"/>
        <w:jc w:val="both"/>
        <w:rPr>
          <w:w w:val="110"/>
          <w:sz w:val="22"/>
          <w:szCs w:val="22"/>
        </w:rPr>
      </w:pPr>
      <w:r w:rsidRPr="007D42B2">
        <w:rPr>
          <w:w w:val="110"/>
          <w:sz w:val="22"/>
          <w:szCs w:val="22"/>
        </w:rPr>
        <w:t xml:space="preserve">Suzanne Lloyd </w:t>
      </w:r>
    </w:p>
    <w:p w:rsidR="00A772DB" w:rsidRPr="007D42B2" w:rsidRDefault="00A772DB" w:rsidP="00A772DB">
      <w:pPr>
        <w:pStyle w:val="BodyText"/>
        <w:spacing w:before="20"/>
        <w:jc w:val="both"/>
        <w:rPr>
          <w:w w:val="110"/>
          <w:sz w:val="22"/>
          <w:szCs w:val="22"/>
        </w:rPr>
      </w:pPr>
      <w:r w:rsidRPr="007D42B2">
        <w:rPr>
          <w:w w:val="110"/>
          <w:sz w:val="22"/>
          <w:szCs w:val="22"/>
        </w:rPr>
        <w:t xml:space="preserve">Takatsugu Ochi </w:t>
      </w:r>
    </w:p>
    <w:p w:rsidR="00A772DB" w:rsidRPr="007D42B2" w:rsidRDefault="00A772DB" w:rsidP="00A772DB">
      <w:pPr>
        <w:pStyle w:val="BodyText"/>
        <w:spacing w:before="20"/>
        <w:jc w:val="both"/>
        <w:rPr>
          <w:w w:val="110"/>
          <w:sz w:val="22"/>
          <w:szCs w:val="22"/>
        </w:rPr>
      </w:pPr>
      <w:r w:rsidRPr="007D42B2">
        <w:rPr>
          <w:w w:val="110"/>
          <w:sz w:val="22"/>
          <w:szCs w:val="22"/>
        </w:rPr>
        <w:t xml:space="preserve">Darrel Scott </w:t>
      </w:r>
    </w:p>
    <w:p w:rsidR="00A772DB" w:rsidRPr="007D42B2" w:rsidRDefault="00A772DB" w:rsidP="00A772DB">
      <w:pPr>
        <w:pStyle w:val="BodyText"/>
        <w:spacing w:before="20"/>
        <w:jc w:val="both"/>
        <w:rPr>
          <w:w w:val="110"/>
          <w:sz w:val="22"/>
          <w:szCs w:val="22"/>
        </w:rPr>
      </w:pPr>
      <w:r w:rsidRPr="007D42B2">
        <w:rPr>
          <w:w w:val="110"/>
          <w:sz w:val="22"/>
          <w:szCs w:val="22"/>
        </w:rPr>
        <w:t xml:space="preserve">Chungwoo Suh </w:t>
      </w:r>
    </w:p>
    <w:p w:rsidR="00A772DB" w:rsidRPr="007D42B2" w:rsidRDefault="00A772DB" w:rsidP="00A772DB">
      <w:pPr>
        <w:pStyle w:val="BodyText"/>
        <w:spacing w:before="20"/>
        <w:jc w:val="both"/>
        <w:rPr>
          <w:w w:val="110"/>
          <w:sz w:val="22"/>
          <w:szCs w:val="22"/>
        </w:rPr>
      </w:pPr>
      <w:r w:rsidRPr="007D42B2">
        <w:rPr>
          <w:w w:val="110"/>
          <w:sz w:val="22"/>
          <w:szCs w:val="22"/>
        </w:rPr>
        <w:t xml:space="preserve">Mary Tokar </w:t>
      </w:r>
    </w:p>
    <w:p w:rsidR="00A772DB" w:rsidRPr="007D42B2" w:rsidRDefault="00A772DB" w:rsidP="00A772DB">
      <w:pPr>
        <w:pStyle w:val="BodyText"/>
        <w:spacing w:before="20"/>
        <w:jc w:val="both"/>
        <w:rPr>
          <w:sz w:val="22"/>
          <w:szCs w:val="22"/>
        </w:rPr>
      </w:pPr>
      <w:r w:rsidRPr="007D42B2">
        <w:rPr>
          <w:w w:val="110"/>
          <w:sz w:val="22"/>
          <w:szCs w:val="22"/>
        </w:rPr>
        <w:t>Wei-Guo Zhang</w:t>
      </w:r>
    </w:p>
    <w:p w:rsidR="00A772DB" w:rsidRPr="007D42B2" w:rsidRDefault="00A772DB" w:rsidP="00A772DB">
      <w:pPr>
        <w:spacing w:before="20"/>
        <w:jc w:val="both"/>
      </w:pPr>
    </w:p>
    <w:sectPr w:rsidR="00A772DB" w:rsidRPr="007D42B2" w:rsidSect="00A772DB">
      <w:pgSz w:w="11910" w:h="16840" w:code="9"/>
      <w:pgMar w:top="1440" w:right="1440" w:bottom="1440" w:left="1440" w:header="1987" w:footer="2016"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67F"/>
    <w:multiLevelType w:val="hybridMultilevel"/>
    <w:tmpl w:val="3C30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1CC5"/>
    <w:multiLevelType w:val="hybridMultilevel"/>
    <w:tmpl w:val="383EF880"/>
    <w:lvl w:ilvl="0" w:tplc="DA8E27A0">
      <w:start w:val="1"/>
      <w:numFmt w:val="lowerLetter"/>
      <w:lvlText w:val="(%1)"/>
      <w:lvlJc w:val="left"/>
      <w:pPr>
        <w:ind w:left="1976" w:hanging="567"/>
      </w:pPr>
      <w:rPr>
        <w:rFonts w:ascii="Times New Roman" w:eastAsia="Times New Roman" w:hAnsi="Times New Roman" w:cs="Times New Roman" w:hint="default"/>
        <w:b/>
        <w:bCs/>
        <w:w w:val="88"/>
        <w:sz w:val="17"/>
        <w:szCs w:val="17"/>
        <w:lang w:val="en-US" w:eastAsia="en-US" w:bidi="en-US"/>
      </w:rPr>
    </w:lvl>
    <w:lvl w:ilvl="1" w:tplc="75B8ACAE">
      <w:start w:val="1"/>
      <w:numFmt w:val="lowerRoman"/>
      <w:lvlText w:val="(%2)"/>
      <w:lvlJc w:val="left"/>
      <w:pPr>
        <w:ind w:left="2543" w:hanging="567"/>
      </w:pPr>
      <w:rPr>
        <w:rFonts w:ascii="Times New Roman" w:eastAsia="Times New Roman" w:hAnsi="Times New Roman" w:cs="Times New Roman" w:hint="default"/>
        <w:b/>
        <w:bCs/>
        <w:w w:val="87"/>
        <w:sz w:val="17"/>
        <w:szCs w:val="17"/>
        <w:lang w:val="en-US" w:eastAsia="en-US" w:bidi="en-US"/>
      </w:rPr>
    </w:lvl>
    <w:lvl w:ilvl="2" w:tplc="020ABBE8">
      <w:numFmt w:val="bullet"/>
      <w:lvlText w:val="•"/>
      <w:lvlJc w:val="left"/>
      <w:pPr>
        <w:ind w:left="3207" w:hanging="567"/>
      </w:pPr>
      <w:rPr>
        <w:rFonts w:hint="default"/>
        <w:lang w:val="en-US" w:eastAsia="en-US" w:bidi="en-US"/>
      </w:rPr>
    </w:lvl>
    <w:lvl w:ilvl="3" w:tplc="21FAD112">
      <w:numFmt w:val="bullet"/>
      <w:lvlText w:val="•"/>
      <w:lvlJc w:val="left"/>
      <w:pPr>
        <w:ind w:left="3874" w:hanging="567"/>
      </w:pPr>
      <w:rPr>
        <w:rFonts w:hint="default"/>
        <w:lang w:val="en-US" w:eastAsia="en-US" w:bidi="en-US"/>
      </w:rPr>
    </w:lvl>
    <w:lvl w:ilvl="4" w:tplc="42563642">
      <w:numFmt w:val="bullet"/>
      <w:lvlText w:val="•"/>
      <w:lvlJc w:val="left"/>
      <w:pPr>
        <w:ind w:left="4541" w:hanging="567"/>
      </w:pPr>
      <w:rPr>
        <w:rFonts w:hint="default"/>
        <w:lang w:val="en-US" w:eastAsia="en-US" w:bidi="en-US"/>
      </w:rPr>
    </w:lvl>
    <w:lvl w:ilvl="5" w:tplc="FF62FE82">
      <w:numFmt w:val="bullet"/>
      <w:lvlText w:val="•"/>
      <w:lvlJc w:val="left"/>
      <w:pPr>
        <w:ind w:left="5209" w:hanging="567"/>
      </w:pPr>
      <w:rPr>
        <w:rFonts w:hint="default"/>
        <w:lang w:val="en-US" w:eastAsia="en-US" w:bidi="en-US"/>
      </w:rPr>
    </w:lvl>
    <w:lvl w:ilvl="6" w:tplc="64EACA40">
      <w:numFmt w:val="bullet"/>
      <w:lvlText w:val="•"/>
      <w:lvlJc w:val="left"/>
      <w:pPr>
        <w:ind w:left="5876" w:hanging="567"/>
      </w:pPr>
      <w:rPr>
        <w:rFonts w:hint="default"/>
        <w:lang w:val="en-US" w:eastAsia="en-US" w:bidi="en-US"/>
      </w:rPr>
    </w:lvl>
    <w:lvl w:ilvl="7" w:tplc="907EDC9E">
      <w:numFmt w:val="bullet"/>
      <w:lvlText w:val="•"/>
      <w:lvlJc w:val="left"/>
      <w:pPr>
        <w:ind w:left="6543" w:hanging="567"/>
      </w:pPr>
      <w:rPr>
        <w:rFonts w:hint="default"/>
        <w:lang w:val="en-US" w:eastAsia="en-US" w:bidi="en-US"/>
      </w:rPr>
    </w:lvl>
    <w:lvl w:ilvl="8" w:tplc="35FC4E8C">
      <w:numFmt w:val="bullet"/>
      <w:lvlText w:val="•"/>
      <w:lvlJc w:val="left"/>
      <w:pPr>
        <w:ind w:left="7210" w:hanging="567"/>
      </w:pPr>
      <w:rPr>
        <w:rFonts w:hint="default"/>
        <w:lang w:val="en-US" w:eastAsia="en-US" w:bidi="en-US"/>
      </w:rPr>
    </w:lvl>
  </w:abstractNum>
  <w:abstractNum w:abstractNumId="2">
    <w:nsid w:val="12C12FD0"/>
    <w:multiLevelType w:val="hybridMultilevel"/>
    <w:tmpl w:val="DD1CF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204E"/>
    <w:multiLevelType w:val="hybridMultilevel"/>
    <w:tmpl w:val="4EB4C822"/>
    <w:lvl w:ilvl="0" w:tplc="4CA0086C">
      <w:start w:val="1"/>
      <w:numFmt w:val="lowerLetter"/>
      <w:lvlText w:val="(%1)"/>
      <w:lvlJc w:val="left"/>
      <w:pPr>
        <w:ind w:left="1070" w:hanging="567"/>
      </w:pPr>
      <w:rPr>
        <w:rFonts w:ascii="Times New Roman" w:hAnsi="Times New Roman" w:cs="Times New Roman" w:hint="default"/>
        <w:b/>
        <w:bCs/>
        <w:w w:val="88"/>
        <w:sz w:val="22"/>
        <w:szCs w:val="17"/>
        <w:lang w:val="en-US" w:eastAsia="en-US" w:bidi="en-US"/>
      </w:rPr>
    </w:lvl>
    <w:lvl w:ilvl="1" w:tplc="7728C90C">
      <w:start w:val="1"/>
      <w:numFmt w:val="lowerRoman"/>
      <w:lvlText w:val="(%2)"/>
      <w:lvlJc w:val="left"/>
      <w:pPr>
        <w:ind w:left="1637" w:hanging="567"/>
      </w:pPr>
      <w:rPr>
        <w:rFonts w:ascii="Times New Roman" w:hAnsi="Times New Roman" w:cs="Times New Roman" w:hint="default"/>
        <w:b/>
        <w:bCs/>
        <w:w w:val="87"/>
        <w:sz w:val="22"/>
        <w:szCs w:val="17"/>
        <w:lang w:val="en-US" w:eastAsia="en-US" w:bidi="en-US"/>
      </w:rPr>
    </w:lvl>
    <w:lvl w:ilvl="2" w:tplc="9FE0BBE6">
      <w:numFmt w:val="bullet"/>
      <w:lvlText w:val="•"/>
      <w:lvlJc w:val="left"/>
      <w:pPr>
        <w:ind w:left="2249" w:hanging="567"/>
      </w:pPr>
      <w:rPr>
        <w:rFonts w:hint="default"/>
        <w:lang w:val="en-US" w:eastAsia="en-US" w:bidi="en-US"/>
      </w:rPr>
    </w:lvl>
    <w:lvl w:ilvl="3" w:tplc="07E8931A">
      <w:numFmt w:val="bullet"/>
      <w:lvlText w:val="•"/>
      <w:lvlJc w:val="left"/>
      <w:pPr>
        <w:ind w:left="2859" w:hanging="567"/>
      </w:pPr>
      <w:rPr>
        <w:rFonts w:hint="default"/>
        <w:lang w:val="en-US" w:eastAsia="en-US" w:bidi="en-US"/>
      </w:rPr>
    </w:lvl>
    <w:lvl w:ilvl="4" w:tplc="AFD87D92">
      <w:numFmt w:val="bullet"/>
      <w:lvlText w:val="•"/>
      <w:lvlJc w:val="left"/>
      <w:pPr>
        <w:ind w:left="3469" w:hanging="567"/>
      </w:pPr>
      <w:rPr>
        <w:rFonts w:hint="default"/>
        <w:lang w:val="en-US" w:eastAsia="en-US" w:bidi="en-US"/>
      </w:rPr>
    </w:lvl>
    <w:lvl w:ilvl="5" w:tplc="C1E88A9A">
      <w:numFmt w:val="bullet"/>
      <w:lvlText w:val="•"/>
      <w:lvlJc w:val="left"/>
      <w:pPr>
        <w:ind w:left="4079" w:hanging="567"/>
      </w:pPr>
      <w:rPr>
        <w:rFonts w:hint="default"/>
        <w:lang w:val="en-US" w:eastAsia="en-US" w:bidi="en-US"/>
      </w:rPr>
    </w:lvl>
    <w:lvl w:ilvl="6" w:tplc="ACAA7CD0">
      <w:numFmt w:val="bullet"/>
      <w:lvlText w:val="•"/>
      <w:lvlJc w:val="left"/>
      <w:pPr>
        <w:ind w:left="4689" w:hanging="567"/>
      </w:pPr>
      <w:rPr>
        <w:rFonts w:hint="default"/>
        <w:lang w:val="en-US" w:eastAsia="en-US" w:bidi="en-US"/>
      </w:rPr>
    </w:lvl>
    <w:lvl w:ilvl="7" w:tplc="C0DA1C46">
      <w:numFmt w:val="bullet"/>
      <w:lvlText w:val="•"/>
      <w:lvlJc w:val="left"/>
      <w:pPr>
        <w:ind w:left="5299" w:hanging="567"/>
      </w:pPr>
      <w:rPr>
        <w:rFonts w:hint="default"/>
        <w:lang w:val="en-US" w:eastAsia="en-US" w:bidi="en-US"/>
      </w:rPr>
    </w:lvl>
    <w:lvl w:ilvl="8" w:tplc="EEBC5EEA">
      <w:numFmt w:val="bullet"/>
      <w:lvlText w:val="•"/>
      <w:lvlJc w:val="left"/>
      <w:pPr>
        <w:ind w:left="5909" w:hanging="567"/>
      </w:pPr>
      <w:rPr>
        <w:rFonts w:hint="default"/>
        <w:lang w:val="en-US" w:eastAsia="en-US" w:bidi="en-US"/>
      </w:rPr>
    </w:lvl>
  </w:abstractNum>
  <w:abstractNum w:abstractNumId="4">
    <w:nsid w:val="179325B2"/>
    <w:multiLevelType w:val="hybridMultilevel"/>
    <w:tmpl w:val="A202C12E"/>
    <w:lvl w:ilvl="0" w:tplc="6AE43098">
      <w:start w:val="1"/>
      <w:numFmt w:val="lowerLetter"/>
      <w:lvlText w:val="(%1)"/>
      <w:lvlJc w:val="left"/>
      <w:pPr>
        <w:ind w:left="2486" w:hanging="567"/>
      </w:pPr>
      <w:rPr>
        <w:rFonts w:ascii="Times New Roman" w:hAnsi="Times New Roman" w:cs="Times New Roman" w:hint="default"/>
        <w:b/>
        <w:bCs/>
        <w:w w:val="94"/>
        <w:sz w:val="22"/>
        <w:szCs w:val="17"/>
        <w:lang w:val="en-US" w:eastAsia="en-US" w:bidi="en-US"/>
      </w:rPr>
    </w:lvl>
    <w:lvl w:ilvl="1" w:tplc="6C0C8276">
      <w:numFmt w:val="bullet"/>
      <w:lvlText w:val="•"/>
      <w:lvlJc w:val="left"/>
      <w:pPr>
        <w:ind w:left="3086" w:hanging="567"/>
      </w:pPr>
      <w:rPr>
        <w:rFonts w:hint="default"/>
        <w:lang w:val="en-US" w:eastAsia="en-US" w:bidi="en-US"/>
      </w:rPr>
    </w:lvl>
    <w:lvl w:ilvl="2" w:tplc="7F544674">
      <w:numFmt w:val="bullet"/>
      <w:lvlText w:val="•"/>
      <w:lvlJc w:val="left"/>
      <w:pPr>
        <w:ind w:left="3693" w:hanging="567"/>
      </w:pPr>
      <w:rPr>
        <w:rFonts w:hint="default"/>
        <w:lang w:val="en-US" w:eastAsia="en-US" w:bidi="en-US"/>
      </w:rPr>
    </w:lvl>
    <w:lvl w:ilvl="3" w:tplc="34E6C1A0">
      <w:numFmt w:val="bullet"/>
      <w:lvlText w:val="•"/>
      <w:lvlJc w:val="left"/>
      <w:pPr>
        <w:ind w:left="4299" w:hanging="567"/>
      </w:pPr>
      <w:rPr>
        <w:rFonts w:hint="default"/>
        <w:lang w:val="en-US" w:eastAsia="en-US" w:bidi="en-US"/>
      </w:rPr>
    </w:lvl>
    <w:lvl w:ilvl="4" w:tplc="9B105E08">
      <w:numFmt w:val="bullet"/>
      <w:lvlText w:val="•"/>
      <w:lvlJc w:val="left"/>
      <w:pPr>
        <w:ind w:left="4906" w:hanging="567"/>
      </w:pPr>
      <w:rPr>
        <w:rFonts w:hint="default"/>
        <w:lang w:val="en-US" w:eastAsia="en-US" w:bidi="en-US"/>
      </w:rPr>
    </w:lvl>
    <w:lvl w:ilvl="5" w:tplc="CCE64A80">
      <w:numFmt w:val="bullet"/>
      <w:lvlText w:val="•"/>
      <w:lvlJc w:val="left"/>
      <w:pPr>
        <w:ind w:left="5512" w:hanging="567"/>
      </w:pPr>
      <w:rPr>
        <w:rFonts w:hint="default"/>
        <w:lang w:val="en-US" w:eastAsia="en-US" w:bidi="en-US"/>
      </w:rPr>
    </w:lvl>
    <w:lvl w:ilvl="6" w:tplc="93A83E54">
      <w:numFmt w:val="bullet"/>
      <w:lvlText w:val="•"/>
      <w:lvlJc w:val="left"/>
      <w:pPr>
        <w:ind w:left="6119" w:hanging="567"/>
      </w:pPr>
      <w:rPr>
        <w:rFonts w:hint="default"/>
        <w:lang w:val="en-US" w:eastAsia="en-US" w:bidi="en-US"/>
      </w:rPr>
    </w:lvl>
    <w:lvl w:ilvl="7" w:tplc="964A0D20">
      <w:numFmt w:val="bullet"/>
      <w:lvlText w:val="•"/>
      <w:lvlJc w:val="left"/>
      <w:pPr>
        <w:ind w:left="6725" w:hanging="567"/>
      </w:pPr>
      <w:rPr>
        <w:rFonts w:hint="default"/>
        <w:lang w:val="en-US" w:eastAsia="en-US" w:bidi="en-US"/>
      </w:rPr>
    </w:lvl>
    <w:lvl w:ilvl="8" w:tplc="EEC6C4A0">
      <w:numFmt w:val="bullet"/>
      <w:lvlText w:val="•"/>
      <w:lvlJc w:val="left"/>
      <w:pPr>
        <w:ind w:left="7332" w:hanging="567"/>
      </w:pPr>
      <w:rPr>
        <w:rFonts w:hint="default"/>
        <w:lang w:val="en-US" w:eastAsia="en-US" w:bidi="en-US"/>
      </w:rPr>
    </w:lvl>
  </w:abstractNum>
  <w:abstractNum w:abstractNumId="5">
    <w:nsid w:val="1CC31E55"/>
    <w:multiLevelType w:val="hybridMultilevel"/>
    <w:tmpl w:val="CA4AF058"/>
    <w:lvl w:ilvl="0" w:tplc="654EE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D42536"/>
    <w:multiLevelType w:val="hybridMultilevel"/>
    <w:tmpl w:val="86B2D8E8"/>
    <w:lvl w:ilvl="0" w:tplc="654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91B54"/>
    <w:multiLevelType w:val="hybridMultilevel"/>
    <w:tmpl w:val="705CF1C6"/>
    <w:lvl w:ilvl="0" w:tplc="DA8E27A0">
      <w:start w:val="1"/>
      <w:numFmt w:val="lowerLetter"/>
      <w:lvlText w:val="(%1)"/>
      <w:lvlJc w:val="left"/>
      <w:pPr>
        <w:ind w:left="1976" w:hanging="567"/>
      </w:pPr>
      <w:rPr>
        <w:rFonts w:ascii="Times New Roman" w:eastAsia="Times New Roman" w:hAnsi="Times New Roman" w:cs="Times New Roman" w:hint="default"/>
        <w:b/>
        <w:bCs/>
        <w:w w:val="88"/>
        <w:sz w:val="17"/>
        <w:szCs w:val="17"/>
        <w:lang w:val="en-US" w:eastAsia="en-US" w:bidi="en-US"/>
      </w:rPr>
    </w:lvl>
    <w:lvl w:ilvl="1" w:tplc="9490D678">
      <w:start w:val="1"/>
      <w:numFmt w:val="lowerRoman"/>
      <w:lvlText w:val="(%2)"/>
      <w:lvlJc w:val="left"/>
      <w:pPr>
        <w:ind w:left="2543" w:hanging="567"/>
      </w:pPr>
      <w:rPr>
        <w:rFonts w:ascii="Times New Roman" w:hAnsi="Times New Roman" w:cs="Times New Roman" w:hint="default"/>
        <w:b/>
        <w:bCs/>
        <w:w w:val="87"/>
        <w:sz w:val="22"/>
        <w:szCs w:val="17"/>
        <w:lang w:val="en-US" w:eastAsia="en-US" w:bidi="en-US"/>
      </w:rPr>
    </w:lvl>
    <w:lvl w:ilvl="2" w:tplc="020ABBE8">
      <w:numFmt w:val="bullet"/>
      <w:lvlText w:val="•"/>
      <w:lvlJc w:val="left"/>
      <w:pPr>
        <w:ind w:left="3207" w:hanging="567"/>
      </w:pPr>
      <w:rPr>
        <w:rFonts w:hint="default"/>
        <w:lang w:val="en-US" w:eastAsia="en-US" w:bidi="en-US"/>
      </w:rPr>
    </w:lvl>
    <w:lvl w:ilvl="3" w:tplc="21FAD112">
      <w:numFmt w:val="bullet"/>
      <w:lvlText w:val="•"/>
      <w:lvlJc w:val="left"/>
      <w:pPr>
        <w:ind w:left="3874" w:hanging="567"/>
      </w:pPr>
      <w:rPr>
        <w:rFonts w:hint="default"/>
        <w:lang w:val="en-US" w:eastAsia="en-US" w:bidi="en-US"/>
      </w:rPr>
    </w:lvl>
    <w:lvl w:ilvl="4" w:tplc="42563642">
      <w:numFmt w:val="bullet"/>
      <w:lvlText w:val="•"/>
      <w:lvlJc w:val="left"/>
      <w:pPr>
        <w:ind w:left="4541" w:hanging="567"/>
      </w:pPr>
      <w:rPr>
        <w:rFonts w:hint="default"/>
        <w:lang w:val="en-US" w:eastAsia="en-US" w:bidi="en-US"/>
      </w:rPr>
    </w:lvl>
    <w:lvl w:ilvl="5" w:tplc="FF62FE82">
      <w:numFmt w:val="bullet"/>
      <w:lvlText w:val="•"/>
      <w:lvlJc w:val="left"/>
      <w:pPr>
        <w:ind w:left="5209" w:hanging="567"/>
      </w:pPr>
      <w:rPr>
        <w:rFonts w:hint="default"/>
        <w:lang w:val="en-US" w:eastAsia="en-US" w:bidi="en-US"/>
      </w:rPr>
    </w:lvl>
    <w:lvl w:ilvl="6" w:tplc="64EACA40">
      <w:numFmt w:val="bullet"/>
      <w:lvlText w:val="•"/>
      <w:lvlJc w:val="left"/>
      <w:pPr>
        <w:ind w:left="5876" w:hanging="567"/>
      </w:pPr>
      <w:rPr>
        <w:rFonts w:hint="default"/>
        <w:lang w:val="en-US" w:eastAsia="en-US" w:bidi="en-US"/>
      </w:rPr>
    </w:lvl>
    <w:lvl w:ilvl="7" w:tplc="907EDC9E">
      <w:numFmt w:val="bullet"/>
      <w:lvlText w:val="•"/>
      <w:lvlJc w:val="left"/>
      <w:pPr>
        <w:ind w:left="6543" w:hanging="567"/>
      </w:pPr>
      <w:rPr>
        <w:rFonts w:hint="default"/>
        <w:lang w:val="en-US" w:eastAsia="en-US" w:bidi="en-US"/>
      </w:rPr>
    </w:lvl>
    <w:lvl w:ilvl="8" w:tplc="35FC4E8C">
      <w:numFmt w:val="bullet"/>
      <w:lvlText w:val="•"/>
      <w:lvlJc w:val="left"/>
      <w:pPr>
        <w:ind w:left="7210" w:hanging="567"/>
      </w:pPr>
      <w:rPr>
        <w:rFonts w:hint="default"/>
        <w:lang w:val="en-US" w:eastAsia="en-US" w:bidi="en-US"/>
      </w:rPr>
    </w:lvl>
  </w:abstractNum>
  <w:abstractNum w:abstractNumId="8">
    <w:nsid w:val="3C0C5507"/>
    <w:multiLevelType w:val="hybridMultilevel"/>
    <w:tmpl w:val="7C86B92A"/>
    <w:lvl w:ilvl="0" w:tplc="2F3088C8">
      <w:start w:val="1"/>
      <w:numFmt w:val="decimal"/>
      <w:lvlText w:val="%1"/>
      <w:lvlJc w:val="left"/>
      <w:pPr>
        <w:ind w:left="1409" w:hanging="851"/>
        <w:jc w:val="right"/>
      </w:pPr>
      <w:rPr>
        <w:rFonts w:hint="default"/>
        <w:w w:val="108"/>
        <w:position w:val="1"/>
        <w:lang w:val="en-US" w:eastAsia="en-US" w:bidi="en-US"/>
      </w:rPr>
    </w:lvl>
    <w:lvl w:ilvl="1" w:tplc="03FE6A1E">
      <w:numFmt w:val="bullet"/>
      <w:lvlText w:val="•"/>
      <w:lvlJc w:val="left"/>
      <w:pPr>
        <w:ind w:left="1693" w:hanging="284"/>
      </w:pPr>
      <w:rPr>
        <w:rFonts w:ascii="Times New Roman" w:eastAsia="Times New Roman" w:hAnsi="Times New Roman" w:cs="Times New Roman" w:hint="default"/>
        <w:w w:val="139"/>
        <w:sz w:val="17"/>
        <w:szCs w:val="17"/>
        <w:lang w:val="en-US" w:eastAsia="en-US" w:bidi="en-US"/>
      </w:rPr>
    </w:lvl>
    <w:lvl w:ilvl="2" w:tplc="63DA1242">
      <w:numFmt w:val="bullet"/>
      <w:lvlText w:val="•"/>
      <w:lvlJc w:val="left"/>
      <w:pPr>
        <w:ind w:left="2203" w:hanging="284"/>
      </w:pPr>
      <w:rPr>
        <w:rFonts w:ascii="Times New Roman" w:eastAsia="Times New Roman" w:hAnsi="Times New Roman" w:cs="Times New Roman" w:hint="default"/>
        <w:w w:val="139"/>
        <w:sz w:val="17"/>
        <w:szCs w:val="17"/>
        <w:lang w:val="en-US" w:eastAsia="en-US" w:bidi="en-US"/>
      </w:rPr>
    </w:lvl>
    <w:lvl w:ilvl="3" w:tplc="BDC01802">
      <w:numFmt w:val="bullet"/>
      <w:lvlText w:val="•"/>
      <w:lvlJc w:val="left"/>
      <w:pPr>
        <w:ind w:left="2993" w:hanging="284"/>
      </w:pPr>
      <w:rPr>
        <w:rFonts w:hint="default"/>
        <w:lang w:val="en-US" w:eastAsia="en-US" w:bidi="en-US"/>
      </w:rPr>
    </w:lvl>
    <w:lvl w:ilvl="4" w:tplc="4678CA44">
      <w:numFmt w:val="bullet"/>
      <w:lvlText w:val="•"/>
      <w:lvlJc w:val="left"/>
      <w:pPr>
        <w:ind w:left="3786" w:hanging="284"/>
      </w:pPr>
      <w:rPr>
        <w:rFonts w:hint="default"/>
        <w:lang w:val="en-US" w:eastAsia="en-US" w:bidi="en-US"/>
      </w:rPr>
    </w:lvl>
    <w:lvl w:ilvl="5" w:tplc="35E85516">
      <w:numFmt w:val="bullet"/>
      <w:lvlText w:val="•"/>
      <w:lvlJc w:val="left"/>
      <w:pPr>
        <w:ind w:left="4579" w:hanging="284"/>
      </w:pPr>
      <w:rPr>
        <w:rFonts w:hint="default"/>
        <w:lang w:val="en-US" w:eastAsia="en-US" w:bidi="en-US"/>
      </w:rPr>
    </w:lvl>
    <w:lvl w:ilvl="6" w:tplc="9D66BA24">
      <w:numFmt w:val="bullet"/>
      <w:lvlText w:val="•"/>
      <w:lvlJc w:val="left"/>
      <w:pPr>
        <w:ind w:left="5372" w:hanging="284"/>
      </w:pPr>
      <w:rPr>
        <w:rFonts w:hint="default"/>
        <w:lang w:val="en-US" w:eastAsia="en-US" w:bidi="en-US"/>
      </w:rPr>
    </w:lvl>
    <w:lvl w:ilvl="7" w:tplc="9774BA84">
      <w:numFmt w:val="bullet"/>
      <w:lvlText w:val="•"/>
      <w:lvlJc w:val="left"/>
      <w:pPr>
        <w:ind w:left="6165" w:hanging="284"/>
      </w:pPr>
      <w:rPr>
        <w:rFonts w:hint="default"/>
        <w:lang w:val="en-US" w:eastAsia="en-US" w:bidi="en-US"/>
      </w:rPr>
    </w:lvl>
    <w:lvl w:ilvl="8" w:tplc="E03CDB26">
      <w:numFmt w:val="bullet"/>
      <w:lvlText w:val="•"/>
      <w:lvlJc w:val="left"/>
      <w:pPr>
        <w:ind w:left="6959" w:hanging="284"/>
      </w:pPr>
      <w:rPr>
        <w:rFonts w:hint="default"/>
        <w:lang w:val="en-US" w:eastAsia="en-US" w:bidi="en-US"/>
      </w:rPr>
    </w:lvl>
  </w:abstractNum>
  <w:abstractNum w:abstractNumId="9">
    <w:nsid w:val="3D0E009D"/>
    <w:multiLevelType w:val="hybridMultilevel"/>
    <w:tmpl w:val="3668A8F4"/>
    <w:lvl w:ilvl="0" w:tplc="BF6AF16A">
      <w:start w:val="1"/>
      <w:numFmt w:val="lowerLetter"/>
      <w:lvlText w:val="(%1)"/>
      <w:lvlJc w:val="left"/>
      <w:pPr>
        <w:ind w:left="1076" w:hanging="567"/>
      </w:pPr>
      <w:rPr>
        <w:rFonts w:ascii="Times New Roman" w:hAnsi="Times New Roman" w:cs="Times New Roman" w:hint="default"/>
        <w:w w:val="94"/>
        <w:sz w:val="22"/>
        <w:szCs w:val="17"/>
        <w:lang w:val="en-US" w:eastAsia="en-US" w:bidi="en-US"/>
      </w:rPr>
    </w:lvl>
    <w:lvl w:ilvl="1" w:tplc="65549F76">
      <w:start w:val="1"/>
      <w:numFmt w:val="lowerRoman"/>
      <w:lvlText w:val="(%2)"/>
      <w:lvlJc w:val="left"/>
      <w:pPr>
        <w:ind w:left="1643" w:hanging="567"/>
      </w:pPr>
      <w:rPr>
        <w:rFonts w:ascii="Times New Roman" w:eastAsia="Times New Roman" w:hAnsi="Times New Roman" w:cs="Times New Roman" w:hint="default"/>
        <w:w w:val="89"/>
        <w:sz w:val="17"/>
        <w:szCs w:val="17"/>
        <w:lang w:val="en-US" w:eastAsia="en-US" w:bidi="en-US"/>
      </w:rPr>
    </w:lvl>
    <w:lvl w:ilvl="2" w:tplc="2152AC8C">
      <w:numFmt w:val="bullet"/>
      <w:lvlText w:val="•"/>
      <w:lvlJc w:val="left"/>
      <w:pPr>
        <w:ind w:left="2307" w:hanging="567"/>
      </w:pPr>
      <w:rPr>
        <w:rFonts w:hint="default"/>
        <w:lang w:val="en-US" w:eastAsia="en-US" w:bidi="en-US"/>
      </w:rPr>
    </w:lvl>
    <w:lvl w:ilvl="3" w:tplc="FC029616">
      <w:numFmt w:val="bullet"/>
      <w:lvlText w:val="•"/>
      <w:lvlJc w:val="left"/>
      <w:pPr>
        <w:ind w:left="2974" w:hanging="567"/>
      </w:pPr>
      <w:rPr>
        <w:rFonts w:hint="default"/>
        <w:lang w:val="en-US" w:eastAsia="en-US" w:bidi="en-US"/>
      </w:rPr>
    </w:lvl>
    <w:lvl w:ilvl="4" w:tplc="52865622">
      <w:numFmt w:val="bullet"/>
      <w:lvlText w:val="•"/>
      <w:lvlJc w:val="left"/>
      <w:pPr>
        <w:ind w:left="3641" w:hanging="567"/>
      </w:pPr>
      <w:rPr>
        <w:rFonts w:hint="default"/>
        <w:lang w:val="en-US" w:eastAsia="en-US" w:bidi="en-US"/>
      </w:rPr>
    </w:lvl>
    <w:lvl w:ilvl="5" w:tplc="D2BACF60">
      <w:numFmt w:val="bullet"/>
      <w:lvlText w:val="•"/>
      <w:lvlJc w:val="left"/>
      <w:pPr>
        <w:ind w:left="4309" w:hanging="567"/>
      </w:pPr>
      <w:rPr>
        <w:rFonts w:hint="default"/>
        <w:lang w:val="en-US" w:eastAsia="en-US" w:bidi="en-US"/>
      </w:rPr>
    </w:lvl>
    <w:lvl w:ilvl="6" w:tplc="2D928430">
      <w:numFmt w:val="bullet"/>
      <w:lvlText w:val="•"/>
      <w:lvlJc w:val="left"/>
      <w:pPr>
        <w:ind w:left="4976" w:hanging="567"/>
      </w:pPr>
      <w:rPr>
        <w:rFonts w:hint="default"/>
        <w:lang w:val="en-US" w:eastAsia="en-US" w:bidi="en-US"/>
      </w:rPr>
    </w:lvl>
    <w:lvl w:ilvl="7" w:tplc="BD9A5CC0">
      <w:numFmt w:val="bullet"/>
      <w:lvlText w:val="•"/>
      <w:lvlJc w:val="left"/>
      <w:pPr>
        <w:ind w:left="5643" w:hanging="567"/>
      </w:pPr>
      <w:rPr>
        <w:rFonts w:hint="default"/>
        <w:lang w:val="en-US" w:eastAsia="en-US" w:bidi="en-US"/>
      </w:rPr>
    </w:lvl>
    <w:lvl w:ilvl="8" w:tplc="916AF294">
      <w:numFmt w:val="bullet"/>
      <w:lvlText w:val="•"/>
      <w:lvlJc w:val="left"/>
      <w:pPr>
        <w:ind w:left="6310" w:hanging="567"/>
      </w:pPr>
      <w:rPr>
        <w:rFonts w:hint="default"/>
        <w:lang w:val="en-US" w:eastAsia="en-US" w:bidi="en-US"/>
      </w:rPr>
    </w:lvl>
  </w:abstractNum>
  <w:abstractNum w:abstractNumId="10">
    <w:nsid w:val="41EA758A"/>
    <w:multiLevelType w:val="hybridMultilevel"/>
    <w:tmpl w:val="FC4CA1B2"/>
    <w:lvl w:ilvl="0" w:tplc="654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B0AC2"/>
    <w:multiLevelType w:val="hybridMultilevel"/>
    <w:tmpl w:val="D06EA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A0717"/>
    <w:multiLevelType w:val="hybridMultilevel"/>
    <w:tmpl w:val="D3A4BA0C"/>
    <w:lvl w:ilvl="0" w:tplc="BFB2958E">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86A77B8"/>
    <w:multiLevelType w:val="hybridMultilevel"/>
    <w:tmpl w:val="582E4930"/>
    <w:lvl w:ilvl="0" w:tplc="1826E91E">
      <w:start w:val="1"/>
      <w:numFmt w:val="lowerLetter"/>
      <w:lvlText w:val="(%1)"/>
      <w:lvlJc w:val="left"/>
      <w:pPr>
        <w:ind w:left="1076" w:hanging="567"/>
      </w:pPr>
      <w:rPr>
        <w:rFonts w:ascii="Times New Roman" w:eastAsia="Times New Roman" w:hAnsi="Times New Roman" w:cs="Times New Roman" w:hint="default"/>
        <w:w w:val="94"/>
        <w:sz w:val="17"/>
        <w:szCs w:val="17"/>
        <w:lang w:val="en-US" w:eastAsia="en-US" w:bidi="en-US"/>
      </w:rPr>
    </w:lvl>
    <w:lvl w:ilvl="1" w:tplc="C06A25DA">
      <w:numFmt w:val="bullet"/>
      <w:lvlText w:val="•"/>
      <w:lvlJc w:val="left"/>
      <w:pPr>
        <w:ind w:left="1736" w:hanging="567"/>
      </w:pPr>
      <w:rPr>
        <w:rFonts w:hint="default"/>
        <w:lang w:val="en-US" w:eastAsia="en-US" w:bidi="en-US"/>
      </w:rPr>
    </w:lvl>
    <w:lvl w:ilvl="2" w:tplc="7326D20C">
      <w:numFmt w:val="bullet"/>
      <w:lvlText w:val="•"/>
      <w:lvlJc w:val="left"/>
      <w:pPr>
        <w:ind w:left="2393" w:hanging="567"/>
      </w:pPr>
      <w:rPr>
        <w:rFonts w:hint="default"/>
        <w:lang w:val="en-US" w:eastAsia="en-US" w:bidi="en-US"/>
      </w:rPr>
    </w:lvl>
    <w:lvl w:ilvl="3" w:tplc="A3AEE9B4">
      <w:numFmt w:val="bullet"/>
      <w:lvlText w:val="•"/>
      <w:lvlJc w:val="left"/>
      <w:pPr>
        <w:ind w:left="3049" w:hanging="567"/>
      </w:pPr>
      <w:rPr>
        <w:rFonts w:hint="default"/>
        <w:lang w:val="en-US" w:eastAsia="en-US" w:bidi="en-US"/>
      </w:rPr>
    </w:lvl>
    <w:lvl w:ilvl="4" w:tplc="2948342C">
      <w:numFmt w:val="bullet"/>
      <w:lvlText w:val="•"/>
      <w:lvlJc w:val="left"/>
      <w:pPr>
        <w:ind w:left="3706" w:hanging="567"/>
      </w:pPr>
      <w:rPr>
        <w:rFonts w:hint="default"/>
        <w:lang w:val="en-US" w:eastAsia="en-US" w:bidi="en-US"/>
      </w:rPr>
    </w:lvl>
    <w:lvl w:ilvl="5" w:tplc="C4300902">
      <w:numFmt w:val="bullet"/>
      <w:lvlText w:val="•"/>
      <w:lvlJc w:val="left"/>
      <w:pPr>
        <w:ind w:left="4362" w:hanging="567"/>
      </w:pPr>
      <w:rPr>
        <w:rFonts w:hint="default"/>
        <w:lang w:val="en-US" w:eastAsia="en-US" w:bidi="en-US"/>
      </w:rPr>
    </w:lvl>
    <w:lvl w:ilvl="6" w:tplc="D2E2A870">
      <w:numFmt w:val="bullet"/>
      <w:lvlText w:val="•"/>
      <w:lvlJc w:val="left"/>
      <w:pPr>
        <w:ind w:left="5019" w:hanging="567"/>
      </w:pPr>
      <w:rPr>
        <w:rFonts w:hint="default"/>
        <w:lang w:val="en-US" w:eastAsia="en-US" w:bidi="en-US"/>
      </w:rPr>
    </w:lvl>
    <w:lvl w:ilvl="7" w:tplc="7C82E812">
      <w:numFmt w:val="bullet"/>
      <w:lvlText w:val="•"/>
      <w:lvlJc w:val="left"/>
      <w:pPr>
        <w:ind w:left="5675" w:hanging="567"/>
      </w:pPr>
      <w:rPr>
        <w:rFonts w:hint="default"/>
        <w:lang w:val="en-US" w:eastAsia="en-US" w:bidi="en-US"/>
      </w:rPr>
    </w:lvl>
    <w:lvl w:ilvl="8" w:tplc="7BBC4B2E">
      <w:numFmt w:val="bullet"/>
      <w:lvlText w:val="•"/>
      <w:lvlJc w:val="left"/>
      <w:pPr>
        <w:ind w:left="6332" w:hanging="567"/>
      </w:pPr>
      <w:rPr>
        <w:rFonts w:hint="default"/>
        <w:lang w:val="en-US" w:eastAsia="en-US" w:bidi="en-US"/>
      </w:rPr>
    </w:lvl>
  </w:abstractNum>
  <w:abstractNum w:abstractNumId="14">
    <w:nsid w:val="6A45374E"/>
    <w:multiLevelType w:val="hybridMultilevel"/>
    <w:tmpl w:val="E76496A0"/>
    <w:lvl w:ilvl="0" w:tplc="133EA8D6">
      <w:start w:val="1"/>
      <w:numFmt w:val="decimal"/>
      <w:lvlText w:val="%1"/>
      <w:lvlJc w:val="left"/>
      <w:pPr>
        <w:ind w:left="1409" w:hanging="851"/>
        <w:jc w:val="right"/>
      </w:pPr>
      <w:rPr>
        <w:rFonts w:hint="default"/>
        <w:w w:val="108"/>
        <w:position w:val="1"/>
        <w:lang w:val="en-US" w:eastAsia="en-US" w:bidi="en-US"/>
      </w:rPr>
    </w:lvl>
    <w:lvl w:ilvl="1" w:tplc="9E94435C">
      <w:numFmt w:val="bullet"/>
      <w:lvlText w:val="•"/>
      <w:lvlJc w:val="left"/>
      <w:pPr>
        <w:ind w:left="1693" w:hanging="284"/>
      </w:pPr>
      <w:rPr>
        <w:rFonts w:ascii="Times New Roman" w:eastAsia="Times New Roman" w:hAnsi="Times New Roman" w:cs="Times New Roman" w:hint="default"/>
        <w:w w:val="139"/>
        <w:sz w:val="17"/>
        <w:szCs w:val="17"/>
        <w:lang w:val="en-US" w:eastAsia="en-US" w:bidi="en-US"/>
      </w:rPr>
    </w:lvl>
    <w:lvl w:ilvl="2" w:tplc="A6FEF24E">
      <w:numFmt w:val="bullet"/>
      <w:lvlText w:val="•"/>
      <w:lvlJc w:val="left"/>
      <w:pPr>
        <w:ind w:left="2203" w:hanging="284"/>
      </w:pPr>
      <w:rPr>
        <w:rFonts w:ascii="Times New Roman" w:eastAsia="Times New Roman" w:hAnsi="Times New Roman" w:cs="Times New Roman" w:hint="default"/>
        <w:w w:val="139"/>
        <w:sz w:val="17"/>
        <w:szCs w:val="17"/>
        <w:lang w:val="en-US" w:eastAsia="en-US" w:bidi="en-US"/>
      </w:rPr>
    </w:lvl>
    <w:lvl w:ilvl="3" w:tplc="302ED31A">
      <w:numFmt w:val="bullet"/>
      <w:lvlText w:val="•"/>
      <w:lvlJc w:val="left"/>
      <w:pPr>
        <w:ind w:left="2993" w:hanging="284"/>
      </w:pPr>
      <w:rPr>
        <w:rFonts w:hint="default"/>
        <w:lang w:val="en-US" w:eastAsia="en-US" w:bidi="en-US"/>
      </w:rPr>
    </w:lvl>
    <w:lvl w:ilvl="4" w:tplc="1BDE80E4">
      <w:numFmt w:val="bullet"/>
      <w:lvlText w:val="•"/>
      <w:lvlJc w:val="left"/>
      <w:pPr>
        <w:ind w:left="3786" w:hanging="284"/>
      </w:pPr>
      <w:rPr>
        <w:rFonts w:hint="default"/>
        <w:lang w:val="en-US" w:eastAsia="en-US" w:bidi="en-US"/>
      </w:rPr>
    </w:lvl>
    <w:lvl w:ilvl="5" w:tplc="4FA00D40">
      <w:numFmt w:val="bullet"/>
      <w:lvlText w:val="•"/>
      <w:lvlJc w:val="left"/>
      <w:pPr>
        <w:ind w:left="4579" w:hanging="284"/>
      </w:pPr>
      <w:rPr>
        <w:rFonts w:hint="default"/>
        <w:lang w:val="en-US" w:eastAsia="en-US" w:bidi="en-US"/>
      </w:rPr>
    </w:lvl>
    <w:lvl w:ilvl="6" w:tplc="92FEBF94">
      <w:numFmt w:val="bullet"/>
      <w:lvlText w:val="•"/>
      <w:lvlJc w:val="left"/>
      <w:pPr>
        <w:ind w:left="5372" w:hanging="284"/>
      </w:pPr>
      <w:rPr>
        <w:rFonts w:hint="default"/>
        <w:lang w:val="en-US" w:eastAsia="en-US" w:bidi="en-US"/>
      </w:rPr>
    </w:lvl>
    <w:lvl w:ilvl="7" w:tplc="2C9486CC">
      <w:numFmt w:val="bullet"/>
      <w:lvlText w:val="•"/>
      <w:lvlJc w:val="left"/>
      <w:pPr>
        <w:ind w:left="6165" w:hanging="284"/>
      </w:pPr>
      <w:rPr>
        <w:rFonts w:hint="default"/>
        <w:lang w:val="en-US" w:eastAsia="en-US" w:bidi="en-US"/>
      </w:rPr>
    </w:lvl>
    <w:lvl w:ilvl="8" w:tplc="A676B0FC">
      <w:numFmt w:val="bullet"/>
      <w:lvlText w:val="•"/>
      <w:lvlJc w:val="left"/>
      <w:pPr>
        <w:ind w:left="6959" w:hanging="284"/>
      </w:pPr>
      <w:rPr>
        <w:rFonts w:hint="default"/>
        <w:lang w:val="en-US" w:eastAsia="en-US" w:bidi="en-US"/>
      </w:rPr>
    </w:lvl>
  </w:abstractNum>
  <w:abstractNum w:abstractNumId="15">
    <w:nsid w:val="718E34CB"/>
    <w:multiLevelType w:val="hybridMultilevel"/>
    <w:tmpl w:val="255C9A88"/>
    <w:lvl w:ilvl="0" w:tplc="654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1"/>
  </w:num>
  <w:num w:numId="5">
    <w:abstractNumId w:val="14"/>
  </w:num>
  <w:num w:numId="6">
    <w:abstractNumId w:val="4"/>
  </w:num>
  <w:num w:numId="7">
    <w:abstractNumId w:val="9"/>
  </w:num>
  <w:num w:numId="8">
    <w:abstractNumId w:val="12"/>
  </w:num>
  <w:num w:numId="9">
    <w:abstractNumId w:val="7"/>
  </w:num>
  <w:num w:numId="10">
    <w:abstractNumId w:val="13"/>
  </w:num>
  <w:num w:numId="11">
    <w:abstractNumId w:val="5"/>
  </w:num>
  <w:num w:numId="12">
    <w:abstractNumId w:val="3"/>
  </w:num>
  <w:num w:numId="13">
    <w:abstractNumId w:val="15"/>
  </w:num>
  <w:num w:numId="14">
    <w:abstractNumId w:val="1"/>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3077F"/>
    <w:rsid w:val="0003077F"/>
    <w:rsid w:val="00114EF1"/>
    <w:rsid w:val="001A4C40"/>
    <w:rsid w:val="001B1978"/>
    <w:rsid w:val="0020500D"/>
    <w:rsid w:val="004A075A"/>
    <w:rsid w:val="004A35C6"/>
    <w:rsid w:val="004D3F32"/>
    <w:rsid w:val="005A44E2"/>
    <w:rsid w:val="006A4849"/>
    <w:rsid w:val="00704D04"/>
    <w:rsid w:val="007D42B2"/>
    <w:rsid w:val="00845EFF"/>
    <w:rsid w:val="008809E8"/>
    <w:rsid w:val="009700D9"/>
    <w:rsid w:val="009A7D2D"/>
    <w:rsid w:val="00A25B9C"/>
    <w:rsid w:val="00A33556"/>
    <w:rsid w:val="00A772DB"/>
    <w:rsid w:val="00A941C2"/>
    <w:rsid w:val="00AC73A2"/>
    <w:rsid w:val="00AF5A2F"/>
    <w:rsid w:val="00BB0BCC"/>
    <w:rsid w:val="00BD6D50"/>
    <w:rsid w:val="00C0283A"/>
    <w:rsid w:val="00C3214D"/>
    <w:rsid w:val="00CE63C4"/>
    <w:rsid w:val="00D54A00"/>
    <w:rsid w:val="00E01C99"/>
    <w:rsid w:val="00E45550"/>
    <w:rsid w:val="00E9162E"/>
    <w:rsid w:val="00FE3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77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0307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03077F"/>
    <w:pPr>
      <w:spacing w:before="66"/>
      <w:ind w:left="1069"/>
      <w:jc w:val="both"/>
      <w:outlineLvl w:val="1"/>
    </w:pPr>
    <w:rPr>
      <w:rFonts w:ascii="Arial" w:eastAsia="Arial" w:hAnsi="Arial" w:cs="Arial"/>
      <w:b/>
      <w:bCs/>
      <w:sz w:val="21"/>
      <w:szCs w:val="21"/>
    </w:rPr>
  </w:style>
  <w:style w:type="paragraph" w:styleId="Heading3">
    <w:name w:val="heading 3"/>
    <w:basedOn w:val="Normal"/>
    <w:next w:val="Normal"/>
    <w:link w:val="Heading3Char"/>
    <w:uiPriority w:val="9"/>
    <w:semiHidden/>
    <w:unhideWhenUsed/>
    <w:qFormat/>
    <w:rsid w:val="000307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307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3077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45EF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077F"/>
    <w:rPr>
      <w:rFonts w:ascii="Arial" w:eastAsia="Arial" w:hAnsi="Arial" w:cs="Arial"/>
      <w:b/>
      <w:bCs/>
      <w:sz w:val="21"/>
      <w:szCs w:val="21"/>
      <w:lang w:bidi="en-US"/>
    </w:rPr>
  </w:style>
  <w:style w:type="paragraph" w:styleId="BodyText">
    <w:name w:val="Body Text"/>
    <w:basedOn w:val="Normal"/>
    <w:link w:val="BodyTextChar"/>
    <w:uiPriority w:val="1"/>
    <w:qFormat/>
    <w:rsid w:val="0003077F"/>
    <w:rPr>
      <w:sz w:val="17"/>
      <w:szCs w:val="17"/>
    </w:rPr>
  </w:style>
  <w:style w:type="character" w:customStyle="1" w:styleId="BodyTextChar">
    <w:name w:val="Body Text Char"/>
    <w:basedOn w:val="DefaultParagraphFont"/>
    <w:link w:val="BodyText"/>
    <w:uiPriority w:val="1"/>
    <w:rsid w:val="0003077F"/>
    <w:rPr>
      <w:rFonts w:ascii="Times New Roman" w:eastAsia="Times New Roman" w:hAnsi="Times New Roman" w:cs="Times New Roman"/>
      <w:sz w:val="17"/>
      <w:szCs w:val="17"/>
      <w:lang w:bidi="en-US"/>
    </w:rPr>
  </w:style>
  <w:style w:type="character" w:customStyle="1" w:styleId="Heading3Char">
    <w:name w:val="Heading 3 Char"/>
    <w:basedOn w:val="DefaultParagraphFont"/>
    <w:link w:val="Heading3"/>
    <w:uiPriority w:val="9"/>
    <w:semiHidden/>
    <w:rsid w:val="0003077F"/>
    <w:rPr>
      <w:rFonts w:asciiTheme="majorHAnsi" w:eastAsiaTheme="majorEastAsia" w:hAnsiTheme="majorHAnsi" w:cstheme="majorBidi"/>
      <w:color w:val="1F4D78" w:themeColor="accent1" w:themeShade="7F"/>
      <w:sz w:val="24"/>
      <w:szCs w:val="24"/>
      <w:lang w:bidi="en-US"/>
    </w:rPr>
  </w:style>
  <w:style w:type="character" w:customStyle="1" w:styleId="Heading4Char">
    <w:name w:val="Heading 4 Char"/>
    <w:basedOn w:val="DefaultParagraphFont"/>
    <w:link w:val="Heading4"/>
    <w:uiPriority w:val="9"/>
    <w:semiHidden/>
    <w:rsid w:val="0003077F"/>
    <w:rPr>
      <w:rFonts w:asciiTheme="majorHAnsi" w:eastAsiaTheme="majorEastAsia" w:hAnsiTheme="majorHAnsi" w:cstheme="majorBidi"/>
      <w:i/>
      <w:iCs/>
      <w:color w:val="2E74B5" w:themeColor="accent1" w:themeShade="BF"/>
      <w:lang w:bidi="en-US"/>
    </w:rPr>
  </w:style>
  <w:style w:type="character" w:customStyle="1" w:styleId="Heading5Char">
    <w:name w:val="Heading 5 Char"/>
    <w:basedOn w:val="DefaultParagraphFont"/>
    <w:link w:val="Heading5"/>
    <w:uiPriority w:val="9"/>
    <w:semiHidden/>
    <w:rsid w:val="0003077F"/>
    <w:rPr>
      <w:rFonts w:asciiTheme="majorHAnsi" w:eastAsiaTheme="majorEastAsia" w:hAnsiTheme="majorHAnsi" w:cstheme="majorBidi"/>
      <w:color w:val="2E74B5" w:themeColor="accent1" w:themeShade="BF"/>
      <w:lang w:bidi="en-US"/>
    </w:rPr>
  </w:style>
  <w:style w:type="table" w:styleId="TableGrid">
    <w:name w:val="Table Grid"/>
    <w:basedOn w:val="TableNormal"/>
    <w:uiPriority w:val="39"/>
    <w:rsid w:val="00030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077F"/>
    <w:rPr>
      <w:rFonts w:asciiTheme="majorHAnsi" w:eastAsiaTheme="majorEastAsia" w:hAnsiTheme="majorHAnsi" w:cstheme="majorBidi"/>
      <w:color w:val="2E74B5" w:themeColor="accent1" w:themeShade="BF"/>
      <w:sz w:val="32"/>
      <w:szCs w:val="32"/>
      <w:lang w:bidi="en-US"/>
    </w:rPr>
  </w:style>
  <w:style w:type="paragraph" w:styleId="ListParagraph">
    <w:name w:val="List Paragraph"/>
    <w:basedOn w:val="Normal"/>
    <w:uiPriority w:val="1"/>
    <w:qFormat/>
    <w:rsid w:val="0003077F"/>
    <w:pPr>
      <w:ind w:left="720"/>
      <w:contextualSpacing/>
    </w:pPr>
  </w:style>
  <w:style w:type="character" w:customStyle="1" w:styleId="Heading6Char">
    <w:name w:val="Heading 6 Char"/>
    <w:basedOn w:val="DefaultParagraphFont"/>
    <w:link w:val="Heading6"/>
    <w:uiPriority w:val="9"/>
    <w:semiHidden/>
    <w:rsid w:val="00845EFF"/>
    <w:rPr>
      <w:rFonts w:asciiTheme="majorHAnsi" w:eastAsiaTheme="majorEastAsia" w:hAnsiTheme="majorHAnsi" w:cstheme="majorBidi"/>
      <w:color w:val="1F4D78" w:themeColor="accent1" w:themeShade="7F"/>
      <w:lang w:bidi="en-US"/>
    </w:rPr>
  </w:style>
  <w:style w:type="paragraph" w:styleId="Footer">
    <w:name w:val="footer"/>
    <w:basedOn w:val="Normal"/>
    <w:link w:val="FooterChar"/>
    <w:uiPriority w:val="99"/>
    <w:unhideWhenUsed/>
    <w:rsid w:val="001B1978"/>
    <w:pPr>
      <w:tabs>
        <w:tab w:val="center" w:pos="4680"/>
        <w:tab w:val="right" w:pos="9360"/>
      </w:tabs>
    </w:pPr>
  </w:style>
  <w:style w:type="character" w:customStyle="1" w:styleId="FooterChar">
    <w:name w:val="Footer Char"/>
    <w:basedOn w:val="DefaultParagraphFont"/>
    <w:link w:val="Footer"/>
    <w:uiPriority w:val="99"/>
    <w:rsid w:val="001B197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54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00"/>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Tong Giam Doc</dc:creator>
  <cp:lastModifiedBy>phamcaoky</cp:lastModifiedBy>
  <cp:revision>2</cp:revision>
  <dcterms:created xsi:type="dcterms:W3CDTF">2020-12-09T10:09:00Z</dcterms:created>
  <dcterms:modified xsi:type="dcterms:W3CDTF">2020-12-09T10:09:00Z</dcterms:modified>
</cp:coreProperties>
</file>