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07" w:rsidRPr="00551AF6" w:rsidRDefault="00551AF6" w:rsidP="0048656B">
      <w:pPr>
        <w:spacing w:before="720" w:line="240" w:lineRule="auto"/>
        <w:jc w:val="both"/>
        <w:rPr>
          <w:b/>
          <w:sz w:val="28"/>
        </w:rPr>
      </w:pPr>
      <w:r w:rsidRPr="00551AF6">
        <w:rPr>
          <w:b/>
          <w:sz w:val="28"/>
        </w:rPr>
        <w:t>IAS 40</w:t>
      </w:r>
    </w:p>
    <w:p w:rsidR="00551AF6" w:rsidRPr="00C165D9" w:rsidRDefault="00551AF6" w:rsidP="0048656B">
      <w:pPr>
        <w:spacing w:after="480"/>
        <w:jc w:val="both"/>
        <w:rPr>
          <w:rFonts w:ascii="Times New Roman" w:hAnsi="Times New Roman" w:cs="Times New Roman"/>
          <w:sz w:val="48"/>
        </w:rPr>
      </w:pPr>
      <w:r w:rsidRPr="00C165D9">
        <w:rPr>
          <w:rFonts w:ascii="Times New Roman" w:hAnsi="Times New Roman" w:cs="Times New Roman"/>
          <w:sz w:val="48"/>
        </w:rPr>
        <w:t>Bất động sản đầu tư</w:t>
      </w:r>
    </w:p>
    <w:p w:rsidR="00551AF6" w:rsidRDefault="00551AF6" w:rsidP="0048656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Vào tháng 04 năm 2001, Hội đồng Chuẩn mực Kế toán Quốc tế (Hội đồng) đã ban hành IAS 40 </w:t>
      </w:r>
      <w:r w:rsidR="00A34E97" w:rsidRPr="00A34E97">
        <w:rPr>
          <w:rFonts w:ascii="Times New Roman" w:hAnsi="Times New Roman" w:cs="Times New Roman"/>
          <w:i/>
          <w:sz w:val="24"/>
          <w:szCs w:val="24"/>
        </w:rPr>
        <w:t>Bất động sản đầu tư</w:t>
      </w:r>
      <w:r w:rsidR="00A34E97">
        <w:rPr>
          <w:rFonts w:ascii="Times New Roman" w:hAnsi="Times New Roman" w:cs="Times New Roman"/>
          <w:sz w:val="24"/>
          <w:szCs w:val="24"/>
        </w:rPr>
        <w:t xml:space="preserve">, chuẩn mực này đã được ban hành lần đầu bởi </w:t>
      </w:r>
      <w:r w:rsidR="00CD39DE">
        <w:rPr>
          <w:rFonts w:ascii="Times New Roman" w:hAnsi="Times New Roman" w:cs="Times New Roman"/>
          <w:sz w:val="24"/>
          <w:szCs w:val="24"/>
        </w:rPr>
        <w:t>Ủy ban</w:t>
      </w:r>
      <w:r w:rsidR="00A34E97">
        <w:rPr>
          <w:rFonts w:ascii="Times New Roman" w:hAnsi="Times New Roman" w:cs="Times New Roman"/>
          <w:sz w:val="24"/>
          <w:szCs w:val="24"/>
        </w:rPr>
        <w:t xml:space="preserve"> Chuẩn mực Kế toán Quốc tế vào tháng 04 năm 2000. Chuẩn mực này đã thay thế một số phần của IAS 25 </w:t>
      </w:r>
      <w:r w:rsidR="00A34E97" w:rsidRPr="00A34E97">
        <w:rPr>
          <w:rFonts w:ascii="Times New Roman" w:hAnsi="Times New Roman" w:cs="Times New Roman"/>
          <w:i/>
          <w:sz w:val="24"/>
          <w:szCs w:val="24"/>
        </w:rPr>
        <w:t>Kế toán</w:t>
      </w:r>
      <w:r w:rsidR="00887C75">
        <w:rPr>
          <w:rFonts w:ascii="Times New Roman" w:hAnsi="Times New Roman" w:cs="Times New Roman"/>
          <w:i/>
          <w:sz w:val="24"/>
          <w:szCs w:val="24"/>
        </w:rPr>
        <w:t xml:space="preserve"> các khoản</w:t>
      </w:r>
      <w:r w:rsidR="00A34E97" w:rsidRPr="00A34E97">
        <w:rPr>
          <w:rFonts w:ascii="Times New Roman" w:hAnsi="Times New Roman" w:cs="Times New Roman"/>
          <w:i/>
          <w:sz w:val="24"/>
          <w:szCs w:val="24"/>
        </w:rPr>
        <w:t xml:space="preserve"> đầu tư</w:t>
      </w:r>
      <w:r w:rsidR="00A34E97">
        <w:rPr>
          <w:rFonts w:ascii="Times New Roman" w:hAnsi="Times New Roman" w:cs="Times New Roman"/>
          <w:sz w:val="24"/>
          <w:szCs w:val="24"/>
        </w:rPr>
        <w:t xml:space="preserve">, được ban hành vào tháng 03 năm 1986 và không bị thay thế bởi IAS 39 </w:t>
      </w:r>
      <w:r w:rsidR="00A34E97" w:rsidRPr="00A34E97">
        <w:rPr>
          <w:rFonts w:ascii="Times New Roman" w:hAnsi="Times New Roman" w:cs="Times New Roman"/>
          <w:i/>
          <w:sz w:val="24"/>
          <w:szCs w:val="24"/>
        </w:rPr>
        <w:t>Công cụ tài chính: Ghi nhận và đo lường</w:t>
      </w:r>
      <w:r w:rsidR="00A34E97">
        <w:rPr>
          <w:rFonts w:ascii="Times New Roman" w:hAnsi="Times New Roman" w:cs="Times New Roman"/>
          <w:sz w:val="24"/>
          <w:szCs w:val="24"/>
        </w:rPr>
        <w:t>.</w:t>
      </w:r>
    </w:p>
    <w:p w:rsidR="00A34E97" w:rsidRDefault="00A34E97" w:rsidP="0048656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Vào tháng 12 năm 2003, Hội đồng đã phát hành bản </w:t>
      </w:r>
      <w:r w:rsidR="00CD39DE">
        <w:rPr>
          <w:rFonts w:ascii="Times New Roman" w:hAnsi="Times New Roman" w:cs="Times New Roman"/>
          <w:sz w:val="24"/>
          <w:szCs w:val="24"/>
        </w:rPr>
        <w:t>sửa đổi</w:t>
      </w:r>
      <w:r>
        <w:rPr>
          <w:rFonts w:ascii="Times New Roman" w:hAnsi="Times New Roman" w:cs="Times New Roman"/>
          <w:sz w:val="24"/>
          <w:szCs w:val="24"/>
        </w:rPr>
        <w:t xml:space="preserve"> của IAS 40 như một phần của kế hoạch ban đầu của dự án kỹ thuật.</w:t>
      </w:r>
    </w:p>
    <w:p w:rsidR="00A34E97" w:rsidRDefault="00A34E97" w:rsidP="0048656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Vào tháng 01 năm 2016, IFRS 16 </w:t>
      </w:r>
      <w:r>
        <w:rPr>
          <w:rFonts w:ascii="Times New Roman" w:hAnsi="Times New Roman" w:cs="Times New Roman"/>
          <w:i/>
          <w:sz w:val="24"/>
          <w:szCs w:val="24"/>
        </w:rPr>
        <w:t xml:space="preserve">Thuê tài sản </w:t>
      </w:r>
      <w:r>
        <w:rPr>
          <w:rFonts w:ascii="Times New Roman" w:hAnsi="Times New Roman" w:cs="Times New Roman"/>
          <w:sz w:val="24"/>
          <w:szCs w:val="24"/>
        </w:rPr>
        <w:t xml:space="preserve">đã đưa ra một số </w:t>
      </w:r>
      <w:r w:rsidR="00CD39DE">
        <w:rPr>
          <w:rFonts w:ascii="Times New Roman" w:hAnsi="Times New Roman" w:cs="Times New Roman"/>
          <w:sz w:val="24"/>
          <w:szCs w:val="24"/>
        </w:rPr>
        <w:t>sửa đổi</w:t>
      </w:r>
      <w:r>
        <w:rPr>
          <w:rFonts w:ascii="Times New Roman" w:hAnsi="Times New Roman" w:cs="Times New Roman"/>
          <w:sz w:val="24"/>
          <w:szCs w:val="24"/>
        </w:rPr>
        <w:t xml:space="preserve"> IAS 40</w:t>
      </w:r>
      <w:r w:rsidR="00613375">
        <w:rPr>
          <w:rFonts w:ascii="Times New Roman" w:hAnsi="Times New Roman" w:cs="Times New Roman"/>
          <w:sz w:val="24"/>
          <w:szCs w:val="24"/>
        </w:rPr>
        <w:t xml:space="preserve">, bao gồm mở rộng phạm vi điều chỉnh </w:t>
      </w:r>
      <w:r w:rsidR="00887C75">
        <w:rPr>
          <w:rFonts w:ascii="Times New Roman" w:hAnsi="Times New Roman" w:cs="Times New Roman"/>
          <w:sz w:val="24"/>
          <w:szCs w:val="24"/>
        </w:rPr>
        <w:t>bao gồm cả</w:t>
      </w:r>
      <w:r w:rsidR="00264295">
        <w:rPr>
          <w:rFonts w:ascii="Times New Roman" w:hAnsi="Times New Roman" w:cs="Times New Roman"/>
          <w:sz w:val="24"/>
          <w:szCs w:val="24"/>
        </w:rPr>
        <w:t xml:space="preserve"> bất động sản đầu tư đơn vị sở hữu và bất động sản đầu tư </w:t>
      </w:r>
      <w:r w:rsidR="000D1E33">
        <w:rPr>
          <w:rFonts w:ascii="Times New Roman" w:hAnsi="Times New Roman" w:cs="Times New Roman"/>
          <w:sz w:val="24"/>
          <w:szCs w:val="24"/>
        </w:rPr>
        <w:t>nắm giữ</w:t>
      </w:r>
      <w:r w:rsidR="00264295">
        <w:rPr>
          <w:rFonts w:ascii="Times New Roman" w:hAnsi="Times New Roman" w:cs="Times New Roman"/>
          <w:sz w:val="24"/>
          <w:szCs w:val="24"/>
        </w:rPr>
        <w:t xml:space="preserve"> bởi bên đi thuê như là </w:t>
      </w:r>
      <w:r w:rsidR="00887C75">
        <w:rPr>
          <w:rFonts w:ascii="Times New Roman" w:hAnsi="Times New Roman" w:cs="Times New Roman"/>
          <w:sz w:val="24"/>
          <w:szCs w:val="24"/>
        </w:rPr>
        <w:t>tài sản</w:t>
      </w:r>
      <w:r w:rsidR="00873C5E">
        <w:rPr>
          <w:rFonts w:ascii="Times New Roman" w:hAnsi="Times New Roman" w:cs="Times New Roman"/>
          <w:sz w:val="24"/>
          <w:szCs w:val="24"/>
        </w:rPr>
        <w:t xml:space="preserve"> được quyền sử dụng</w:t>
      </w:r>
      <w:r w:rsidR="00264295">
        <w:rPr>
          <w:rFonts w:ascii="Times New Roman" w:hAnsi="Times New Roman" w:cs="Times New Roman"/>
          <w:sz w:val="24"/>
          <w:szCs w:val="24"/>
        </w:rPr>
        <w:t>.</w:t>
      </w:r>
    </w:p>
    <w:p w:rsidR="00264295" w:rsidRDefault="00264295" w:rsidP="0048656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Tháng 12 năm 2016, Hội đồng đã ban hành </w:t>
      </w:r>
      <w:r w:rsidR="0018078E">
        <w:rPr>
          <w:rFonts w:ascii="Times New Roman" w:hAnsi="Times New Roman" w:cs="Times New Roman"/>
          <w:i/>
          <w:sz w:val="24"/>
          <w:szCs w:val="24"/>
        </w:rPr>
        <w:t>Chuyển đổi</w:t>
      </w:r>
      <w:r w:rsidRPr="00264295">
        <w:rPr>
          <w:rFonts w:ascii="Times New Roman" w:hAnsi="Times New Roman" w:cs="Times New Roman"/>
          <w:i/>
          <w:sz w:val="24"/>
          <w:szCs w:val="24"/>
        </w:rPr>
        <w:t xml:space="preserve"> Bất động sản đầu tư</w:t>
      </w:r>
      <w:r w:rsidR="0018078E">
        <w:rPr>
          <w:rFonts w:ascii="Times New Roman" w:hAnsi="Times New Roman" w:cs="Times New Roman"/>
          <w:sz w:val="24"/>
          <w:szCs w:val="24"/>
        </w:rPr>
        <w:t xml:space="preserve"> (</w:t>
      </w:r>
      <w:r w:rsidR="00CD39DE">
        <w:rPr>
          <w:rFonts w:ascii="Times New Roman" w:hAnsi="Times New Roman" w:cs="Times New Roman"/>
          <w:sz w:val="24"/>
          <w:szCs w:val="24"/>
        </w:rPr>
        <w:t>s</w:t>
      </w:r>
      <w:r w:rsidR="00F521D4">
        <w:rPr>
          <w:rFonts w:ascii="Times New Roman" w:hAnsi="Times New Roman" w:cs="Times New Roman"/>
          <w:sz w:val="24"/>
          <w:szCs w:val="24"/>
        </w:rPr>
        <w:t>ửa đổi</w:t>
      </w:r>
      <w:r w:rsidR="0018078E">
        <w:rPr>
          <w:rFonts w:ascii="Times New Roman" w:hAnsi="Times New Roman" w:cs="Times New Roman"/>
          <w:sz w:val="24"/>
          <w:szCs w:val="24"/>
        </w:rPr>
        <w:t xml:space="preserve"> IAS 40) nhằm làm rõ khi nào được </w:t>
      </w:r>
      <w:r w:rsidR="00F521D4">
        <w:rPr>
          <w:rFonts w:ascii="Times New Roman" w:hAnsi="Times New Roman" w:cs="Times New Roman"/>
          <w:sz w:val="24"/>
          <w:szCs w:val="24"/>
        </w:rPr>
        <w:t>chuyển đổi từ, hoặc thành, bất động sản đầu tư.</w:t>
      </w:r>
      <w:r w:rsidR="0018078E">
        <w:rPr>
          <w:rFonts w:ascii="Times New Roman" w:hAnsi="Times New Roman" w:cs="Times New Roman"/>
          <w:sz w:val="24"/>
          <w:szCs w:val="24"/>
        </w:rPr>
        <w:t xml:space="preserve"> </w:t>
      </w:r>
    </w:p>
    <w:p w:rsidR="007D1332" w:rsidRDefault="006D66DB" w:rsidP="0048656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Các Chuẩn mực khác cũng đã đưa ra một số sửa đổi không đáng kể cho IAS 40. </w:t>
      </w:r>
      <w:r w:rsidR="00CD39DE">
        <w:rPr>
          <w:rFonts w:ascii="Times New Roman" w:hAnsi="Times New Roman" w:cs="Times New Roman"/>
          <w:sz w:val="24"/>
          <w:szCs w:val="24"/>
        </w:rPr>
        <w:t>B</w:t>
      </w:r>
      <w:r>
        <w:rPr>
          <w:rFonts w:ascii="Times New Roman" w:hAnsi="Times New Roman" w:cs="Times New Roman"/>
          <w:sz w:val="24"/>
          <w:szCs w:val="24"/>
        </w:rPr>
        <w:t xml:space="preserve">ao gồm IFRS 13 </w:t>
      </w:r>
      <w:r w:rsidRPr="006D66DB">
        <w:rPr>
          <w:rFonts w:ascii="Times New Roman" w:hAnsi="Times New Roman" w:cs="Times New Roman"/>
          <w:i/>
          <w:sz w:val="24"/>
          <w:szCs w:val="24"/>
        </w:rPr>
        <w:t>Phương pháp giá trị hợp lý</w:t>
      </w:r>
      <w:r>
        <w:rPr>
          <w:rFonts w:ascii="Times New Roman" w:hAnsi="Times New Roman" w:cs="Times New Roman"/>
          <w:sz w:val="24"/>
          <w:szCs w:val="24"/>
        </w:rPr>
        <w:t xml:space="preserve"> (ban hành tháng 05 năm 2011)</w:t>
      </w:r>
      <w:r w:rsidR="00CF1772">
        <w:rPr>
          <w:rFonts w:ascii="Times New Roman" w:hAnsi="Times New Roman" w:cs="Times New Roman"/>
          <w:sz w:val="24"/>
          <w:szCs w:val="24"/>
        </w:rPr>
        <w:t xml:space="preserve">, </w:t>
      </w:r>
      <w:r w:rsidR="00CF1772" w:rsidRPr="00CF1772">
        <w:rPr>
          <w:rFonts w:ascii="Times New Roman" w:hAnsi="Times New Roman" w:cs="Times New Roman"/>
          <w:i/>
          <w:sz w:val="24"/>
          <w:szCs w:val="24"/>
        </w:rPr>
        <w:t>Báo cáo</w:t>
      </w:r>
      <w:r w:rsidR="00CF1772">
        <w:rPr>
          <w:rFonts w:ascii="Times New Roman" w:hAnsi="Times New Roman" w:cs="Times New Roman"/>
          <w:sz w:val="24"/>
          <w:szCs w:val="24"/>
        </w:rPr>
        <w:t xml:space="preserve"> </w:t>
      </w:r>
      <w:r w:rsidR="00CF1772" w:rsidRPr="00CF1772">
        <w:rPr>
          <w:rFonts w:ascii="Times New Roman" w:hAnsi="Times New Roman" w:cs="Times New Roman"/>
          <w:i/>
          <w:sz w:val="24"/>
          <w:szCs w:val="24"/>
        </w:rPr>
        <w:t>Điều chỉnh hàng năm cho các chuẩn mực IFRS chu kỳ 2011-2013</w:t>
      </w:r>
      <w:r w:rsidR="00CF1772">
        <w:rPr>
          <w:rFonts w:ascii="Times New Roman" w:hAnsi="Times New Roman" w:cs="Times New Roman"/>
          <w:sz w:val="24"/>
          <w:szCs w:val="24"/>
        </w:rPr>
        <w:t xml:space="preserve"> (phát hành tháng 12 năm 2013), IFRS 15 </w:t>
      </w:r>
      <w:r w:rsidR="00CF1772" w:rsidRPr="00CF1772">
        <w:rPr>
          <w:rFonts w:ascii="Times New Roman" w:hAnsi="Times New Roman" w:cs="Times New Roman"/>
          <w:i/>
          <w:sz w:val="24"/>
          <w:szCs w:val="24"/>
        </w:rPr>
        <w:t>Doanh thu từ Hợp đồng với khách hàng</w:t>
      </w:r>
      <w:r w:rsidR="00CF1772">
        <w:rPr>
          <w:rFonts w:ascii="Times New Roman" w:hAnsi="Times New Roman" w:cs="Times New Roman"/>
          <w:sz w:val="24"/>
          <w:szCs w:val="24"/>
        </w:rPr>
        <w:t xml:space="preserve"> (phát hành tháng 05 năm 2014), </w:t>
      </w:r>
      <w:r w:rsidR="00CF1772" w:rsidRPr="00CF1772">
        <w:rPr>
          <w:rFonts w:ascii="Times New Roman" w:hAnsi="Times New Roman" w:cs="Times New Roman"/>
          <w:i/>
          <w:sz w:val="24"/>
          <w:szCs w:val="24"/>
        </w:rPr>
        <w:t xml:space="preserve">Chuẩn mực Nông nghiệp: Cây </w:t>
      </w:r>
      <w:r w:rsidR="00C3642B">
        <w:rPr>
          <w:rFonts w:ascii="Times New Roman" w:hAnsi="Times New Roman" w:cs="Times New Roman"/>
          <w:i/>
          <w:sz w:val="24"/>
          <w:szCs w:val="24"/>
        </w:rPr>
        <w:t xml:space="preserve">lâu năm </w:t>
      </w:r>
      <w:r w:rsidR="00CF1772" w:rsidRPr="00CF1772">
        <w:rPr>
          <w:rFonts w:ascii="Times New Roman" w:hAnsi="Times New Roman" w:cs="Times New Roman"/>
          <w:i/>
          <w:sz w:val="24"/>
          <w:szCs w:val="24"/>
        </w:rPr>
        <w:t>cho sản phẩm</w:t>
      </w:r>
      <w:r w:rsidR="00A931B6">
        <w:rPr>
          <w:rFonts w:ascii="Times New Roman" w:hAnsi="Times New Roman" w:cs="Times New Roman"/>
          <w:i/>
          <w:sz w:val="24"/>
          <w:szCs w:val="24"/>
        </w:rPr>
        <w:t xml:space="preserve"> </w:t>
      </w:r>
      <w:r w:rsidR="00A931B6">
        <w:rPr>
          <w:rFonts w:ascii="Times New Roman" w:hAnsi="Times New Roman" w:cs="Times New Roman"/>
          <w:sz w:val="24"/>
          <w:szCs w:val="24"/>
        </w:rPr>
        <w:t xml:space="preserve">(Phụ lục Sửa đổi cho IAS 16 và IAS 41) (phát hành tháng 06 năm 2014), IFRS 17 </w:t>
      </w:r>
      <w:r w:rsidR="00A931B6" w:rsidRPr="00A931B6">
        <w:rPr>
          <w:rFonts w:ascii="Times New Roman" w:hAnsi="Times New Roman" w:cs="Times New Roman"/>
          <w:i/>
          <w:sz w:val="24"/>
          <w:szCs w:val="24"/>
        </w:rPr>
        <w:t>Hợp đồng Bảo hiểm</w:t>
      </w:r>
      <w:r w:rsidR="007B74C6">
        <w:rPr>
          <w:rFonts w:ascii="Times New Roman" w:hAnsi="Times New Roman" w:cs="Times New Roman"/>
          <w:sz w:val="24"/>
          <w:szCs w:val="24"/>
        </w:rPr>
        <w:t xml:space="preserve"> (phát </w:t>
      </w:r>
      <w:r w:rsidR="0056238D">
        <w:rPr>
          <w:rFonts w:ascii="Times New Roman" w:hAnsi="Times New Roman" w:cs="Times New Roman"/>
          <w:sz w:val="24"/>
          <w:szCs w:val="24"/>
        </w:rPr>
        <w:t>hành</w:t>
      </w:r>
      <w:r w:rsidR="007B74C6">
        <w:rPr>
          <w:rFonts w:ascii="Times New Roman" w:hAnsi="Times New Roman" w:cs="Times New Roman"/>
          <w:sz w:val="24"/>
          <w:szCs w:val="24"/>
        </w:rPr>
        <w:t xml:space="preserve"> tháng 05 năm</w:t>
      </w:r>
      <w:r w:rsidR="00A931B6">
        <w:rPr>
          <w:rFonts w:ascii="Times New Roman" w:hAnsi="Times New Roman" w:cs="Times New Roman"/>
          <w:sz w:val="24"/>
          <w:szCs w:val="24"/>
        </w:rPr>
        <w:t xml:space="preserve"> 2017) và </w:t>
      </w:r>
      <w:r w:rsidR="00291468" w:rsidRPr="00291468">
        <w:rPr>
          <w:rFonts w:ascii="Times New Roman" w:hAnsi="Times New Roman" w:cs="Times New Roman"/>
          <w:i/>
          <w:sz w:val="24"/>
          <w:szCs w:val="24"/>
        </w:rPr>
        <w:t>Báo cáo Sửa đổi Tài liệu tham khảo cho Khuôn khổ chung cho các chuẩn mực IFRS</w:t>
      </w:r>
      <w:r w:rsidR="00291468">
        <w:rPr>
          <w:rFonts w:ascii="Times New Roman" w:hAnsi="Times New Roman" w:cs="Times New Roman"/>
          <w:i/>
          <w:sz w:val="24"/>
          <w:szCs w:val="24"/>
        </w:rPr>
        <w:t xml:space="preserve"> </w:t>
      </w:r>
      <w:r w:rsidR="00291468">
        <w:rPr>
          <w:rFonts w:ascii="Times New Roman" w:hAnsi="Times New Roman" w:cs="Times New Roman"/>
          <w:sz w:val="24"/>
          <w:szCs w:val="24"/>
        </w:rPr>
        <w:t>(phát hành tháng 03 năm 2018).</w:t>
      </w:r>
    </w:p>
    <w:p w:rsidR="00A34E97" w:rsidRDefault="007D1332" w:rsidP="007E6E4C">
      <w:pPr>
        <w:jc w:val="both"/>
        <w:rPr>
          <w:rFonts w:ascii="Arial" w:hAnsi="Arial" w:cs="Arial"/>
          <w:sz w:val="24"/>
          <w:szCs w:val="24"/>
        </w:rPr>
      </w:pPr>
      <w:r>
        <w:rPr>
          <w:rFonts w:ascii="Times New Roman" w:hAnsi="Times New Roman" w:cs="Times New Roman"/>
          <w:sz w:val="24"/>
          <w:szCs w:val="24"/>
        </w:rPr>
        <w:br w:type="page"/>
      </w:r>
      <w:r w:rsidR="00DD2EBE" w:rsidRPr="00DD2EBE">
        <w:rPr>
          <w:rFonts w:ascii="Arial" w:hAnsi="Arial" w:cs="Arial"/>
          <w:sz w:val="40"/>
          <w:szCs w:val="24"/>
        </w:rPr>
        <w:lastRenderedPageBreak/>
        <w:t>M</w:t>
      </w:r>
      <w:r w:rsidR="00DD2EBE" w:rsidRPr="00DD2EBE">
        <w:rPr>
          <w:rFonts w:ascii="Arial" w:hAnsi="Arial" w:cs="Arial"/>
          <w:sz w:val="24"/>
          <w:szCs w:val="24"/>
        </w:rPr>
        <w:t>ỤC LỤC</w:t>
      </w:r>
    </w:p>
    <w:tbl>
      <w:tblPr>
        <w:tblStyle w:val="TableGrid"/>
        <w:tblW w:w="8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77"/>
        <w:gridCol w:w="1174"/>
      </w:tblGrid>
      <w:tr w:rsidR="00CB1187" w:rsidTr="00892E28">
        <w:trPr>
          <w:trHeight w:val="283"/>
        </w:trPr>
        <w:tc>
          <w:tcPr>
            <w:tcW w:w="7777" w:type="dxa"/>
          </w:tcPr>
          <w:p w:rsidR="004A11AE" w:rsidRDefault="004A11AE" w:rsidP="0048656B">
            <w:pPr>
              <w:ind w:right="790"/>
              <w:jc w:val="both"/>
              <w:rPr>
                <w:rFonts w:ascii="Arial" w:hAnsi="Arial" w:cs="Arial"/>
                <w:i/>
                <w:sz w:val="24"/>
                <w:szCs w:val="24"/>
              </w:rPr>
            </w:pPr>
          </w:p>
        </w:tc>
        <w:tc>
          <w:tcPr>
            <w:tcW w:w="1174" w:type="dxa"/>
          </w:tcPr>
          <w:p w:rsidR="004A11AE" w:rsidRDefault="004A11AE" w:rsidP="0048656B">
            <w:pPr>
              <w:jc w:val="both"/>
              <w:rPr>
                <w:rFonts w:ascii="Arial" w:hAnsi="Arial" w:cs="Arial"/>
                <w:i/>
                <w:sz w:val="24"/>
                <w:szCs w:val="24"/>
              </w:rPr>
            </w:pPr>
            <w:r w:rsidRPr="00DD2EBE">
              <w:rPr>
                <w:rFonts w:ascii="Arial" w:hAnsi="Arial" w:cs="Arial"/>
                <w:i/>
                <w:sz w:val="24"/>
                <w:szCs w:val="24"/>
              </w:rPr>
              <w:t>số đoạn</w:t>
            </w:r>
          </w:p>
        </w:tc>
      </w:tr>
      <w:tr w:rsidR="00CB1187" w:rsidTr="00892E28">
        <w:trPr>
          <w:trHeight w:val="640"/>
        </w:trPr>
        <w:tc>
          <w:tcPr>
            <w:tcW w:w="7777" w:type="dxa"/>
          </w:tcPr>
          <w:p w:rsidR="004A11AE" w:rsidRPr="006A3BFF" w:rsidRDefault="004A11AE" w:rsidP="0048656B">
            <w:pPr>
              <w:ind w:right="792"/>
              <w:jc w:val="both"/>
              <w:rPr>
                <w:rFonts w:ascii="Arial" w:hAnsi="Arial" w:cs="Arial"/>
                <w:b/>
                <w:sz w:val="28"/>
                <w:szCs w:val="24"/>
              </w:rPr>
            </w:pPr>
            <w:r w:rsidRPr="006A3BFF">
              <w:rPr>
                <w:rFonts w:ascii="Arial" w:hAnsi="Arial" w:cs="Arial"/>
                <w:b/>
                <w:sz w:val="28"/>
                <w:szCs w:val="24"/>
              </w:rPr>
              <w:t>CHUẨN MỰC KẾ TOÁN QUỐC TẾ SỐ 40</w:t>
            </w:r>
          </w:p>
          <w:p w:rsidR="004A11AE" w:rsidRPr="006A3BFF" w:rsidRDefault="004A11AE" w:rsidP="0048656B">
            <w:pPr>
              <w:ind w:right="792"/>
              <w:jc w:val="both"/>
              <w:rPr>
                <w:rFonts w:ascii="Arial" w:hAnsi="Arial" w:cs="Arial"/>
                <w:b/>
                <w:i/>
                <w:sz w:val="28"/>
                <w:szCs w:val="24"/>
              </w:rPr>
            </w:pPr>
            <w:r w:rsidRPr="006A3BFF">
              <w:rPr>
                <w:rFonts w:ascii="Arial" w:hAnsi="Arial" w:cs="Arial"/>
                <w:b/>
                <w:i/>
                <w:sz w:val="28"/>
                <w:szCs w:val="24"/>
              </w:rPr>
              <w:t>BẤT ĐỘNG SẢN ĐẦU TƯ</w:t>
            </w:r>
          </w:p>
        </w:tc>
        <w:tc>
          <w:tcPr>
            <w:tcW w:w="1174" w:type="dxa"/>
          </w:tcPr>
          <w:p w:rsidR="004A11AE" w:rsidRPr="00DD2EBE" w:rsidRDefault="004A11AE" w:rsidP="000F38CA">
            <w:pPr>
              <w:spacing w:afterLines="120"/>
              <w:jc w:val="right"/>
              <w:rPr>
                <w:rFonts w:ascii="Arial" w:hAnsi="Arial" w:cs="Arial"/>
                <w:i/>
                <w:sz w:val="24"/>
                <w:szCs w:val="24"/>
              </w:rPr>
            </w:pPr>
          </w:p>
        </w:tc>
      </w:tr>
      <w:tr w:rsidR="00CB1187" w:rsidTr="00892E28">
        <w:trPr>
          <w:trHeight w:val="339"/>
        </w:trPr>
        <w:tc>
          <w:tcPr>
            <w:tcW w:w="7777" w:type="dxa"/>
          </w:tcPr>
          <w:p w:rsidR="004A11AE" w:rsidRPr="006A3BFF" w:rsidRDefault="004A11AE" w:rsidP="0048656B">
            <w:pPr>
              <w:spacing w:after="60"/>
              <w:ind w:right="792"/>
              <w:jc w:val="both"/>
              <w:rPr>
                <w:rFonts w:ascii="Arial" w:hAnsi="Arial" w:cs="Arial"/>
                <w:b/>
                <w:sz w:val="28"/>
                <w:szCs w:val="24"/>
              </w:rPr>
            </w:pPr>
            <w:r>
              <w:rPr>
                <w:rFonts w:ascii="Arial" w:hAnsi="Arial" w:cs="Arial"/>
                <w:b/>
                <w:sz w:val="24"/>
                <w:szCs w:val="24"/>
              </w:rPr>
              <w:t>MỤC ĐÍCH</w:t>
            </w:r>
          </w:p>
        </w:tc>
        <w:tc>
          <w:tcPr>
            <w:tcW w:w="1174" w:type="dxa"/>
          </w:tcPr>
          <w:p w:rsidR="004A11AE" w:rsidRPr="006A3BFF" w:rsidRDefault="004A11AE" w:rsidP="0048656B">
            <w:pPr>
              <w:spacing w:after="60"/>
              <w:jc w:val="right"/>
              <w:rPr>
                <w:rFonts w:ascii="Arial" w:hAnsi="Arial" w:cs="Arial"/>
                <w:b/>
                <w:sz w:val="24"/>
                <w:szCs w:val="24"/>
              </w:rPr>
            </w:pPr>
            <w:r w:rsidRPr="006A3BFF">
              <w:rPr>
                <w:rFonts w:ascii="Arial" w:hAnsi="Arial" w:cs="Arial"/>
                <w:b/>
                <w:sz w:val="24"/>
                <w:szCs w:val="24"/>
              </w:rPr>
              <w:t>1</w:t>
            </w:r>
          </w:p>
        </w:tc>
      </w:tr>
      <w:tr w:rsidR="00CB1187" w:rsidTr="00892E28">
        <w:trPr>
          <w:trHeight w:val="339"/>
        </w:trPr>
        <w:tc>
          <w:tcPr>
            <w:tcW w:w="7777" w:type="dxa"/>
          </w:tcPr>
          <w:p w:rsidR="004A11AE" w:rsidRDefault="004A11AE" w:rsidP="0048656B">
            <w:pPr>
              <w:spacing w:after="60"/>
              <w:ind w:right="792"/>
              <w:jc w:val="both"/>
              <w:rPr>
                <w:rFonts w:ascii="Arial" w:hAnsi="Arial" w:cs="Arial"/>
                <w:b/>
                <w:sz w:val="24"/>
                <w:szCs w:val="24"/>
              </w:rPr>
            </w:pPr>
            <w:r>
              <w:rPr>
                <w:rFonts w:ascii="Arial" w:hAnsi="Arial" w:cs="Arial"/>
                <w:b/>
                <w:sz w:val="24"/>
                <w:szCs w:val="24"/>
              </w:rPr>
              <w:t>PHẠM VI ĐIỀU CHỈNH</w:t>
            </w:r>
          </w:p>
        </w:tc>
        <w:tc>
          <w:tcPr>
            <w:tcW w:w="1174" w:type="dxa"/>
          </w:tcPr>
          <w:p w:rsidR="004A11AE" w:rsidRPr="006A3BFF" w:rsidRDefault="004A11AE" w:rsidP="0048656B">
            <w:pPr>
              <w:spacing w:after="60"/>
              <w:jc w:val="right"/>
              <w:rPr>
                <w:rFonts w:ascii="Arial" w:hAnsi="Arial" w:cs="Arial"/>
                <w:b/>
                <w:sz w:val="24"/>
                <w:szCs w:val="24"/>
              </w:rPr>
            </w:pPr>
            <w:r>
              <w:rPr>
                <w:rFonts w:ascii="Arial" w:hAnsi="Arial" w:cs="Arial"/>
                <w:b/>
                <w:sz w:val="24"/>
                <w:szCs w:val="24"/>
              </w:rPr>
              <w:t>2</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ĐỊNH NGHĨA</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5</w:t>
            </w:r>
          </w:p>
        </w:tc>
      </w:tr>
      <w:tr w:rsidR="00CB1187" w:rsidTr="00892E28">
        <w:trPr>
          <w:trHeight w:val="621"/>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 xml:space="preserve">PHÂN LOẠI TÀI SẢN THÀNH TÀI SẢN ĐẦU TƯ HOẶC </w:t>
            </w:r>
            <w:r w:rsidR="00DB725E">
              <w:rPr>
                <w:rFonts w:ascii="Arial" w:hAnsi="Arial" w:cs="Arial"/>
                <w:b/>
                <w:sz w:val="24"/>
                <w:szCs w:val="24"/>
              </w:rPr>
              <w:t>BẤT ĐỘNG SẢN CHỦ SỞ HỮU SỬ DỤNG</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6</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GHI NHẬN</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16</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PHƯƠNG PHÁP ĐO LƯỜNG TẠI THỜI ĐIỂM GHI NHẬN</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20</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PHƯƠNG PHÁP ĐO LƯỜNG SAU THỜI ĐIỂM GHI NHẬN</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30</w:t>
            </w:r>
          </w:p>
        </w:tc>
      </w:tr>
      <w:tr w:rsidR="00CB1187" w:rsidTr="00892E28">
        <w:trPr>
          <w:trHeight w:val="339"/>
        </w:trPr>
        <w:tc>
          <w:tcPr>
            <w:tcW w:w="7777" w:type="dxa"/>
          </w:tcPr>
          <w:p w:rsidR="00CB1187" w:rsidRDefault="006D55FA" w:rsidP="007E6E4C">
            <w:pPr>
              <w:tabs>
                <w:tab w:val="right" w:pos="8100"/>
              </w:tabs>
              <w:spacing w:after="60"/>
              <w:ind w:right="792"/>
              <w:jc w:val="both"/>
              <w:rPr>
                <w:rFonts w:ascii="Arial" w:hAnsi="Arial" w:cs="Arial"/>
                <w:b/>
                <w:sz w:val="24"/>
                <w:szCs w:val="24"/>
              </w:rPr>
            </w:pPr>
            <w:r>
              <w:rPr>
                <w:rFonts w:ascii="Arial" w:hAnsi="Arial" w:cs="Arial"/>
                <w:b/>
                <w:sz w:val="24"/>
                <w:szCs w:val="24"/>
              </w:rPr>
              <w:t>Ch</w:t>
            </w:r>
            <w:r w:rsidR="007E6E4C">
              <w:rPr>
                <w:rFonts w:ascii="Arial" w:hAnsi="Arial" w:cs="Arial"/>
                <w:b/>
                <w:sz w:val="24"/>
                <w:szCs w:val="24"/>
              </w:rPr>
              <w:t>ính sách</w:t>
            </w:r>
            <w:r w:rsidR="00CB1187">
              <w:rPr>
                <w:rFonts w:ascii="Arial" w:hAnsi="Arial" w:cs="Arial"/>
                <w:b/>
                <w:sz w:val="24"/>
                <w:szCs w:val="24"/>
              </w:rPr>
              <w:t xml:space="preserve"> kế toán</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30</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Mô hình giá trị hợp lý</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33</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Mô hình giá gốc</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56</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CHUYỂN ĐỔI</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57</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THANH LÝ</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66</w:t>
            </w:r>
          </w:p>
        </w:tc>
      </w:tr>
      <w:tr w:rsidR="00CB1187" w:rsidTr="00892E28">
        <w:trPr>
          <w:trHeight w:val="320"/>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CÔNG BỐ THÔNG TIN</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74</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Mô hình giá trị hợp lý và mô hình giá gốc</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74</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ĐIỀU KHOẢN CHUYỂN TIẾP</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80</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Mô hình giá trị hợp lý</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80</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Mô hình giá gốc</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83</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Hợp nhất kinh doanh</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84A</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IFRS 16</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84B</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Chuyển đổi bất động sản đầu tư</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84C</w:t>
            </w:r>
          </w:p>
        </w:tc>
      </w:tr>
      <w:tr w:rsidR="00CB1187" w:rsidTr="00892E28">
        <w:trPr>
          <w:trHeight w:val="339"/>
        </w:trPr>
        <w:tc>
          <w:tcPr>
            <w:tcW w:w="7777" w:type="dxa"/>
          </w:tcPr>
          <w:p w:rsidR="00CB1187" w:rsidRDefault="00CB1187" w:rsidP="0048656B">
            <w:pPr>
              <w:tabs>
                <w:tab w:val="right" w:pos="8100"/>
              </w:tabs>
              <w:spacing w:after="60"/>
              <w:ind w:right="792"/>
              <w:jc w:val="both"/>
              <w:rPr>
                <w:rFonts w:ascii="Arial" w:hAnsi="Arial" w:cs="Arial"/>
                <w:b/>
                <w:sz w:val="24"/>
                <w:szCs w:val="24"/>
              </w:rPr>
            </w:pPr>
            <w:r>
              <w:rPr>
                <w:rFonts w:ascii="Arial" w:hAnsi="Arial" w:cs="Arial"/>
                <w:b/>
                <w:sz w:val="24"/>
                <w:szCs w:val="24"/>
              </w:rPr>
              <w:t>NGÀY HIỆU LỰC</w:t>
            </w:r>
          </w:p>
        </w:tc>
        <w:tc>
          <w:tcPr>
            <w:tcW w:w="1174" w:type="dxa"/>
          </w:tcPr>
          <w:p w:rsidR="00CB1187" w:rsidRDefault="00CB1187" w:rsidP="0048656B">
            <w:pPr>
              <w:spacing w:after="60"/>
              <w:jc w:val="right"/>
              <w:rPr>
                <w:rFonts w:ascii="Arial" w:hAnsi="Arial" w:cs="Arial"/>
                <w:b/>
                <w:sz w:val="24"/>
                <w:szCs w:val="24"/>
              </w:rPr>
            </w:pPr>
            <w:r>
              <w:rPr>
                <w:rFonts w:ascii="Arial" w:hAnsi="Arial" w:cs="Arial"/>
                <w:b/>
                <w:sz w:val="24"/>
                <w:szCs w:val="24"/>
              </w:rPr>
              <w:t>85</w:t>
            </w:r>
          </w:p>
        </w:tc>
      </w:tr>
      <w:tr w:rsidR="00CB1187" w:rsidTr="00892E28">
        <w:trPr>
          <w:trHeight w:val="339"/>
        </w:trPr>
        <w:tc>
          <w:tcPr>
            <w:tcW w:w="7777" w:type="dxa"/>
          </w:tcPr>
          <w:p w:rsidR="00CB1187" w:rsidRDefault="0047585E" w:rsidP="0048656B">
            <w:pPr>
              <w:tabs>
                <w:tab w:val="right" w:pos="8100"/>
              </w:tabs>
              <w:spacing w:after="60"/>
              <w:ind w:right="792"/>
              <w:jc w:val="both"/>
              <w:rPr>
                <w:rFonts w:ascii="Arial" w:hAnsi="Arial" w:cs="Arial"/>
                <w:b/>
                <w:sz w:val="24"/>
                <w:szCs w:val="24"/>
              </w:rPr>
            </w:pPr>
            <w:r>
              <w:rPr>
                <w:rFonts w:ascii="Arial" w:hAnsi="Arial" w:cs="Arial"/>
                <w:b/>
                <w:sz w:val="24"/>
                <w:szCs w:val="24"/>
              </w:rPr>
              <w:t xml:space="preserve">THU HỒI </w:t>
            </w:r>
            <w:r w:rsidR="007B74C6">
              <w:rPr>
                <w:rFonts w:ascii="Arial" w:hAnsi="Arial" w:cs="Arial"/>
                <w:b/>
                <w:sz w:val="24"/>
                <w:szCs w:val="24"/>
              </w:rPr>
              <w:t>IAS</w:t>
            </w:r>
            <w:r>
              <w:rPr>
                <w:rFonts w:ascii="Arial" w:hAnsi="Arial" w:cs="Arial"/>
                <w:b/>
                <w:sz w:val="24"/>
                <w:szCs w:val="24"/>
              </w:rPr>
              <w:t xml:space="preserve"> 40 (2000)</w:t>
            </w:r>
          </w:p>
        </w:tc>
        <w:tc>
          <w:tcPr>
            <w:tcW w:w="1174" w:type="dxa"/>
          </w:tcPr>
          <w:p w:rsidR="00CB1187" w:rsidRDefault="0047585E" w:rsidP="0048656B">
            <w:pPr>
              <w:spacing w:after="60"/>
              <w:jc w:val="right"/>
              <w:rPr>
                <w:rFonts w:ascii="Arial" w:hAnsi="Arial" w:cs="Arial"/>
                <w:b/>
                <w:sz w:val="24"/>
                <w:szCs w:val="24"/>
              </w:rPr>
            </w:pPr>
            <w:r>
              <w:rPr>
                <w:rFonts w:ascii="Arial" w:hAnsi="Arial" w:cs="Arial"/>
                <w:b/>
                <w:sz w:val="24"/>
                <w:szCs w:val="24"/>
              </w:rPr>
              <w:t>86</w:t>
            </w:r>
          </w:p>
        </w:tc>
      </w:tr>
      <w:tr w:rsidR="0047585E" w:rsidTr="00892E28">
        <w:trPr>
          <w:trHeight w:val="621"/>
        </w:trPr>
        <w:tc>
          <w:tcPr>
            <w:tcW w:w="7777" w:type="dxa"/>
          </w:tcPr>
          <w:p w:rsidR="0047585E" w:rsidRDefault="0047585E" w:rsidP="0048656B">
            <w:pPr>
              <w:tabs>
                <w:tab w:val="right" w:pos="8100"/>
              </w:tabs>
              <w:spacing w:after="60"/>
              <w:ind w:right="792"/>
              <w:jc w:val="both"/>
              <w:rPr>
                <w:rFonts w:ascii="Arial" w:hAnsi="Arial" w:cs="Arial"/>
                <w:b/>
                <w:sz w:val="24"/>
                <w:szCs w:val="24"/>
              </w:rPr>
            </w:pPr>
            <w:r>
              <w:rPr>
                <w:rFonts w:ascii="Arial" w:hAnsi="Arial" w:cs="Arial"/>
                <w:b/>
                <w:sz w:val="24"/>
                <w:szCs w:val="24"/>
              </w:rPr>
              <w:t>QUYẾT ĐỊNH PHÊ DUYỆT CỦA HỘI ĐỒNG CHO</w:t>
            </w:r>
            <w:r w:rsidR="007B74C6">
              <w:rPr>
                <w:rFonts w:ascii="Arial" w:hAnsi="Arial" w:cs="Arial"/>
                <w:b/>
                <w:sz w:val="24"/>
                <w:szCs w:val="24"/>
              </w:rPr>
              <w:t xml:space="preserve"> IAS</w:t>
            </w:r>
            <w:r>
              <w:rPr>
                <w:rFonts w:ascii="Arial" w:hAnsi="Arial" w:cs="Arial"/>
                <w:b/>
                <w:sz w:val="24"/>
                <w:szCs w:val="24"/>
              </w:rPr>
              <w:t xml:space="preserve"> 40 PHÁT HÀNH THÁNG 12 NĂM 2003</w:t>
            </w:r>
          </w:p>
        </w:tc>
        <w:tc>
          <w:tcPr>
            <w:tcW w:w="1174" w:type="dxa"/>
          </w:tcPr>
          <w:p w:rsidR="0047585E" w:rsidRDefault="0047585E" w:rsidP="0048656B">
            <w:pPr>
              <w:spacing w:after="60"/>
              <w:jc w:val="both"/>
              <w:rPr>
                <w:rFonts w:ascii="Arial" w:hAnsi="Arial" w:cs="Arial"/>
                <w:b/>
                <w:sz w:val="24"/>
                <w:szCs w:val="24"/>
              </w:rPr>
            </w:pPr>
          </w:p>
        </w:tc>
      </w:tr>
      <w:tr w:rsidR="0047585E" w:rsidTr="00892E28">
        <w:trPr>
          <w:trHeight w:val="885"/>
        </w:trPr>
        <w:tc>
          <w:tcPr>
            <w:tcW w:w="7777" w:type="dxa"/>
            <w:tcBorders>
              <w:bottom w:val="single" w:sz="4" w:space="0" w:color="auto"/>
            </w:tcBorders>
          </w:tcPr>
          <w:p w:rsidR="0047585E" w:rsidRDefault="0047585E" w:rsidP="0048656B">
            <w:pPr>
              <w:tabs>
                <w:tab w:val="right" w:pos="8100"/>
              </w:tabs>
              <w:spacing w:after="60"/>
              <w:ind w:right="792"/>
              <w:jc w:val="both"/>
              <w:rPr>
                <w:rFonts w:ascii="Arial" w:hAnsi="Arial" w:cs="Arial"/>
                <w:b/>
                <w:sz w:val="24"/>
                <w:szCs w:val="24"/>
              </w:rPr>
            </w:pPr>
            <w:r>
              <w:rPr>
                <w:rFonts w:ascii="Arial" w:hAnsi="Arial" w:cs="Arial"/>
                <w:b/>
                <w:sz w:val="24"/>
                <w:szCs w:val="24"/>
              </w:rPr>
              <w:t xml:space="preserve">QUYẾT ĐỊNH PHÊ DUYỆT CỦA HỘI ĐỒNG CHO </w:t>
            </w:r>
            <w:r w:rsidRPr="0047585E">
              <w:rPr>
                <w:rFonts w:ascii="Arial" w:hAnsi="Arial" w:cs="Arial"/>
                <w:b/>
                <w:i/>
                <w:sz w:val="24"/>
                <w:szCs w:val="24"/>
              </w:rPr>
              <w:t>BÁO CÁO CHUYỂN ĐỔI BẤT ĐỘNG SẢN ĐẦU TƯ</w:t>
            </w:r>
            <w:r>
              <w:rPr>
                <w:rFonts w:ascii="Arial" w:hAnsi="Arial" w:cs="Arial"/>
                <w:b/>
                <w:sz w:val="24"/>
                <w:szCs w:val="24"/>
              </w:rPr>
              <w:t xml:space="preserve"> (SỬA ĐỔI IAS 40) PHÁT HÀNH THÁNG 12 NĂM 2016</w:t>
            </w:r>
          </w:p>
        </w:tc>
        <w:tc>
          <w:tcPr>
            <w:tcW w:w="1174" w:type="dxa"/>
            <w:tcBorders>
              <w:bottom w:val="single" w:sz="4" w:space="0" w:color="auto"/>
            </w:tcBorders>
          </w:tcPr>
          <w:p w:rsidR="0047585E" w:rsidRDefault="0047585E" w:rsidP="0048656B">
            <w:pPr>
              <w:spacing w:after="60"/>
              <w:jc w:val="both"/>
              <w:rPr>
                <w:rFonts w:ascii="Arial" w:hAnsi="Arial" w:cs="Arial"/>
                <w:b/>
                <w:sz w:val="24"/>
                <w:szCs w:val="24"/>
              </w:rPr>
            </w:pPr>
          </w:p>
        </w:tc>
      </w:tr>
      <w:tr w:rsidR="0047585E" w:rsidTr="00892E28">
        <w:trPr>
          <w:trHeight w:val="675"/>
        </w:trPr>
        <w:tc>
          <w:tcPr>
            <w:tcW w:w="7777" w:type="dxa"/>
            <w:tcBorders>
              <w:top w:val="single" w:sz="4" w:space="0" w:color="auto"/>
              <w:left w:val="single" w:sz="4" w:space="0" w:color="auto"/>
              <w:bottom w:val="single" w:sz="4" w:space="0" w:color="auto"/>
            </w:tcBorders>
            <w:vAlign w:val="center"/>
          </w:tcPr>
          <w:p w:rsidR="0047585E" w:rsidRPr="000F0367" w:rsidRDefault="0047585E" w:rsidP="0048656B">
            <w:pPr>
              <w:tabs>
                <w:tab w:val="right" w:pos="8100"/>
              </w:tabs>
              <w:spacing w:after="60"/>
              <w:ind w:right="792"/>
              <w:jc w:val="both"/>
              <w:rPr>
                <w:rFonts w:ascii="Arial" w:hAnsi="Arial" w:cs="Arial"/>
                <w:b/>
                <w:color w:val="AEAAAA" w:themeColor="background2" w:themeShade="BF"/>
                <w:sz w:val="24"/>
                <w:szCs w:val="24"/>
              </w:rPr>
            </w:pPr>
            <w:r w:rsidRPr="000F0367">
              <w:rPr>
                <w:rFonts w:ascii="Arial" w:hAnsi="Arial" w:cs="Arial"/>
                <w:b/>
                <w:color w:val="AEAAAA" w:themeColor="background2" w:themeShade="BF"/>
                <w:sz w:val="24"/>
                <w:szCs w:val="24"/>
              </w:rPr>
              <w:t>THÔNG TIN CHI TIẾT VỀ CƠ SỞ KẾT LUẬN, THAM KHẢO PHẦN C CỦA PHIÊN BẢN NÀY</w:t>
            </w:r>
          </w:p>
        </w:tc>
        <w:tc>
          <w:tcPr>
            <w:tcW w:w="1174" w:type="dxa"/>
            <w:tcBorders>
              <w:top w:val="single" w:sz="4" w:space="0" w:color="auto"/>
              <w:bottom w:val="single" w:sz="4" w:space="0" w:color="auto"/>
              <w:right w:val="single" w:sz="4" w:space="0" w:color="auto"/>
            </w:tcBorders>
          </w:tcPr>
          <w:p w:rsidR="0047585E" w:rsidRPr="0047585E" w:rsidRDefault="0047585E" w:rsidP="0048656B">
            <w:pPr>
              <w:spacing w:after="60"/>
              <w:jc w:val="both"/>
              <w:rPr>
                <w:rFonts w:ascii="Arial" w:hAnsi="Arial" w:cs="Arial"/>
                <w:b/>
                <w:color w:val="AEAAAA" w:themeColor="background2" w:themeShade="BF"/>
                <w:sz w:val="24"/>
                <w:szCs w:val="24"/>
              </w:rPr>
            </w:pPr>
          </w:p>
        </w:tc>
      </w:tr>
      <w:tr w:rsidR="0047585E" w:rsidTr="00892E28">
        <w:trPr>
          <w:trHeight w:val="701"/>
        </w:trPr>
        <w:tc>
          <w:tcPr>
            <w:tcW w:w="7777" w:type="dxa"/>
            <w:tcBorders>
              <w:top w:val="single" w:sz="4" w:space="0" w:color="auto"/>
            </w:tcBorders>
          </w:tcPr>
          <w:p w:rsidR="0047585E" w:rsidRPr="000F0367" w:rsidRDefault="0047585E" w:rsidP="0048656B">
            <w:pPr>
              <w:tabs>
                <w:tab w:val="right" w:pos="8100"/>
              </w:tabs>
              <w:spacing w:before="60" w:after="60"/>
              <w:ind w:right="792"/>
              <w:jc w:val="both"/>
              <w:rPr>
                <w:rFonts w:ascii="Arial" w:hAnsi="Arial" w:cs="Arial"/>
                <w:b/>
                <w:color w:val="AEAAAA" w:themeColor="background2" w:themeShade="BF"/>
                <w:sz w:val="24"/>
                <w:szCs w:val="24"/>
              </w:rPr>
            </w:pPr>
            <w:r w:rsidRPr="000F0367">
              <w:rPr>
                <w:rFonts w:ascii="Arial" w:hAnsi="Arial" w:cs="Arial"/>
                <w:b/>
                <w:color w:val="AEAAAA" w:themeColor="background2" w:themeShade="BF"/>
                <w:sz w:val="24"/>
                <w:szCs w:val="24"/>
              </w:rPr>
              <w:t>CƠ SỞ KẾT LUẬN CỦA HỘI ĐỒNG CHUẨN MỰC KẾ TOÁN QUỐC TẾ CHO</w:t>
            </w:r>
            <w:r w:rsidR="007B74C6" w:rsidRPr="000F0367">
              <w:rPr>
                <w:rFonts w:ascii="Arial" w:hAnsi="Arial" w:cs="Arial"/>
                <w:b/>
                <w:color w:val="AEAAAA" w:themeColor="background2" w:themeShade="BF"/>
                <w:sz w:val="24"/>
                <w:szCs w:val="24"/>
              </w:rPr>
              <w:t xml:space="preserve"> </w:t>
            </w:r>
            <w:r w:rsidRPr="000F0367">
              <w:rPr>
                <w:rFonts w:ascii="Arial" w:hAnsi="Arial" w:cs="Arial"/>
                <w:b/>
                <w:color w:val="AEAAAA" w:themeColor="background2" w:themeShade="BF"/>
                <w:sz w:val="24"/>
                <w:szCs w:val="24"/>
              </w:rPr>
              <w:t>IAS 40 (NHƯ ĐÃ ĐIỀU CHỈNH NĂM 2003)</w:t>
            </w:r>
          </w:p>
        </w:tc>
        <w:tc>
          <w:tcPr>
            <w:tcW w:w="1174" w:type="dxa"/>
            <w:tcBorders>
              <w:top w:val="single" w:sz="4" w:space="0" w:color="auto"/>
            </w:tcBorders>
          </w:tcPr>
          <w:p w:rsidR="0047585E" w:rsidRPr="0047585E" w:rsidRDefault="0047585E" w:rsidP="0048656B">
            <w:pPr>
              <w:spacing w:after="60"/>
              <w:jc w:val="both"/>
              <w:rPr>
                <w:rFonts w:ascii="Arial" w:hAnsi="Arial" w:cs="Arial"/>
                <w:b/>
                <w:color w:val="AEAAAA" w:themeColor="background2" w:themeShade="BF"/>
                <w:sz w:val="24"/>
                <w:szCs w:val="24"/>
              </w:rPr>
            </w:pPr>
          </w:p>
        </w:tc>
      </w:tr>
      <w:tr w:rsidR="0047585E" w:rsidTr="00892E28">
        <w:trPr>
          <w:trHeight w:val="405"/>
        </w:trPr>
        <w:tc>
          <w:tcPr>
            <w:tcW w:w="7777" w:type="dxa"/>
          </w:tcPr>
          <w:p w:rsidR="0047585E" w:rsidRPr="000F0367" w:rsidRDefault="0047585E" w:rsidP="0048656B">
            <w:pPr>
              <w:tabs>
                <w:tab w:val="right" w:pos="8100"/>
              </w:tabs>
              <w:spacing w:after="60"/>
              <w:ind w:right="792"/>
              <w:jc w:val="both"/>
              <w:rPr>
                <w:rFonts w:ascii="Arial" w:hAnsi="Arial" w:cs="Arial"/>
                <w:b/>
                <w:color w:val="AEAAAA" w:themeColor="background2" w:themeShade="BF"/>
                <w:sz w:val="24"/>
                <w:szCs w:val="24"/>
              </w:rPr>
            </w:pPr>
            <w:r w:rsidRPr="000F0367">
              <w:rPr>
                <w:rFonts w:ascii="Arial" w:hAnsi="Arial" w:cs="Arial"/>
                <w:b/>
                <w:color w:val="AEAAAA" w:themeColor="background2" w:themeShade="BF"/>
                <w:sz w:val="24"/>
                <w:szCs w:val="24"/>
              </w:rPr>
              <w:t xml:space="preserve">CƠ SỞ KẾT LUẬN CỦA </w:t>
            </w:r>
            <w:r w:rsidR="00BD0C7E">
              <w:rPr>
                <w:rFonts w:ascii="Arial" w:hAnsi="Arial" w:cs="Arial"/>
                <w:b/>
                <w:color w:val="AEAAAA" w:themeColor="background2" w:themeShade="BF"/>
                <w:sz w:val="24"/>
                <w:szCs w:val="24"/>
              </w:rPr>
              <w:t>ỦY BAN</w:t>
            </w:r>
            <w:r w:rsidRPr="000F0367">
              <w:rPr>
                <w:rFonts w:ascii="Arial" w:hAnsi="Arial" w:cs="Arial"/>
                <w:b/>
                <w:color w:val="AEAAAA" w:themeColor="background2" w:themeShade="BF"/>
                <w:sz w:val="24"/>
                <w:szCs w:val="24"/>
              </w:rPr>
              <w:t xml:space="preserve"> CHUẨN MỰC KẾ TOÁN QUỐC TẾ CHO IAS 40 (2000)</w:t>
            </w:r>
          </w:p>
        </w:tc>
        <w:tc>
          <w:tcPr>
            <w:tcW w:w="1174" w:type="dxa"/>
          </w:tcPr>
          <w:p w:rsidR="0047585E" w:rsidRPr="0047585E" w:rsidRDefault="0047585E" w:rsidP="0048656B">
            <w:pPr>
              <w:spacing w:after="60"/>
              <w:jc w:val="both"/>
              <w:rPr>
                <w:rFonts w:ascii="Arial" w:hAnsi="Arial" w:cs="Arial"/>
                <w:b/>
                <w:color w:val="AEAAAA" w:themeColor="background2" w:themeShade="BF"/>
                <w:sz w:val="24"/>
                <w:szCs w:val="24"/>
              </w:rPr>
            </w:pPr>
          </w:p>
        </w:tc>
      </w:tr>
    </w:tbl>
    <w:p w:rsidR="0047585E" w:rsidRDefault="0047585E" w:rsidP="0048656B">
      <w:pPr>
        <w:jc w:val="both"/>
        <w:rPr>
          <w:rFonts w:ascii="Arial" w:hAnsi="Arial" w:cs="Arial"/>
          <w:i/>
          <w:sz w:val="24"/>
          <w:szCs w:val="24"/>
        </w:rPr>
      </w:pPr>
    </w:p>
    <w:p w:rsidR="0047585E" w:rsidRDefault="0047585E" w:rsidP="0048656B">
      <w:pPr>
        <w:jc w:val="both"/>
        <w:rPr>
          <w:rFonts w:ascii="Arial" w:hAnsi="Arial" w:cs="Arial"/>
          <w:i/>
          <w:sz w:val="24"/>
          <w:szCs w:val="24"/>
        </w:rPr>
      </w:pPr>
      <w:r>
        <w:rPr>
          <w:rFonts w:ascii="Arial" w:hAnsi="Arial" w:cs="Arial"/>
          <w:i/>
          <w:sz w:val="24"/>
          <w:szCs w:val="24"/>
        </w:rPr>
        <w:br w:type="page"/>
      </w:r>
    </w:p>
    <w:tbl>
      <w:tblPr>
        <w:tblStyle w:val="TableGrid"/>
        <w:tblpPr w:leftFromText="180" w:rightFromText="180" w:tblpY="449"/>
        <w:tblW w:w="0" w:type="auto"/>
        <w:tblLook w:val="04A0"/>
      </w:tblPr>
      <w:tblGrid>
        <w:gridCol w:w="8198"/>
      </w:tblGrid>
      <w:tr w:rsidR="00811CCC" w:rsidTr="00811CCC">
        <w:trPr>
          <w:trHeight w:val="2596"/>
        </w:trPr>
        <w:tc>
          <w:tcPr>
            <w:tcW w:w="8198" w:type="dxa"/>
          </w:tcPr>
          <w:p w:rsidR="00811CCC" w:rsidRDefault="00811CCC" w:rsidP="007E6E4C">
            <w:pPr>
              <w:jc w:val="both"/>
              <w:rPr>
                <w:rFonts w:ascii="Times New Roman" w:hAnsi="Times New Roman" w:cs="Times New Roman"/>
                <w:sz w:val="24"/>
                <w:szCs w:val="24"/>
              </w:rPr>
            </w:pPr>
            <w:r w:rsidRPr="00322643">
              <w:rPr>
                <w:rFonts w:ascii="Times New Roman" w:hAnsi="Times New Roman" w:cs="Times New Roman"/>
                <w:sz w:val="24"/>
                <w:szCs w:val="24"/>
              </w:rPr>
              <w:lastRenderedPageBreak/>
              <w:t xml:space="preserve">Chuẩn mực kế toán quốc tế số 40 </w:t>
            </w:r>
            <w:r w:rsidRPr="00322643">
              <w:rPr>
                <w:rFonts w:ascii="Times New Roman" w:hAnsi="Times New Roman" w:cs="Times New Roman"/>
                <w:i/>
                <w:sz w:val="24"/>
                <w:szCs w:val="24"/>
              </w:rPr>
              <w:t>Bất động sản đầu tư</w:t>
            </w:r>
            <w:r>
              <w:rPr>
                <w:rFonts w:ascii="Times New Roman" w:hAnsi="Times New Roman" w:cs="Times New Roman"/>
                <w:i/>
                <w:sz w:val="24"/>
                <w:szCs w:val="24"/>
              </w:rPr>
              <w:t xml:space="preserve"> </w:t>
            </w:r>
            <w:r>
              <w:rPr>
                <w:rFonts w:ascii="Times New Roman" w:hAnsi="Times New Roman" w:cs="Times New Roman"/>
                <w:sz w:val="24"/>
                <w:szCs w:val="24"/>
              </w:rPr>
              <w:t xml:space="preserve">(IAS 40) được quy định </w:t>
            </w:r>
            <w:r w:rsidR="007E6E4C">
              <w:rPr>
                <w:rFonts w:ascii="Times New Roman" w:hAnsi="Times New Roman" w:cs="Times New Roman"/>
                <w:sz w:val="24"/>
                <w:szCs w:val="24"/>
              </w:rPr>
              <w:t>từ</w:t>
            </w:r>
            <w:r>
              <w:rPr>
                <w:rFonts w:ascii="Times New Roman" w:hAnsi="Times New Roman" w:cs="Times New Roman"/>
                <w:sz w:val="24"/>
                <w:szCs w:val="24"/>
              </w:rPr>
              <w:t xml:space="preserve"> đoạn từ 1 đến 86. Toàn bộ các đoạn này có hiệu lực như nhau nhưng được duy trì định dạng Chuẩn mực của Úy ban Chuẩn mực kế toán quốc tế (IASC) khi Hội đồng Chuẩn mực kế toán quốc tế thi hành. IAS 40 nên được nghiên cứu khi đặt trong bối cảnh của mục tiêu của IAS 40, cơ sở kết luận của Hội đồng cho IAS 40, cùng với </w:t>
            </w:r>
            <w:r w:rsidRPr="0056238D">
              <w:rPr>
                <w:rFonts w:ascii="Times New Roman" w:hAnsi="Times New Roman" w:cs="Times New Roman"/>
                <w:i/>
                <w:sz w:val="24"/>
                <w:szCs w:val="24"/>
              </w:rPr>
              <w:t>Lời nói đầu cho chuẩn mực IFRS</w:t>
            </w:r>
            <w:r>
              <w:rPr>
                <w:rFonts w:ascii="Times New Roman" w:hAnsi="Times New Roman" w:cs="Times New Roman"/>
                <w:i/>
                <w:sz w:val="24"/>
                <w:szCs w:val="24"/>
              </w:rPr>
              <w:t xml:space="preserve"> </w:t>
            </w:r>
            <w:r w:rsidRPr="0056238D">
              <w:rPr>
                <w:rFonts w:ascii="Times New Roman" w:hAnsi="Times New Roman" w:cs="Times New Roman"/>
                <w:sz w:val="24"/>
                <w:szCs w:val="24"/>
              </w:rPr>
              <w:t xml:space="preserve">và </w:t>
            </w:r>
            <w:r w:rsidRPr="0056238D">
              <w:rPr>
                <w:rFonts w:ascii="Times New Roman" w:hAnsi="Times New Roman" w:cs="Times New Roman"/>
                <w:i/>
                <w:sz w:val="24"/>
                <w:szCs w:val="24"/>
              </w:rPr>
              <w:t>Khuôn khổ chung cho việc lập Báo cáo tài chính</w:t>
            </w:r>
            <w:r>
              <w:rPr>
                <w:rFonts w:ascii="Times New Roman" w:hAnsi="Times New Roman" w:cs="Times New Roman"/>
                <w:sz w:val="24"/>
                <w:szCs w:val="24"/>
              </w:rPr>
              <w:t xml:space="preserve">. IAS 8 </w:t>
            </w:r>
            <w:r>
              <w:rPr>
                <w:rFonts w:ascii="Times New Roman" w:hAnsi="Times New Roman" w:cs="Times New Roman"/>
                <w:i/>
                <w:sz w:val="24"/>
                <w:szCs w:val="24"/>
              </w:rPr>
              <w:t>C</w:t>
            </w:r>
            <w:r w:rsidR="007E6E4C">
              <w:rPr>
                <w:rFonts w:ascii="Times New Roman" w:hAnsi="Times New Roman" w:cs="Times New Roman"/>
                <w:i/>
                <w:sz w:val="24"/>
                <w:szCs w:val="24"/>
              </w:rPr>
              <w:t>hính sách</w:t>
            </w:r>
            <w:r w:rsidRPr="0056238D">
              <w:rPr>
                <w:rFonts w:ascii="Times New Roman" w:hAnsi="Times New Roman" w:cs="Times New Roman"/>
                <w:i/>
                <w:sz w:val="24"/>
                <w:szCs w:val="24"/>
              </w:rPr>
              <w:t xml:space="preserve"> kế toán, Thay đổi trong các ước tính kế toán</w:t>
            </w:r>
            <w:r>
              <w:rPr>
                <w:rFonts w:ascii="Times New Roman" w:hAnsi="Times New Roman" w:cs="Times New Roman"/>
                <w:i/>
                <w:sz w:val="24"/>
                <w:szCs w:val="24"/>
              </w:rPr>
              <w:t xml:space="preserve"> và các </w:t>
            </w:r>
            <w:r w:rsidR="007E6E4C">
              <w:rPr>
                <w:rFonts w:ascii="Times New Roman" w:hAnsi="Times New Roman" w:cs="Times New Roman"/>
                <w:i/>
                <w:sz w:val="24"/>
                <w:szCs w:val="24"/>
              </w:rPr>
              <w:t>sai sót</w:t>
            </w:r>
            <w:r>
              <w:rPr>
                <w:rFonts w:ascii="Times New Roman" w:hAnsi="Times New Roman" w:cs="Times New Roman"/>
                <w:i/>
                <w:sz w:val="24"/>
                <w:szCs w:val="24"/>
              </w:rPr>
              <w:t xml:space="preserve"> </w:t>
            </w:r>
            <w:r>
              <w:rPr>
                <w:rFonts w:ascii="Times New Roman" w:hAnsi="Times New Roman" w:cs="Times New Roman"/>
                <w:sz w:val="24"/>
                <w:szCs w:val="24"/>
              </w:rPr>
              <w:t>cung cấp cơ sở cho việc chọn lựa và áp dụng các ch</w:t>
            </w:r>
            <w:r w:rsidR="007E6E4C">
              <w:rPr>
                <w:rFonts w:ascii="Times New Roman" w:hAnsi="Times New Roman" w:cs="Times New Roman"/>
                <w:sz w:val="24"/>
                <w:szCs w:val="24"/>
              </w:rPr>
              <w:t>ính sách</w:t>
            </w:r>
            <w:r>
              <w:rPr>
                <w:rFonts w:ascii="Times New Roman" w:hAnsi="Times New Roman" w:cs="Times New Roman"/>
                <w:sz w:val="24"/>
                <w:szCs w:val="24"/>
              </w:rPr>
              <w:t xml:space="preserve"> kế toán khi không có các hướng dẫn cụ thể.</w:t>
            </w:r>
          </w:p>
        </w:tc>
      </w:tr>
    </w:tbl>
    <w:p w:rsidR="0057209D" w:rsidRDefault="0057209D" w:rsidP="0048656B">
      <w:pPr>
        <w:jc w:val="both"/>
        <w:rPr>
          <w:rFonts w:ascii="Times New Roman" w:hAnsi="Times New Roman" w:cs="Times New Roman"/>
          <w:sz w:val="24"/>
          <w:szCs w:val="24"/>
        </w:rPr>
      </w:pPr>
    </w:p>
    <w:p w:rsidR="0057209D" w:rsidRDefault="0057209D" w:rsidP="0048656B">
      <w:pPr>
        <w:jc w:val="both"/>
        <w:rPr>
          <w:rFonts w:ascii="Times New Roman" w:hAnsi="Times New Roman" w:cs="Times New Roman"/>
          <w:sz w:val="24"/>
          <w:szCs w:val="24"/>
        </w:rPr>
      </w:pPr>
      <w:r>
        <w:rPr>
          <w:rFonts w:ascii="Times New Roman" w:hAnsi="Times New Roman" w:cs="Times New Roman"/>
          <w:sz w:val="24"/>
          <w:szCs w:val="24"/>
        </w:rPr>
        <w:br w:type="page"/>
      </w:r>
    </w:p>
    <w:p w:rsidR="00DC4F49" w:rsidRPr="006A3BFF" w:rsidRDefault="00DC4F49" w:rsidP="0048656B">
      <w:pPr>
        <w:spacing w:after="0" w:line="240" w:lineRule="auto"/>
        <w:ind w:right="18"/>
        <w:jc w:val="both"/>
        <w:rPr>
          <w:rFonts w:ascii="Arial" w:hAnsi="Arial" w:cs="Arial"/>
          <w:b/>
          <w:sz w:val="28"/>
          <w:szCs w:val="24"/>
        </w:rPr>
      </w:pPr>
      <w:r w:rsidRPr="006A3BFF">
        <w:rPr>
          <w:rFonts w:ascii="Arial" w:hAnsi="Arial" w:cs="Arial"/>
          <w:b/>
          <w:sz w:val="28"/>
          <w:szCs w:val="24"/>
        </w:rPr>
        <w:lastRenderedPageBreak/>
        <w:t>CHUẨN MỰC KẾ TOÁN QUỐC TẾ SỐ 40</w:t>
      </w:r>
    </w:p>
    <w:p w:rsidR="006A3BFF" w:rsidRDefault="00DC4F49" w:rsidP="0048656B">
      <w:pPr>
        <w:spacing w:after="600"/>
        <w:ind w:right="18"/>
        <w:jc w:val="both"/>
        <w:rPr>
          <w:rFonts w:ascii="Arial" w:hAnsi="Arial" w:cs="Arial"/>
          <w:b/>
          <w:i/>
          <w:sz w:val="28"/>
          <w:szCs w:val="24"/>
        </w:rPr>
      </w:pPr>
      <w:r w:rsidRPr="006A3BFF">
        <w:rPr>
          <w:rFonts w:ascii="Arial" w:hAnsi="Arial" w:cs="Arial"/>
          <w:b/>
          <w:i/>
          <w:sz w:val="28"/>
          <w:szCs w:val="24"/>
        </w:rPr>
        <w:t>BẤT ĐỘNG SẢN ĐẦU TƯ</w:t>
      </w:r>
    </w:p>
    <w:p w:rsidR="00DC4F49" w:rsidRPr="009E5714" w:rsidRDefault="00DC4F49" w:rsidP="0048656B">
      <w:pPr>
        <w:pBdr>
          <w:bottom w:val="single" w:sz="6" w:space="1" w:color="auto"/>
        </w:pBdr>
        <w:tabs>
          <w:tab w:val="left" w:pos="720"/>
        </w:tabs>
        <w:spacing w:before="200" w:after="120" w:line="240" w:lineRule="auto"/>
        <w:ind w:left="720" w:right="14" w:hanging="720"/>
        <w:jc w:val="both"/>
        <w:rPr>
          <w:rFonts w:ascii="Arial" w:hAnsi="Arial" w:cs="Arial"/>
          <w:b/>
          <w:sz w:val="28"/>
          <w:szCs w:val="28"/>
        </w:rPr>
      </w:pPr>
      <w:r w:rsidRPr="009E5714">
        <w:rPr>
          <w:rFonts w:ascii="Arial" w:hAnsi="Arial" w:cs="Arial"/>
          <w:b/>
          <w:sz w:val="28"/>
          <w:szCs w:val="28"/>
        </w:rPr>
        <w:t>Mục tiêu</w:t>
      </w:r>
    </w:p>
    <w:p w:rsidR="00DC4F49" w:rsidRPr="00B072A2" w:rsidRDefault="00DC4F49" w:rsidP="0048656B">
      <w:pPr>
        <w:tabs>
          <w:tab w:val="left" w:pos="720"/>
        </w:tabs>
        <w:spacing w:after="0" w:line="240" w:lineRule="auto"/>
        <w:ind w:left="720" w:right="18" w:hanging="720"/>
        <w:jc w:val="both"/>
        <w:rPr>
          <w:rFonts w:ascii="Times New Roman" w:hAnsi="Times New Roman" w:cs="Times New Roman"/>
          <w:sz w:val="24"/>
          <w:szCs w:val="24"/>
        </w:rPr>
      </w:pPr>
      <w:r w:rsidRPr="00B072A2">
        <w:rPr>
          <w:rFonts w:ascii="Times New Roman" w:hAnsi="Times New Roman" w:cs="Times New Roman"/>
          <w:sz w:val="24"/>
          <w:szCs w:val="24"/>
        </w:rPr>
        <w:t>1</w:t>
      </w:r>
      <w:r w:rsidRPr="00B072A2">
        <w:rPr>
          <w:rFonts w:ascii="Times New Roman" w:hAnsi="Times New Roman" w:cs="Times New Roman"/>
          <w:sz w:val="24"/>
          <w:szCs w:val="24"/>
        </w:rPr>
        <w:tab/>
        <w:t xml:space="preserve">Mục tiêu của Chuẩn mực này là để </w:t>
      </w:r>
      <w:r w:rsidR="00EC39C2">
        <w:rPr>
          <w:rFonts w:ascii="Times New Roman" w:hAnsi="Times New Roman" w:cs="Times New Roman"/>
          <w:sz w:val="24"/>
          <w:szCs w:val="24"/>
        </w:rPr>
        <w:t>quy định</w:t>
      </w:r>
      <w:r w:rsidRPr="00B072A2">
        <w:rPr>
          <w:rFonts w:ascii="Times New Roman" w:hAnsi="Times New Roman" w:cs="Times New Roman"/>
          <w:sz w:val="24"/>
          <w:szCs w:val="24"/>
        </w:rPr>
        <w:t xml:space="preserve"> </w:t>
      </w:r>
      <w:r w:rsidR="00D96F7F" w:rsidRPr="00B072A2">
        <w:rPr>
          <w:rFonts w:ascii="Times New Roman" w:hAnsi="Times New Roman" w:cs="Times New Roman"/>
          <w:sz w:val="24"/>
          <w:szCs w:val="24"/>
        </w:rPr>
        <w:t xml:space="preserve">phương pháp kế toán cho bất động sản đầu tư và các yêu cầu </w:t>
      </w:r>
      <w:r w:rsidR="00B072A2" w:rsidRPr="00B072A2">
        <w:rPr>
          <w:rFonts w:ascii="Times New Roman" w:hAnsi="Times New Roman" w:cs="Times New Roman"/>
          <w:sz w:val="24"/>
          <w:szCs w:val="24"/>
        </w:rPr>
        <w:t>thông bố thông tin liên quan.</w:t>
      </w:r>
    </w:p>
    <w:p w:rsidR="00B072A2" w:rsidRDefault="00B072A2" w:rsidP="0048656B">
      <w:pPr>
        <w:tabs>
          <w:tab w:val="left" w:pos="720"/>
        </w:tabs>
        <w:spacing w:after="0" w:line="240" w:lineRule="auto"/>
        <w:ind w:left="720" w:right="18" w:hanging="720"/>
        <w:jc w:val="both"/>
        <w:rPr>
          <w:rFonts w:ascii="Times New Roman" w:hAnsi="Times New Roman" w:cs="Times New Roman"/>
          <w:sz w:val="28"/>
          <w:szCs w:val="24"/>
        </w:rPr>
      </w:pPr>
    </w:p>
    <w:p w:rsidR="00B072A2" w:rsidRPr="009E5714" w:rsidRDefault="00B072A2" w:rsidP="0048656B">
      <w:pPr>
        <w:pBdr>
          <w:bottom w:val="single" w:sz="6" w:space="1" w:color="auto"/>
        </w:pBdr>
        <w:spacing w:before="200" w:after="120" w:line="240" w:lineRule="auto"/>
        <w:ind w:right="14"/>
        <w:jc w:val="both"/>
        <w:rPr>
          <w:rFonts w:ascii="Arial" w:hAnsi="Arial" w:cs="Arial"/>
          <w:b/>
          <w:sz w:val="28"/>
          <w:szCs w:val="28"/>
        </w:rPr>
      </w:pPr>
      <w:r w:rsidRPr="009E5714">
        <w:rPr>
          <w:rFonts w:ascii="Arial" w:hAnsi="Arial" w:cs="Arial"/>
          <w:b/>
          <w:sz w:val="28"/>
          <w:szCs w:val="28"/>
        </w:rPr>
        <w:t>Phạm vi điều chỉnh</w:t>
      </w:r>
    </w:p>
    <w:p w:rsidR="00B072A2" w:rsidRPr="00B072A2" w:rsidRDefault="00B072A2" w:rsidP="0048656B">
      <w:pPr>
        <w:tabs>
          <w:tab w:val="left" w:pos="720"/>
        </w:tabs>
        <w:spacing w:after="120" w:line="240" w:lineRule="auto"/>
        <w:ind w:left="720" w:right="14" w:hanging="720"/>
        <w:jc w:val="both"/>
        <w:rPr>
          <w:rFonts w:ascii="Times New Roman" w:hAnsi="Times New Roman" w:cs="Times New Roman"/>
          <w:b/>
          <w:sz w:val="24"/>
          <w:szCs w:val="24"/>
        </w:rPr>
      </w:pPr>
      <w:r w:rsidRPr="00B072A2">
        <w:rPr>
          <w:rFonts w:ascii="Times New Roman" w:hAnsi="Times New Roman" w:cs="Times New Roman"/>
          <w:b/>
          <w:sz w:val="24"/>
          <w:szCs w:val="24"/>
        </w:rPr>
        <w:t>2</w:t>
      </w:r>
      <w:r w:rsidRPr="00B072A2">
        <w:rPr>
          <w:rFonts w:ascii="Times New Roman" w:hAnsi="Times New Roman" w:cs="Times New Roman"/>
          <w:b/>
          <w:sz w:val="24"/>
          <w:szCs w:val="24"/>
        </w:rPr>
        <w:tab/>
        <w:t>Chuẩn mực được áp dụng trong việc ghi nhận, đo lường và công bố thông tin về các bất động sản đầu tư.</w:t>
      </w:r>
    </w:p>
    <w:p w:rsidR="00B072A2" w:rsidRDefault="00B072A2" w:rsidP="0048656B">
      <w:pPr>
        <w:tabs>
          <w:tab w:val="left" w:pos="720"/>
        </w:tabs>
        <w:spacing w:after="120" w:line="240" w:lineRule="auto"/>
        <w:ind w:left="720" w:right="14" w:hanging="720"/>
        <w:jc w:val="both"/>
        <w:rPr>
          <w:rFonts w:ascii="Times New Roman" w:hAnsi="Times New Roman" w:cs="Times New Roman"/>
          <w:sz w:val="24"/>
          <w:szCs w:val="24"/>
        </w:rPr>
      </w:pPr>
      <w:r w:rsidRPr="00B072A2">
        <w:rPr>
          <w:rFonts w:ascii="Times New Roman" w:hAnsi="Times New Roman" w:cs="Times New Roman"/>
          <w:sz w:val="24"/>
          <w:szCs w:val="24"/>
        </w:rPr>
        <w:t>3</w:t>
      </w:r>
      <w:r w:rsidRPr="00B072A2">
        <w:rPr>
          <w:rFonts w:ascii="Times New Roman" w:hAnsi="Times New Roman" w:cs="Times New Roman"/>
          <w:sz w:val="24"/>
          <w:szCs w:val="24"/>
        </w:rPr>
        <w:tab/>
        <w:t xml:space="preserve">[Đã </w:t>
      </w:r>
      <w:r w:rsidR="00EC39C2">
        <w:rPr>
          <w:rFonts w:ascii="Times New Roman" w:hAnsi="Times New Roman" w:cs="Times New Roman"/>
          <w:sz w:val="24"/>
          <w:szCs w:val="24"/>
        </w:rPr>
        <w:t>xóa</w:t>
      </w:r>
      <w:r w:rsidRPr="00B072A2">
        <w:rPr>
          <w:rFonts w:ascii="Times New Roman" w:hAnsi="Times New Roman" w:cs="Times New Roman"/>
          <w:sz w:val="24"/>
          <w:szCs w:val="24"/>
        </w:rPr>
        <w:t>]</w:t>
      </w:r>
    </w:p>
    <w:p w:rsidR="00B072A2" w:rsidRDefault="00B072A2"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Chuẩn mực này không áp dụng với</w:t>
      </w:r>
      <w:r w:rsidR="00B549A9">
        <w:rPr>
          <w:rFonts w:ascii="Times New Roman" w:hAnsi="Times New Roman" w:cs="Times New Roman"/>
          <w:sz w:val="24"/>
          <w:szCs w:val="24"/>
        </w:rPr>
        <w:t>:</w:t>
      </w:r>
    </w:p>
    <w:p w:rsidR="00B549A9" w:rsidRDefault="00B549A9"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tài sản sinh học liên qua đến hoạt động nông nghiệp (tham khảo IAS 41 </w:t>
      </w:r>
      <w:r w:rsidRPr="00B549A9">
        <w:rPr>
          <w:rFonts w:ascii="Times New Roman" w:hAnsi="Times New Roman" w:cs="Times New Roman"/>
          <w:i/>
          <w:sz w:val="24"/>
          <w:szCs w:val="24"/>
        </w:rPr>
        <w:t>Nông nghiệp</w:t>
      </w:r>
      <w:r>
        <w:rPr>
          <w:rFonts w:ascii="Times New Roman" w:hAnsi="Times New Roman" w:cs="Times New Roman"/>
          <w:i/>
          <w:sz w:val="24"/>
          <w:szCs w:val="24"/>
        </w:rPr>
        <w:t xml:space="preserve"> </w:t>
      </w:r>
      <w:r>
        <w:rPr>
          <w:rFonts w:ascii="Times New Roman" w:hAnsi="Times New Roman" w:cs="Times New Roman"/>
          <w:sz w:val="24"/>
          <w:szCs w:val="24"/>
        </w:rPr>
        <w:t xml:space="preserve">và IAS 16 </w:t>
      </w:r>
      <w:r w:rsidRPr="00B549A9">
        <w:rPr>
          <w:rFonts w:ascii="Times New Roman" w:hAnsi="Times New Roman" w:cs="Times New Roman"/>
          <w:i/>
          <w:sz w:val="24"/>
          <w:szCs w:val="24"/>
        </w:rPr>
        <w:t>Tài sản cố định</w:t>
      </w:r>
      <w:r w:rsidR="001B4717" w:rsidRPr="001B4717">
        <w:rPr>
          <w:rFonts w:ascii="Times New Roman" w:hAnsi="Times New Roman" w:cs="Times New Roman"/>
          <w:sz w:val="24"/>
          <w:szCs w:val="24"/>
        </w:rPr>
        <w:t>)</w:t>
      </w:r>
      <w:r w:rsidR="001B4717">
        <w:rPr>
          <w:rFonts w:ascii="Times New Roman" w:hAnsi="Times New Roman" w:cs="Times New Roman"/>
          <w:sz w:val="24"/>
          <w:szCs w:val="24"/>
        </w:rPr>
        <w:t>; và</w:t>
      </w:r>
    </w:p>
    <w:p w:rsidR="001B4717" w:rsidRDefault="001B4717"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quyền khai thác khoáng sản và dự trữ khoáng sản như dầu mỏ, khí tự nhiên và các tài sản không tái sinh tương tự.</w:t>
      </w:r>
    </w:p>
    <w:p w:rsidR="001B4717" w:rsidRPr="009E5714" w:rsidRDefault="001B4717" w:rsidP="0048656B">
      <w:pPr>
        <w:pBdr>
          <w:bottom w:val="single" w:sz="6" w:space="1" w:color="auto"/>
        </w:pBdr>
        <w:spacing w:before="200" w:after="120" w:line="240" w:lineRule="auto"/>
        <w:ind w:right="14"/>
        <w:jc w:val="both"/>
        <w:rPr>
          <w:rFonts w:ascii="Arial" w:hAnsi="Arial" w:cs="Arial"/>
          <w:b/>
          <w:sz w:val="28"/>
          <w:szCs w:val="28"/>
        </w:rPr>
      </w:pPr>
      <w:r w:rsidRPr="009E5714">
        <w:rPr>
          <w:rFonts w:ascii="Arial" w:hAnsi="Arial" w:cs="Arial"/>
          <w:b/>
          <w:sz w:val="28"/>
          <w:szCs w:val="28"/>
        </w:rPr>
        <w:t>Định nghĩa</w:t>
      </w:r>
    </w:p>
    <w:p w:rsidR="00B072A2" w:rsidRDefault="001B4717" w:rsidP="0048656B">
      <w:pPr>
        <w:tabs>
          <w:tab w:val="left" w:pos="720"/>
        </w:tabs>
        <w:spacing w:after="120" w:line="240" w:lineRule="auto"/>
        <w:ind w:left="720" w:right="14" w:hanging="720"/>
        <w:jc w:val="both"/>
        <w:rPr>
          <w:rFonts w:ascii="Times New Roman" w:hAnsi="Times New Roman" w:cs="Times New Roman"/>
          <w:b/>
          <w:sz w:val="24"/>
          <w:szCs w:val="24"/>
        </w:rPr>
      </w:pPr>
      <w:r w:rsidRPr="001B4717">
        <w:rPr>
          <w:rFonts w:ascii="Times New Roman" w:hAnsi="Times New Roman" w:cs="Times New Roman"/>
          <w:b/>
          <w:sz w:val="24"/>
          <w:szCs w:val="24"/>
        </w:rPr>
        <w:t>5</w:t>
      </w:r>
      <w:r w:rsidRPr="001B4717">
        <w:rPr>
          <w:rFonts w:ascii="Times New Roman" w:hAnsi="Times New Roman" w:cs="Times New Roman"/>
          <w:b/>
          <w:sz w:val="24"/>
          <w:szCs w:val="24"/>
        </w:rPr>
        <w:tab/>
      </w:r>
      <w:r>
        <w:rPr>
          <w:rFonts w:ascii="Times New Roman" w:hAnsi="Times New Roman" w:cs="Times New Roman"/>
          <w:b/>
          <w:sz w:val="24"/>
          <w:szCs w:val="24"/>
        </w:rPr>
        <w:t xml:space="preserve">Các </w:t>
      </w:r>
      <w:r w:rsidR="007E6E4C">
        <w:rPr>
          <w:rFonts w:ascii="Times New Roman" w:hAnsi="Times New Roman" w:cs="Times New Roman"/>
          <w:b/>
          <w:sz w:val="24"/>
          <w:szCs w:val="24"/>
        </w:rPr>
        <w:t>thuật ngữ</w:t>
      </w:r>
      <w:r>
        <w:rPr>
          <w:rFonts w:ascii="Times New Roman" w:hAnsi="Times New Roman" w:cs="Times New Roman"/>
          <w:b/>
          <w:sz w:val="24"/>
          <w:szCs w:val="24"/>
        </w:rPr>
        <w:t xml:space="preserve"> sau đây được sử dụng trong Chuẩn mực với các ý nghĩa như sau:</w:t>
      </w:r>
    </w:p>
    <w:p w:rsidR="001B4717" w:rsidRDefault="001B4717" w:rsidP="0048656B">
      <w:pPr>
        <w:tabs>
          <w:tab w:val="left" w:pos="720"/>
        </w:tabs>
        <w:spacing w:after="120" w:line="240" w:lineRule="auto"/>
        <w:ind w:left="720" w:right="14" w:hanging="720"/>
        <w:jc w:val="both"/>
        <w:rPr>
          <w:rFonts w:ascii="Times New Roman" w:hAnsi="Times New Roman" w:cs="Times New Roman"/>
          <w:b/>
          <w:sz w:val="24"/>
          <w:szCs w:val="24"/>
        </w:rPr>
      </w:pPr>
      <w:r>
        <w:rPr>
          <w:rFonts w:ascii="Times New Roman" w:hAnsi="Times New Roman" w:cs="Times New Roman"/>
          <w:b/>
          <w:sz w:val="24"/>
          <w:szCs w:val="24"/>
        </w:rPr>
        <w:tab/>
      </w:r>
      <w:r w:rsidR="00AA2158">
        <w:rPr>
          <w:rFonts w:ascii="Times New Roman" w:hAnsi="Times New Roman" w:cs="Times New Roman"/>
          <w:b/>
          <w:i/>
          <w:sz w:val="24"/>
          <w:szCs w:val="24"/>
        </w:rPr>
        <w:t>Giá trị ghi sổ</w:t>
      </w:r>
      <w:r>
        <w:rPr>
          <w:rFonts w:ascii="Times New Roman" w:hAnsi="Times New Roman" w:cs="Times New Roman"/>
          <w:b/>
          <w:i/>
          <w:sz w:val="24"/>
          <w:szCs w:val="24"/>
        </w:rPr>
        <w:t xml:space="preserve"> </w:t>
      </w:r>
      <w:r>
        <w:rPr>
          <w:rFonts w:ascii="Times New Roman" w:hAnsi="Times New Roman" w:cs="Times New Roman"/>
          <w:b/>
          <w:sz w:val="24"/>
          <w:szCs w:val="24"/>
        </w:rPr>
        <w:t xml:space="preserve">là giá trị mà tài sản được ghi nhận trong </w:t>
      </w:r>
      <w:r w:rsidR="007E6E4C">
        <w:rPr>
          <w:rFonts w:ascii="Times New Roman" w:hAnsi="Times New Roman" w:cs="Times New Roman"/>
          <w:b/>
          <w:sz w:val="24"/>
          <w:szCs w:val="24"/>
        </w:rPr>
        <w:t>báo cáo tình hình tài chính</w:t>
      </w:r>
      <w:r>
        <w:rPr>
          <w:rFonts w:ascii="Times New Roman" w:hAnsi="Times New Roman" w:cs="Times New Roman"/>
          <w:b/>
          <w:sz w:val="24"/>
          <w:szCs w:val="24"/>
        </w:rPr>
        <w:t>.</w:t>
      </w:r>
    </w:p>
    <w:p w:rsidR="001B4717" w:rsidRDefault="001B4717" w:rsidP="0048656B">
      <w:pPr>
        <w:tabs>
          <w:tab w:val="left" w:pos="720"/>
        </w:tabs>
        <w:spacing w:after="120" w:line="240" w:lineRule="auto"/>
        <w:ind w:left="720" w:right="14" w:hanging="720"/>
        <w:jc w:val="both"/>
        <w:rPr>
          <w:rFonts w:ascii="Times New Roman" w:hAnsi="Times New Roman" w:cs="Times New Roman"/>
          <w:b/>
          <w:i/>
          <w:sz w:val="24"/>
          <w:szCs w:val="24"/>
        </w:rPr>
      </w:pPr>
      <w:r>
        <w:rPr>
          <w:rFonts w:ascii="Times New Roman" w:hAnsi="Times New Roman" w:cs="Times New Roman"/>
          <w:b/>
          <w:i/>
          <w:sz w:val="24"/>
          <w:szCs w:val="24"/>
        </w:rPr>
        <w:tab/>
        <w:t xml:space="preserve">Chi phí </w:t>
      </w:r>
      <w:r>
        <w:rPr>
          <w:rFonts w:ascii="Times New Roman" w:hAnsi="Times New Roman" w:cs="Times New Roman"/>
          <w:b/>
          <w:sz w:val="24"/>
          <w:szCs w:val="24"/>
        </w:rPr>
        <w:t xml:space="preserve">là giá trị bằng tiền hoặc các khoản tương đương tiền đã trả hoặc giá trị hợp lý của khoản phải trả để sở hữu một tài sản tại thời điểm mua hoặc thời điểm </w:t>
      </w:r>
      <w:r w:rsidR="00DA7EED">
        <w:rPr>
          <w:rFonts w:ascii="Times New Roman" w:hAnsi="Times New Roman" w:cs="Times New Roman"/>
          <w:b/>
          <w:sz w:val="24"/>
          <w:szCs w:val="24"/>
        </w:rPr>
        <w:t>thi công</w:t>
      </w:r>
      <w:r>
        <w:rPr>
          <w:rFonts w:ascii="Times New Roman" w:hAnsi="Times New Roman" w:cs="Times New Roman"/>
          <w:b/>
          <w:sz w:val="24"/>
          <w:szCs w:val="24"/>
        </w:rPr>
        <w:t xml:space="preserve"> hoặc, khi phù hợp, là giá trị được phân bổ cho tài sản khi ghi nhận ban đầu theo yêu cầu cụ thể tại các IFRS khác, ví dụ như IFRS 2 </w:t>
      </w:r>
      <w:r w:rsidRPr="001B4717">
        <w:rPr>
          <w:rFonts w:ascii="Times New Roman" w:hAnsi="Times New Roman" w:cs="Times New Roman"/>
          <w:b/>
          <w:i/>
          <w:sz w:val="24"/>
          <w:szCs w:val="24"/>
        </w:rPr>
        <w:t>Chi trả bằng cổ phiếu</w:t>
      </w:r>
      <w:r>
        <w:rPr>
          <w:rFonts w:ascii="Times New Roman" w:hAnsi="Times New Roman" w:cs="Times New Roman"/>
          <w:b/>
          <w:i/>
          <w:sz w:val="24"/>
          <w:szCs w:val="24"/>
        </w:rPr>
        <w:t>.</w:t>
      </w:r>
    </w:p>
    <w:p w:rsidR="001B4717" w:rsidRDefault="001B4717" w:rsidP="0048656B">
      <w:pPr>
        <w:tabs>
          <w:tab w:val="left" w:pos="720"/>
        </w:tabs>
        <w:spacing w:after="120" w:line="240" w:lineRule="auto"/>
        <w:ind w:left="720" w:right="14" w:hanging="720"/>
        <w:jc w:val="both"/>
        <w:rPr>
          <w:rFonts w:ascii="Times New Roman" w:hAnsi="Times New Roman" w:cs="Times New Roman"/>
          <w:b/>
          <w:sz w:val="24"/>
          <w:szCs w:val="24"/>
        </w:rPr>
      </w:pPr>
      <w:r>
        <w:rPr>
          <w:rFonts w:ascii="Times New Roman" w:hAnsi="Times New Roman" w:cs="Times New Roman"/>
          <w:b/>
          <w:i/>
          <w:sz w:val="24"/>
          <w:szCs w:val="24"/>
        </w:rPr>
        <w:tab/>
        <w:t xml:space="preserve">Giá trị hợp lý </w:t>
      </w:r>
      <w:r>
        <w:rPr>
          <w:rFonts w:ascii="Times New Roman" w:hAnsi="Times New Roman" w:cs="Times New Roman"/>
          <w:b/>
          <w:sz w:val="24"/>
          <w:szCs w:val="24"/>
        </w:rPr>
        <w:t xml:space="preserve">là giá trị có thể nhận được </w:t>
      </w:r>
      <w:r w:rsidR="00D12D3F">
        <w:rPr>
          <w:rFonts w:ascii="Times New Roman" w:hAnsi="Times New Roman" w:cs="Times New Roman"/>
          <w:b/>
          <w:sz w:val="24"/>
          <w:szCs w:val="24"/>
        </w:rPr>
        <w:t xml:space="preserve">khi bán một tài sản hoặc phải chi trả khi chuyển giao một khoản nợ trong một giao dịch </w:t>
      </w:r>
      <w:r w:rsidR="00A82F12">
        <w:rPr>
          <w:rFonts w:ascii="Times New Roman" w:hAnsi="Times New Roman" w:cs="Times New Roman"/>
          <w:b/>
          <w:sz w:val="24"/>
          <w:szCs w:val="24"/>
        </w:rPr>
        <w:t xml:space="preserve">có tổ chức </w:t>
      </w:r>
      <w:r w:rsidR="00D12D3F">
        <w:rPr>
          <w:rFonts w:ascii="Times New Roman" w:hAnsi="Times New Roman" w:cs="Times New Roman"/>
          <w:b/>
          <w:sz w:val="24"/>
          <w:szCs w:val="24"/>
        </w:rPr>
        <w:t xml:space="preserve">giữa các bên tham gia thị trường tại ngày </w:t>
      </w:r>
      <w:r w:rsidR="0032714F">
        <w:rPr>
          <w:rFonts w:ascii="Times New Roman" w:hAnsi="Times New Roman" w:cs="Times New Roman"/>
          <w:b/>
          <w:sz w:val="24"/>
          <w:szCs w:val="24"/>
        </w:rPr>
        <w:t>định giá</w:t>
      </w:r>
      <w:r w:rsidR="00D12D3F">
        <w:rPr>
          <w:rFonts w:ascii="Times New Roman" w:hAnsi="Times New Roman" w:cs="Times New Roman"/>
          <w:b/>
          <w:sz w:val="24"/>
          <w:szCs w:val="24"/>
        </w:rPr>
        <w:t>.</w:t>
      </w:r>
      <w:r w:rsidR="000C5E41">
        <w:rPr>
          <w:rFonts w:ascii="Times New Roman" w:hAnsi="Times New Roman" w:cs="Times New Roman"/>
          <w:b/>
          <w:sz w:val="24"/>
          <w:szCs w:val="24"/>
        </w:rPr>
        <w:t xml:space="preserve"> (Tham khảo IFRS 13 </w:t>
      </w:r>
      <w:r w:rsidR="000C5E41" w:rsidRPr="000C5E41">
        <w:rPr>
          <w:rFonts w:ascii="Times New Roman" w:hAnsi="Times New Roman" w:cs="Times New Roman"/>
          <w:b/>
          <w:i/>
          <w:sz w:val="24"/>
          <w:szCs w:val="24"/>
        </w:rPr>
        <w:t>Phương pháp xác định giá trị hợp lý</w:t>
      </w:r>
      <w:r w:rsidR="000C5E41">
        <w:rPr>
          <w:rFonts w:ascii="Times New Roman" w:hAnsi="Times New Roman" w:cs="Times New Roman"/>
          <w:b/>
          <w:sz w:val="24"/>
          <w:szCs w:val="24"/>
        </w:rPr>
        <w:t>).</w:t>
      </w:r>
    </w:p>
    <w:p w:rsidR="000C5E41" w:rsidRDefault="000C5E41" w:rsidP="0048656B">
      <w:pPr>
        <w:tabs>
          <w:tab w:val="left" w:pos="720"/>
        </w:tabs>
        <w:spacing w:after="120" w:line="240" w:lineRule="auto"/>
        <w:ind w:left="720" w:right="14" w:hanging="720"/>
        <w:jc w:val="both"/>
        <w:rPr>
          <w:rFonts w:ascii="Times New Roman" w:hAnsi="Times New Roman" w:cs="Times New Roman"/>
          <w:b/>
          <w:sz w:val="24"/>
          <w:szCs w:val="24"/>
        </w:rPr>
      </w:pPr>
      <w:r>
        <w:rPr>
          <w:rFonts w:ascii="Times New Roman" w:hAnsi="Times New Roman" w:cs="Times New Roman"/>
          <w:b/>
          <w:i/>
          <w:sz w:val="24"/>
          <w:szCs w:val="24"/>
        </w:rPr>
        <w:tab/>
        <w:t xml:space="preserve">Bất động sản đầu tư </w:t>
      </w:r>
      <w:r>
        <w:rPr>
          <w:rFonts w:ascii="Times New Roman" w:hAnsi="Times New Roman" w:cs="Times New Roman"/>
          <w:b/>
          <w:sz w:val="24"/>
          <w:szCs w:val="24"/>
        </w:rPr>
        <w:t>là tài sản cố định (đất hoặc nhà cửa – hoặc một phần của nhà cử</w:t>
      </w:r>
      <w:r w:rsidR="00873C5E">
        <w:rPr>
          <w:rFonts w:ascii="Times New Roman" w:hAnsi="Times New Roman" w:cs="Times New Roman"/>
          <w:b/>
          <w:sz w:val="24"/>
          <w:szCs w:val="24"/>
        </w:rPr>
        <w:t>a</w:t>
      </w:r>
      <w:r>
        <w:rPr>
          <w:rFonts w:ascii="Times New Roman" w:hAnsi="Times New Roman" w:cs="Times New Roman"/>
          <w:b/>
          <w:sz w:val="24"/>
          <w:szCs w:val="24"/>
        </w:rPr>
        <w:t xml:space="preserve"> - hoặc cả hai) được nắm giữ (bởi chủ sở hữu hoặc bởi bên đi thuê như là một tài sản được quyền sử dụng) để phát sinh thu nhập từ việc cho thuê hoặc để làm gia tăng vốn hoặc cả hai, mà không phải:</w:t>
      </w:r>
    </w:p>
    <w:p w:rsidR="000C5E41" w:rsidRPr="000C5E41" w:rsidRDefault="000C5E41" w:rsidP="0048656B">
      <w:pPr>
        <w:pStyle w:val="ListParagraph"/>
        <w:numPr>
          <w:ilvl w:val="0"/>
          <w:numId w:val="2"/>
        </w:numPr>
        <w:tabs>
          <w:tab w:val="left" w:pos="1440"/>
        </w:tabs>
        <w:spacing w:after="120" w:line="240" w:lineRule="auto"/>
        <w:ind w:right="14"/>
        <w:jc w:val="both"/>
        <w:rPr>
          <w:rFonts w:ascii="Times New Roman" w:hAnsi="Times New Roman" w:cs="Times New Roman"/>
          <w:b/>
          <w:sz w:val="24"/>
          <w:szCs w:val="24"/>
        </w:rPr>
      </w:pPr>
      <w:r w:rsidRPr="000C5E41">
        <w:rPr>
          <w:rFonts w:ascii="Times New Roman" w:hAnsi="Times New Roman" w:cs="Times New Roman"/>
          <w:b/>
          <w:sz w:val="24"/>
          <w:szCs w:val="24"/>
        </w:rPr>
        <w:t>sử dụng trong quá trình sản xuất hoặc</w:t>
      </w:r>
      <w:r w:rsidR="007C4C0C">
        <w:rPr>
          <w:rFonts w:ascii="Times New Roman" w:hAnsi="Times New Roman" w:cs="Times New Roman"/>
          <w:b/>
          <w:sz w:val="24"/>
          <w:szCs w:val="24"/>
        </w:rPr>
        <w:t xml:space="preserve"> </w:t>
      </w:r>
      <w:r w:rsidRPr="000C5E41">
        <w:rPr>
          <w:rFonts w:ascii="Times New Roman" w:hAnsi="Times New Roman" w:cs="Times New Roman"/>
          <w:b/>
          <w:sz w:val="24"/>
          <w:szCs w:val="24"/>
        </w:rPr>
        <w:t>cung cấp hàng hóa hoặc dịch vụ hoặc cho mục đích hành chính; hoặc</w:t>
      </w:r>
    </w:p>
    <w:p w:rsidR="000C5E41" w:rsidRDefault="000C5E41" w:rsidP="0048656B">
      <w:pPr>
        <w:pStyle w:val="ListParagraph"/>
        <w:numPr>
          <w:ilvl w:val="0"/>
          <w:numId w:val="2"/>
        </w:numPr>
        <w:tabs>
          <w:tab w:val="left" w:pos="1440"/>
        </w:tabs>
        <w:spacing w:after="120" w:line="24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để bán trong </w:t>
      </w:r>
      <w:r w:rsidR="001F6EF4">
        <w:rPr>
          <w:rFonts w:ascii="Times New Roman" w:hAnsi="Times New Roman" w:cs="Times New Roman"/>
          <w:b/>
          <w:sz w:val="24"/>
          <w:szCs w:val="24"/>
        </w:rPr>
        <w:t>chu trình</w:t>
      </w:r>
      <w:r>
        <w:rPr>
          <w:rFonts w:ascii="Times New Roman" w:hAnsi="Times New Roman" w:cs="Times New Roman"/>
          <w:b/>
          <w:sz w:val="24"/>
          <w:szCs w:val="24"/>
        </w:rPr>
        <w:t xml:space="preserve"> sản xuất kinh doanh </w:t>
      </w:r>
      <w:r w:rsidR="00D00FCB">
        <w:rPr>
          <w:rFonts w:ascii="Times New Roman" w:hAnsi="Times New Roman" w:cs="Times New Roman"/>
          <w:b/>
          <w:sz w:val="24"/>
          <w:szCs w:val="24"/>
        </w:rPr>
        <w:t>thông</w:t>
      </w:r>
      <w:r>
        <w:rPr>
          <w:rFonts w:ascii="Times New Roman" w:hAnsi="Times New Roman" w:cs="Times New Roman"/>
          <w:b/>
          <w:sz w:val="24"/>
          <w:szCs w:val="24"/>
        </w:rPr>
        <w:t xml:space="preserve"> thường.</w:t>
      </w:r>
    </w:p>
    <w:p w:rsidR="000C5E41" w:rsidRDefault="006548DA" w:rsidP="0048656B">
      <w:pPr>
        <w:tabs>
          <w:tab w:val="left" w:pos="720"/>
        </w:tabs>
        <w:spacing w:after="120" w:line="240" w:lineRule="auto"/>
        <w:ind w:left="720" w:right="14" w:hanging="720"/>
        <w:jc w:val="both"/>
        <w:rPr>
          <w:rFonts w:ascii="Times New Roman" w:hAnsi="Times New Roman" w:cs="Times New Roman"/>
          <w:b/>
          <w:sz w:val="24"/>
          <w:szCs w:val="24"/>
        </w:rPr>
      </w:pPr>
      <w:r>
        <w:rPr>
          <w:rFonts w:ascii="Times New Roman" w:hAnsi="Times New Roman" w:cs="Times New Roman"/>
          <w:b/>
          <w:i/>
          <w:sz w:val="24"/>
          <w:szCs w:val="24"/>
        </w:rPr>
        <w:tab/>
        <w:t xml:space="preserve">Tài sản được chủ sở hữu sử dụng </w:t>
      </w:r>
      <w:r>
        <w:rPr>
          <w:rFonts w:ascii="Times New Roman" w:hAnsi="Times New Roman" w:cs="Times New Roman"/>
          <w:b/>
          <w:sz w:val="24"/>
          <w:szCs w:val="24"/>
        </w:rPr>
        <w:t>là tài sản được nắm giữ (bởi chủ sở hữu hoặc bở</w:t>
      </w:r>
      <w:r w:rsidR="000E7417">
        <w:rPr>
          <w:rFonts w:ascii="Times New Roman" w:hAnsi="Times New Roman" w:cs="Times New Roman"/>
          <w:b/>
          <w:sz w:val="24"/>
          <w:szCs w:val="24"/>
        </w:rPr>
        <w:t xml:space="preserve">i bên đi thuê như </w:t>
      </w:r>
      <w:r>
        <w:rPr>
          <w:rFonts w:ascii="Times New Roman" w:hAnsi="Times New Roman" w:cs="Times New Roman"/>
          <w:b/>
          <w:sz w:val="24"/>
          <w:szCs w:val="24"/>
        </w:rPr>
        <w:t xml:space="preserve">một tài sản được quyền sử dụng) để sử dụng </w:t>
      </w:r>
      <w:r w:rsidRPr="000C5E41">
        <w:rPr>
          <w:rFonts w:ascii="Times New Roman" w:hAnsi="Times New Roman" w:cs="Times New Roman"/>
          <w:b/>
          <w:sz w:val="24"/>
          <w:szCs w:val="24"/>
        </w:rPr>
        <w:t>trong quá trình sản xuất hoặc</w:t>
      </w:r>
      <w:r w:rsidR="001F6EF4">
        <w:rPr>
          <w:rFonts w:ascii="Times New Roman" w:hAnsi="Times New Roman" w:cs="Times New Roman"/>
          <w:b/>
          <w:sz w:val="24"/>
          <w:szCs w:val="24"/>
        </w:rPr>
        <w:t xml:space="preserve"> </w:t>
      </w:r>
      <w:r w:rsidRPr="000C5E41">
        <w:rPr>
          <w:rFonts w:ascii="Times New Roman" w:hAnsi="Times New Roman" w:cs="Times New Roman"/>
          <w:b/>
          <w:sz w:val="24"/>
          <w:szCs w:val="24"/>
        </w:rPr>
        <w:t>cung cấp hàng hóa hoặc dịch vụ hoặc cho mục đích hành chính</w:t>
      </w:r>
      <w:r w:rsidR="000E7417">
        <w:rPr>
          <w:rFonts w:ascii="Times New Roman" w:hAnsi="Times New Roman" w:cs="Times New Roman"/>
          <w:b/>
          <w:sz w:val="24"/>
          <w:szCs w:val="24"/>
        </w:rPr>
        <w:t>.</w:t>
      </w:r>
    </w:p>
    <w:p w:rsidR="009E5714" w:rsidRDefault="009E5714" w:rsidP="0048656B">
      <w:pPr>
        <w:pBdr>
          <w:bottom w:val="single" w:sz="6" w:space="1" w:color="auto"/>
        </w:pBdr>
        <w:spacing w:after="0" w:line="240" w:lineRule="auto"/>
        <w:ind w:right="18"/>
        <w:jc w:val="both"/>
        <w:rPr>
          <w:rFonts w:ascii="Arial" w:hAnsi="Arial" w:cs="Arial"/>
          <w:b/>
          <w:sz w:val="28"/>
          <w:szCs w:val="24"/>
        </w:rPr>
      </w:pPr>
      <w:r w:rsidRPr="009E5714">
        <w:rPr>
          <w:rFonts w:ascii="Arial" w:hAnsi="Arial" w:cs="Arial"/>
          <w:b/>
          <w:sz w:val="28"/>
          <w:szCs w:val="24"/>
        </w:rPr>
        <w:lastRenderedPageBreak/>
        <w:t xml:space="preserve">Phân loại tài sản cố định </w:t>
      </w:r>
      <w:r w:rsidR="000E7417">
        <w:rPr>
          <w:rFonts w:ascii="Arial" w:hAnsi="Arial" w:cs="Arial"/>
          <w:b/>
          <w:sz w:val="28"/>
          <w:szCs w:val="24"/>
        </w:rPr>
        <w:t>thành</w:t>
      </w:r>
      <w:r w:rsidRPr="009E5714">
        <w:rPr>
          <w:rFonts w:ascii="Arial" w:hAnsi="Arial" w:cs="Arial"/>
          <w:b/>
          <w:sz w:val="28"/>
          <w:szCs w:val="24"/>
        </w:rPr>
        <w:t xml:space="preserve"> bất động sản đầu tư hay </w:t>
      </w:r>
      <w:r w:rsidR="000E7417">
        <w:rPr>
          <w:rFonts w:ascii="Arial" w:hAnsi="Arial" w:cs="Arial"/>
          <w:b/>
          <w:sz w:val="28"/>
          <w:szCs w:val="24"/>
        </w:rPr>
        <w:t>bất động sản chủ sở hữu sử dụng</w:t>
      </w:r>
    </w:p>
    <w:p w:rsidR="009E5714" w:rsidRDefault="009E5714" w:rsidP="0048656B">
      <w:pPr>
        <w:tabs>
          <w:tab w:val="left" w:pos="720"/>
        </w:tabs>
        <w:spacing w:before="200" w:after="120" w:line="240" w:lineRule="auto"/>
        <w:ind w:left="720" w:right="14" w:hanging="720"/>
        <w:jc w:val="both"/>
        <w:rPr>
          <w:rFonts w:ascii="Times New Roman" w:hAnsi="Times New Roman" w:cs="Times New Roman"/>
          <w:sz w:val="24"/>
          <w:szCs w:val="24"/>
        </w:rPr>
      </w:pPr>
      <w:r w:rsidRPr="009E5714">
        <w:rPr>
          <w:rFonts w:ascii="Times New Roman" w:hAnsi="Times New Roman" w:cs="Times New Roman"/>
          <w:sz w:val="24"/>
          <w:szCs w:val="24"/>
        </w:rPr>
        <w:t>6</w:t>
      </w:r>
      <w:r w:rsidRPr="009E5714">
        <w:rPr>
          <w:rFonts w:ascii="Times New Roman" w:hAnsi="Times New Roman" w:cs="Times New Roman"/>
          <w:sz w:val="24"/>
          <w:szCs w:val="24"/>
        </w:rPr>
        <w:tab/>
      </w:r>
      <w:r>
        <w:rPr>
          <w:rFonts w:ascii="Times New Roman" w:hAnsi="Times New Roman" w:cs="Times New Roman"/>
          <w:sz w:val="24"/>
          <w:szCs w:val="24"/>
        </w:rPr>
        <w:t>[Đã xóa]</w:t>
      </w:r>
    </w:p>
    <w:p w:rsidR="009E5714" w:rsidRDefault="009E5714"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Bất động </w:t>
      </w:r>
      <w:r w:rsidR="007C4C0C">
        <w:rPr>
          <w:rFonts w:ascii="Times New Roman" w:hAnsi="Times New Roman" w:cs="Times New Roman"/>
          <w:sz w:val="24"/>
          <w:szCs w:val="24"/>
        </w:rPr>
        <w:t>sản đầu tư được nắm giữ để</w:t>
      </w:r>
      <w:r w:rsidR="00C60656" w:rsidRPr="00C60656">
        <w:rPr>
          <w:rFonts w:ascii="Times New Roman" w:hAnsi="Times New Roman" w:cs="Times New Roman"/>
          <w:sz w:val="24"/>
          <w:szCs w:val="24"/>
        </w:rPr>
        <w:t xml:space="preserve"> </w:t>
      </w:r>
      <w:r w:rsidR="00873C5E">
        <w:rPr>
          <w:rFonts w:ascii="Times New Roman" w:hAnsi="Times New Roman" w:cs="Times New Roman"/>
          <w:sz w:val="24"/>
          <w:szCs w:val="24"/>
        </w:rPr>
        <w:t xml:space="preserve">tìm kiếm </w:t>
      </w:r>
      <w:r w:rsidR="00C60656" w:rsidRPr="00C60656">
        <w:rPr>
          <w:rFonts w:ascii="Times New Roman" w:hAnsi="Times New Roman" w:cs="Times New Roman"/>
          <w:sz w:val="24"/>
          <w:szCs w:val="24"/>
        </w:rPr>
        <w:t>thu nhập từ việc cho thuê hoặc để làm gia tăng vốn hoặc cả hai</w:t>
      </w:r>
      <w:r w:rsidR="00C60656">
        <w:rPr>
          <w:rFonts w:ascii="Times New Roman" w:hAnsi="Times New Roman" w:cs="Times New Roman"/>
          <w:sz w:val="24"/>
          <w:szCs w:val="24"/>
        </w:rPr>
        <w:t xml:space="preserve">. Vì vây, phần lớn dòng tiền </w:t>
      </w:r>
      <w:r w:rsidR="00873C5E">
        <w:rPr>
          <w:rFonts w:ascii="Times New Roman" w:hAnsi="Times New Roman" w:cs="Times New Roman"/>
          <w:sz w:val="24"/>
          <w:szCs w:val="24"/>
        </w:rPr>
        <w:t>tạo ra</w:t>
      </w:r>
      <w:r w:rsidR="00C60656">
        <w:rPr>
          <w:rFonts w:ascii="Times New Roman" w:hAnsi="Times New Roman" w:cs="Times New Roman"/>
          <w:sz w:val="24"/>
          <w:szCs w:val="24"/>
        </w:rPr>
        <w:t xml:space="preserve"> từ bất động sản đầu tư sẽ không phụ thuộc vào các tài sản khác mà đơn vị nắm giữ. </w:t>
      </w:r>
      <w:r w:rsidR="00873C5E">
        <w:rPr>
          <w:rFonts w:ascii="Times New Roman" w:hAnsi="Times New Roman" w:cs="Times New Roman"/>
          <w:sz w:val="24"/>
          <w:szCs w:val="24"/>
        </w:rPr>
        <w:t xml:space="preserve">Điều này phân biệt bất động sản đầu tư với </w:t>
      </w:r>
      <w:r w:rsidR="00C71012">
        <w:rPr>
          <w:rFonts w:ascii="Times New Roman" w:hAnsi="Times New Roman" w:cs="Times New Roman"/>
          <w:sz w:val="24"/>
          <w:szCs w:val="24"/>
        </w:rPr>
        <w:t xml:space="preserve">bất động sản chủ sở hữu sử dụng. </w:t>
      </w:r>
      <w:r w:rsidR="00F84526">
        <w:rPr>
          <w:rFonts w:ascii="Times New Roman" w:hAnsi="Times New Roman" w:cs="Times New Roman"/>
          <w:sz w:val="24"/>
          <w:szCs w:val="24"/>
        </w:rPr>
        <w:t xml:space="preserve">Việc sản xuất hoặc cung cấp hàng hóa hoặc dịch vụ (hoặc sử dụng </w:t>
      </w:r>
      <w:r w:rsidR="005C78D1">
        <w:rPr>
          <w:rFonts w:ascii="Times New Roman" w:hAnsi="Times New Roman" w:cs="Times New Roman"/>
          <w:sz w:val="24"/>
          <w:szCs w:val="24"/>
        </w:rPr>
        <w:t>bất động sản</w:t>
      </w:r>
      <w:r w:rsidR="00F84526">
        <w:rPr>
          <w:rFonts w:ascii="Times New Roman" w:hAnsi="Times New Roman" w:cs="Times New Roman"/>
          <w:sz w:val="24"/>
          <w:szCs w:val="24"/>
        </w:rPr>
        <w:t xml:space="preserve"> vào mục đích hành chính) phát sinh dòng tiền mà không chỉ phân bổ cho </w:t>
      </w:r>
      <w:r w:rsidR="005C78D1">
        <w:rPr>
          <w:rFonts w:ascii="Times New Roman" w:hAnsi="Times New Roman" w:cs="Times New Roman"/>
          <w:sz w:val="24"/>
          <w:szCs w:val="24"/>
        </w:rPr>
        <w:t>bất động sản đó</w:t>
      </w:r>
      <w:r w:rsidR="00F84526">
        <w:rPr>
          <w:rFonts w:ascii="Times New Roman" w:hAnsi="Times New Roman" w:cs="Times New Roman"/>
          <w:sz w:val="24"/>
          <w:szCs w:val="24"/>
        </w:rPr>
        <w:t>, mà còn phân bổ cho các tài sản khác được sử dụng trong quá trình sản xuất kinh doanh. IAS 16 áp dụng</w:t>
      </w:r>
      <w:r w:rsidR="00C71012">
        <w:rPr>
          <w:rFonts w:ascii="Times New Roman" w:hAnsi="Times New Roman" w:cs="Times New Roman"/>
          <w:sz w:val="24"/>
          <w:szCs w:val="24"/>
        </w:rPr>
        <w:t xml:space="preserve"> đối với</w:t>
      </w:r>
      <w:r w:rsidR="00F84526">
        <w:rPr>
          <w:rFonts w:ascii="Times New Roman" w:hAnsi="Times New Roman" w:cs="Times New Roman"/>
          <w:sz w:val="24"/>
          <w:szCs w:val="24"/>
        </w:rPr>
        <w:t xml:space="preserve"> các tài sản được chủ sở hữu sử dụng </w:t>
      </w:r>
      <w:r w:rsidR="000D1E33">
        <w:rPr>
          <w:rFonts w:ascii="Times New Roman" w:hAnsi="Times New Roman" w:cs="Times New Roman"/>
          <w:sz w:val="24"/>
          <w:szCs w:val="24"/>
        </w:rPr>
        <w:t>mà</w:t>
      </w:r>
      <w:r w:rsidR="00F84526">
        <w:rPr>
          <w:rFonts w:ascii="Times New Roman" w:hAnsi="Times New Roman" w:cs="Times New Roman"/>
          <w:sz w:val="24"/>
          <w:szCs w:val="24"/>
        </w:rPr>
        <w:t xml:space="preserve"> đơn vị </w:t>
      </w:r>
      <w:r w:rsidR="000D1E33">
        <w:rPr>
          <w:rFonts w:ascii="Times New Roman" w:hAnsi="Times New Roman" w:cs="Times New Roman"/>
          <w:sz w:val="24"/>
          <w:szCs w:val="24"/>
        </w:rPr>
        <w:t xml:space="preserve">đang </w:t>
      </w:r>
      <w:r w:rsidR="00F84526">
        <w:rPr>
          <w:rFonts w:ascii="Times New Roman" w:hAnsi="Times New Roman" w:cs="Times New Roman"/>
          <w:sz w:val="24"/>
          <w:szCs w:val="24"/>
        </w:rPr>
        <w:t xml:space="preserve">nắm giữ và IFRS 16 </w:t>
      </w:r>
      <w:r w:rsidR="00F84526" w:rsidRPr="00F84526">
        <w:rPr>
          <w:rFonts w:ascii="Times New Roman" w:hAnsi="Times New Roman" w:cs="Times New Roman"/>
          <w:i/>
          <w:sz w:val="24"/>
          <w:szCs w:val="24"/>
        </w:rPr>
        <w:t>Cho thuê</w:t>
      </w:r>
      <w:r w:rsidR="00F84526">
        <w:rPr>
          <w:rFonts w:ascii="Times New Roman" w:hAnsi="Times New Roman" w:cs="Times New Roman"/>
          <w:sz w:val="24"/>
          <w:szCs w:val="24"/>
        </w:rPr>
        <w:t xml:space="preserve"> áp dụng cho các </w:t>
      </w:r>
      <w:r w:rsidR="005C78D1">
        <w:rPr>
          <w:rFonts w:ascii="Times New Roman" w:hAnsi="Times New Roman" w:cs="Times New Roman"/>
          <w:sz w:val="24"/>
          <w:szCs w:val="24"/>
        </w:rPr>
        <w:t>bất động sản chủ sở hữu sử dụng</w:t>
      </w:r>
      <w:r w:rsidR="00F84526">
        <w:rPr>
          <w:rFonts w:ascii="Times New Roman" w:hAnsi="Times New Roman" w:cs="Times New Roman"/>
          <w:sz w:val="24"/>
          <w:szCs w:val="24"/>
        </w:rPr>
        <w:t xml:space="preserve"> được nắm giữ bởi bên đi thuê như tài sản có quyền sử dụng.</w:t>
      </w:r>
    </w:p>
    <w:p w:rsidR="00F84526" w:rsidRDefault="00F84526"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545E7C">
        <w:rPr>
          <w:rFonts w:ascii="Times New Roman" w:hAnsi="Times New Roman" w:cs="Times New Roman"/>
          <w:sz w:val="24"/>
          <w:szCs w:val="24"/>
        </w:rPr>
        <w:t>Các ví dụ dưới đây sẽ làm rõ hơn bất động sản đầu tư:</w:t>
      </w:r>
    </w:p>
    <w:p w:rsidR="00545E7C" w:rsidRDefault="00545E7C"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đất đai được </w:t>
      </w:r>
      <w:r w:rsidR="00303321">
        <w:rPr>
          <w:rFonts w:ascii="Times New Roman" w:hAnsi="Times New Roman" w:cs="Times New Roman"/>
          <w:sz w:val="24"/>
          <w:szCs w:val="24"/>
        </w:rPr>
        <w:t>nắm</w:t>
      </w:r>
      <w:r>
        <w:rPr>
          <w:rFonts w:ascii="Times New Roman" w:hAnsi="Times New Roman" w:cs="Times New Roman"/>
          <w:sz w:val="24"/>
          <w:szCs w:val="24"/>
        </w:rPr>
        <w:t xml:space="preserve"> </w:t>
      </w:r>
      <w:r w:rsidR="00303321">
        <w:rPr>
          <w:rFonts w:ascii="Times New Roman" w:hAnsi="Times New Roman" w:cs="Times New Roman"/>
          <w:sz w:val="24"/>
          <w:szCs w:val="24"/>
        </w:rPr>
        <w:t xml:space="preserve">giữ </w:t>
      </w:r>
      <w:r>
        <w:rPr>
          <w:rFonts w:ascii="Times New Roman" w:hAnsi="Times New Roman" w:cs="Times New Roman"/>
          <w:sz w:val="24"/>
          <w:szCs w:val="24"/>
        </w:rPr>
        <w:t>để gia tăng vốn</w:t>
      </w:r>
      <w:r w:rsidR="00C46C76">
        <w:rPr>
          <w:rFonts w:ascii="Times New Roman" w:hAnsi="Times New Roman" w:cs="Times New Roman"/>
          <w:sz w:val="24"/>
          <w:szCs w:val="24"/>
        </w:rPr>
        <w:t xml:space="preserve"> trong</w:t>
      </w:r>
      <w:r>
        <w:rPr>
          <w:rFonts w:ascii="Times New Roman" w:hAnsi="Times New Roman" w:cs="Times New Roman"/>
          <w:sz w:val="24"/>
          <w:szCs w:val="24"/>
        </w:rPr>
        <w:t xml:space="preserve"> dài hạn mà không phải để bán trong ngắn hạn trong một </w:t>
      </w:r>
      <w:r w:rsidR="00C46C76">
        <w:rPr>
          <w:rFonts w:ascii="Times New Roman" w:hAnsi="Times New Roman" w:cs="Times New Roman"/>
          <w:sz w:val="24"/>
          <w:szCs w:val="24"/>
        </w:rPr>
        <w:t>kỳ</w:t>
      </w:r>
      <w:r>
        <w:rPr>
          <w:rFonts w:ascii="Times New Roman" w:hAnsi="Times New Roman" w:cs="Times New Roman"/>
          <w:sz w:val="24"/>
          <w:szCs w:val="24"/>
        </w:rPr>
        <w:t xml:space="preserve"> kinh doanh </w:t>
      </w:r>
      <w:r w:rsidR="00D00FCB">
        <w:rPr>
          <w:rFonts w:ascii="Times New Roman" w:hAnsi="Times New Roman" w:cs="Times New Roman"/>
          <w:sz w:val="24"/>
          <w:szCs w:val="24"/>
        </w:rPr>
        <w:t>thông</w:t>
      </w:r>
      <w:r>
        <w:rPr>
          <w:rFonts w:ascii="Times New Roman" w:hAnsi="Times New Roman" w:cs="Times New Roman"/>
          <w:sz w:val="24"/>
          <w:szCs w:val="24"/>
        </w:rPr>
        <w:t xml:space="preserve"> thường.</w:t>
      </w:r>
    </w:p>
    <w:p w:rsidR="0025614A" w:rsidRDefault="0025614A"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00FCB">
        <w:rPr>
          <w:rFonts w:ascii="Times New Roman" w:hAnsi="Times New Roman" w:cs="Times New Roman"/>
          <w:sz w:val="24"/>
          <w:szCs w:val="24"/>
        </w:rPr>
        <w:t xml:space="preserve">đất đai </w:t>
      </w:r>
      <w:r w:rsidR="000D1E33">
        <w:rPr>
          <w:rFonts w:ascii="Times New Roman" w:hAnsi="Times New Roman" w:cs="Times New Roman"/>
          <w:sz w:val="24"/>
          <w:szCs w:val="24"/>
        </w:rPr>
        <w:t>thuộc sở hữu</w:t>
      </w:r>
      <w:r w:rsidR="00D00FCB">
        <w:rPr>
          <w:rFonts w:ascii="Times New Roman" w:hAnsi="Times New Roman" w:cs="Times New Roman"/>
          <w:sz w:val="24"/>
          <w:szCs w:val="24"/>
        </w:rPr>
        <w:t xml:space="preserve"> mà </w:t>
      </w:r>
      <w:r w:rsidR="00C46C76">
        <w:rPr>
          <w:rFonts w:ascii="Times New Roman" w:hAnsi="Times New Roman" w:cs="Times New Roman"/>
          <w:sz w:val="24"/>
          <w:szCs w:val="24"/>
        </w:rPr>
        <w:t xml:space="preserve">hiện </w:t>
      </w:r>
      <w:r w:rsidR="00D00FCB">
        <w:rPr>
          <w:rFonts w:ascii="Times New Roman" w:hAnsi="Times New Roman" w:cs="Times New Roman"/>
          <w:sz w:val="24"/>
          <w:szCs w:val="24"/>
        </w:rPr>
        <w:t xml:space="preserve">không có mục đích sử dụng cụ thể trong tương lại. (Nếu đơn vị chưa thể xác định phần đất này sẽ là </w:t>
      </w:r>
      <w:r w:rsidR="00C46C76">
        <w:rPr>
          <w:rFonts w:ascii="Times New Roman" w:hAnsi="Times New Roman" w:cs="Times New Roman"/>
          <w:sz w:val="24"/>
          <w:szCs w:val="24"/>
        </w:rPr>
        <w:t>bất động sản chủ sở hữu sử dụng</w:t>
      </w:r>
      <w:r w:rsidR="00D00FCB">
        <w:rPr>
          <w:rFonts w:ascii="Times New Roman" w:hAnsi="Times New Roman" w:cs="Times New Roman"/>
          <w:sz w:val="24"/>
          <w:szCs w:val="24"/>
        </w:rPr>
        <w:t xml:space="preserve"> hay để bán trong ngắn hạn trong </w:t>
      </w:r>
      <w:r w:rsidR="00C46C76">
        <w:rPr>
          <w:rFonts w:ascii="Times New Roman" w:hAnsi="Times New Roman" w:cs="Times New Roman"/>
          <w:sz w:val="24"/>
          <w:szCs w:val="24"/>
        </w:rPr>
        <w:t>kỳ</w:t>
      </w:r>
      <w:r w:rsidR="00D00FCB">
        <w:rPr>
          <w:rFonts w:ascii="Times New Roman" w:hAnsi="Times New Roman" w:cs="Times New Roman"/>
          <w:sz w:val="24"/>
          <w:szCs w:val="24"/>
        </w:rPr>
        <w:t xml:space="preserve"> kinh doanh thông thường, đất </w:t>
      </w:r>
      <w:r w:rsidR="00C46C76">
        <w:rPr>
          <w:rFonts w:ascii="Times New Roman" w:hAnsi="Times New Roman" w:cs="Times New Roman"/>
          <w:sz w:val="24"/>
          <w:szCs w:val="24"/>
        </w:rPr>
        <w:t>đai</w:t>
      </w:r>
      <w:r w:rsidR="00D00FCB">
        <w:rPr>
          <w:rFonts w:ascii="Times New Roman" w:hAnsi="Times New Roman" w:cs="Times New Roman"/>
          <w:sz w:val="24"/>
          <w:szCs w:val="24"/>
        </w:rPr>
        <w:t xml:space="preserve"> sẽ được coi là tài sản được nắm giữ để tăng vố</w:t>
      </w:r>
      <w:r w:rsidR="00C46C76">
        <w:rPr>
          <w:rFonts w:ascii="Times New Roman" w:hAnsi="Times New Roman" w:cs="Times New Roman"/>
          <w:sz w:val="24"/>
          <w:szCs w:val="24"/>
        </w:rPr>
        <w:t>n.)</w:t>
      </w:r>
    </w:p>
    <w:p w:rsidR="00973215" w:rsidRDefault="00973215"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một toà nhà được sở hữu bởi đơn vị (hoặc một tài sản có quyền sử dụng liên quan đến toà nhà được đơn vị </w:t>
      </w:r>
      <w:r w:rsidR="008A0D20">
        <w:rPr>
          <w:rFonts w:ascii="Times New Roman" w:hAnsi="Times New Roman" w:cs="Times New Roman"/>
          <w:sz w:val="24"/>
          <w:szCs w:val="24"/>
        </w:rPr>
        <w:t>nắm giữ</w:t>
      </w:r>
      <w:r>
        <w:rPr>
          <w:rFonts w:ascii="Times New Roman" w:hAnsi="Times New Roman" w:cs="Times New Roman"/>
          <w:sz w:val="24"/>
          <w:szCs w:val="24"/>
        </w:rPr>
        <w:t>) và được cho thuê trong một hoặc nhiều hợp đồng thuê hoạt động.</w:t>
      </w:r>
    </w:p>
    <w:p w:rsidR="00973215" w:rsidRDefault="00973215"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một toà nhà đang được sử dụng nhưng đồng thời được cho thuê dưới một hoặc nhiều hợp đồng cho thuê hoạt động.</w:t>
      </w:r>
    </w:p>
    <w:p w:rsidR="00973215" w:rsidRDefault="00973215"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8269BA">
        <w:rPr>
          <w:rFonts w:ascii="Times New Roman" w:hAnsi="Times New Roman" w:cs="Times New Roman"/>
          <w:sz w:val="24"/>
          <w:szCs w:val="24"/>
        </w:rPr>
        <w:t>bất động sản</w:t>
      </w:r>
      <w:r w:rsidR="00F367A5">
        <w:rPr>
          <w:rFonts w:ascii="Times New Roman" w:hAnsi="Times New Roman" w:cs="Times New Roman"/>
          <w:sz w:val="24"/>
          <w:szCs w:val="24"/>
        </w:rPr>
        <w:t xml:space="preserve"> đang trong quá trình </w:t>
      </w:r>
      <w:r w:rsidR="00DA7EED">
        <w:rPr>
          <w:rFonts w:ascii="Times New Roman" w:hAnsi="Times New Roman" w:cs="Times New Roman"/>
          <w:sz w:val="24"/>
          <w:szCs w:val="24"/>
        </w:rPr>
        <w:t>thi công</w:t>
      </w:r>
      <w:r w:rsidR="00F367A5">
        <w:rPr>
          <w:rFonts w:ascii="Times New Roman" w:hAnsi="Times New Roman" w:cs="Times New Roman"/>
          <w:sz w:val="24"/>
          <w:szCs w:val="24"/>
        </w:rPr>
        <w:t xml:space="preserve"> hoặc phát triển mà trong tương lai sẽ là bất động sản đầu tư.</w:t>
      </w:r>
    </w:p>
    <w:p w:rsidR="00F367A5" w:rsidRDefault="00F367A5"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Các ví dụ dưới đây thể hiện các </w:t>
      </w:r>
      <w:r w:rsidR="008269BA">
        <w:rPr>
          <w:rFonts w:ascii="Times New Roman" w:hAnsi="Times New Roman" w:cs="Times New Roman"/>
          <w:sz w:val="24"/>
          <w:szCs w:val="24"/>
        </w:rPr>
        <w:t>bất động sản</w:t>
      </w:r>
      <w:r>
        <w:rPr>
          <w:rFonts w:ascii="Times New Roman" w:hAnsi="Times New Roman" w:cs="Times New Roman"/>
          <w:sz w:val="24"/>
          <w:szCs w:val="24"/>
        </w:rPr>
        <w:t xml:space="preserve"> không phải bất động sản đầu tư, vì vậy, không thuộc phạm vi điều chỉnh của Chuẩn mực này:</w:t>
      </w:r>
    </w:p>
    <w:p w:rsidR="00F367A5" w:rsidRDefault="00640E85"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269BA">
        <w:rPr>
          <w:rFonts w:ascii="Times New Roman" w:hAnsi="Times New Roman" w:cs="Times New Roman"/>
          <w:sz w:val="24"/>
          <w:szCs w:val="24"/>
        </w:rPr>
        <w:t>bất động sản</w:t>
      </w:r>
      <w:r w:rsidR="007A31B2">
        <w:rPr>
          <w:rFonts w:ascii="Times New Roman" w:hAnsi="Times New Roman" w:cs="Times New Roman"/>
          <w:sz w:val="24"/>
          <w:szCs w:val="24"/>
        </w:rPr>
        <w:t xml:space="preserve"> có mục đích để bán trong một kỳ kinh doanh thông thường hoặc trong quá trình </w:t>
      </w:r>
      <w:r w:rsidR="00DA7EED">
        <w:rPr>
          <w:rFonts w:ascii="Times New Roman" w:hAnsi="Times New Roman" w:cs="Times New Roman"/>
          <w:sz w:val="24"/>
          <w:szCs w:val="24"/>
        </w:rPr>
        <w:t>thi công</w:t>
      </w:r>
      <w:r w:rsidR="007A31B2">
        <w:rPr>
          <w:rFonts w:ascii="Times New Roman" w:hAnsi="Times New Roman" w:cs="Times New Roman"/>
          <w:sz w:val="24"/>
          <w:szCs w:val="24"/>
        </w:rPr>
        <w:t xml:space="preserve"> hoặc phát triển để bán (tham khảo IAS 2 </w:t>
      </w:r>
      <w:r w:rsidR="007A31B2" w:rsidRPr="007A31B2">
        <w:rPr>
          <w:rFonts w:ascii="Times New Roman" w:hAnsi="Times New Roman" w:cs="Times New Roman"/>
          <w:i/>
          <w:sz w:val="24"/>
          <w:szCs w:val="24"/>
        </w:rPr>
        <w:t>Hàng tồn kho</w:t>
      </w:r>
      <w:r w:rsidR="007A31B2">
        <w:rPr>
          <w:rFonts w:ascii="Times New Roman" w:hAnsi="Times New Roman" w:cs="Times New Roman"/>
          <w:sz w:val="24"/>
          <w:szCs w:val="24"/>
        </w:rPr>
        <w:t xml:space="preserve">), ví dụ, </w:t>
      </w:r>
      <w:r w:rsidR="008269BA">
        <w:rPr>
          <w:rFonts w:ascii="Times New Roman" w:hAnsi="Times New Roman" w:cs="Times New Roman"/>
          <w:sz w:val="24"/>
          <w:szCs w:val="24"/>
        </w:rPr>
        <w:t>bất động sản</w:t>
      </w:r>
      <w:r w:rsidR="007A31B2">
        <w:rPr>
          <w:rFonts w:ascii="Times New Roman" w:hAnsi="Times New Roman" w:cs="Times New Roman"/>
          <w:sz w:val="24"/>
          <w:szCs w:val="24"/>
        </w:rPr>
        <w:t xml:space="preserve"> được mua với mục đích duy nhất là để thanh lý trong tương lai gần hoặc để phát triển và bán lại.</w:t>
      </w:r>
    </w:p>
    <w:p w:rsidR="007A31B2" w:rsidRDefault="007A31B2"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[Đã xóa]</w:t>
      </w:r>
    </w:p>
    <w:p w:rsidR="007A31B2" w:rsidRDefault="007A31B2"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8269BA">
        <w:rPr>
          <w:rFonts w:ascii="Times New Roman" w:hAnsi="Times New Roman" w:cs="Times New Roman"/>
          <w:sz w:val="24"/>
          <w:szCs w:val="24"/>
        </w:rPr>
        <w:t>bất động sản</w:t>
      </w:r>
      <w:r w:rsidR="005954A0">
        <w:rPr>
          <w:rFonts w:ascii="Times New Roman" w:hAnsi="Times New Roman" w:cs="Times New Roman"/>
          <w:sz w:val="24"/>
          <w:szCs w:val="24"/>
        </w:rPr>
        <w:t xml:space="preserve"> chủ sở hữu sử dụng (tham khảo IAS 16 và IFRS 16), bao gồm (trong các tài sản khác) </w:t>
      </w:r>
      <w:r w:rsidR="008269BA">
        <w:rPr>
          <w:rFonts w:ascii="Times New Roman" w:hAnsi="Times New Roman" w:cs="Times New Roman"/>
          <w:sz w:val="24"/>
          <w:szCs w:val="24"/>
        </w:rPr>
        <w:t>bất động sản</w:t>
      </w:r>
      <w:r w:rsidR="005954A0">
        <w:rPr>
          <w:rFonts w:ascii="Times New Roman" w:hAnsi="Times New Roman" w:cs="Times New Roman"/>
          <w:sz w:val="24"/>
          <w:szCs w:val="24"/>
        </w:rPr>
        <w:t xml:space="preserve"> nắm giữ với mục đích làm </w:t>
      </w:r>
      <w:r w:rsidR="008269BA">
        <w:rPr>
          <w:rFonts w:ascii="Times New Roman" w:hAnsi="Times New Roman" w:cs="Times New Roman"/>
          <w:sz w:val="24"/>
          <w:szCs w:val="24"/>
        </w:rPr>
        <w:t>bất động sản</w:t>
      </w:r>
      <w:r w:rsidR="005954A0">
        <w:rPr>
          <w:rFonts w:ascii="Times New Roman" w:hAnsi="Times New Roman" w:cs="Times New Roman"/>
          <w:sz w:val="24"/>
          <w:szCs w:val="24"/>
        </w:rPr>
        <w:t xml:space="preserve"> chủ sở hữu sử dụng trong </w:t>
      </w:r>
      <w:r w:rsidR="008269BA">
        <w:rPr>
          <w:rFonts w:ascii="Times New Roman" w:hAnsi="Times New Roman" w:cs="Times New Roman"/>
          <w:sz w:val="24"/>
          <w:szCs w:val="24"/>
        </w:rPr>
        <w:t>tương lai, bất động sản nắm giữ để phát triển và sau đó sẽ chuyển thành bất động sản chủ sở hữu sử dụng trong lương lai, bất động sản được nhân viên sử dụng (kể</w:t>
      </w:r>
      <w:r w:rsidR="008A0D20">
        <w:rPr>
          <w:rFonts w:ascii="Times New Roman" w:hAnsi="Times New Roman" w:cs="Times New Roman"/>
          <w:sz w:val="24"/>
          <w:szCs w:val="24"/>
        </w:rPr>
        <w:t xml:space="preserve"> cả việc</w:t>
      </w:r>
      <w:r w:rsidR="008269BA">
        <w:rPr>
          <w:rFonts w:ascii="Times New Roman" w:hAnsi="Times New Roman" w:cs="Times New Roman"/>
          <w:sz w:val="24"/>
          <w:szCs w:val="24"/>
        </w:rPr>
        <w:t xml:space="preserve"> nhân viên đó có trả tiền thuê nhà theo giá thị trường</w:t>
      </w:r>
      <w:r w:rsidR="008A0D20">
        <w:rPr>
          <w:rFonts w:ascii="Times New Roman" w:hAnsi="Times New Roman" w:cs="Times New Roman"/>
          <w:sz w:val="24"/>
          <w:szCs w:val="24"/>
        </w:rPr>
        <w:t xml:space="preserve"> hay không</w:t>
      </w:r>
      <w:r w:rsidR="008269BA">
        <w:rPr>
          <w:rFonts w:ascii="Times New Roman" w:hAnsi="Times New Roman" w:cs="Times New Roman"/>
          <w:sz w:val="24"/>
          <w:szCs w:val="24"/>
        </w:rPr>
        <w:t>) và bất động sản chủ sở hữu sử dụng đang chờ thanh lý.</w:t>
      </w:r>
    </w:p>
    <w:p w:rsidR="008269BA" w:rsidRDefault="008269BA"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[Đã xóa]</w:t>
      </w:r>
    </w:p>
    <w:p w:rsidR="008269BA" w:rsidRDefault="008269BA"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ab/>
        <w:t xml:space="preserve">bất động sản đang được cho một đơn vị khác </w:t>
      </w:r>
      <w:r w:rsidR="00C71012">
        <w:rPr>
          <w:rFonts w:ascii="Times New Roman" w:hAnsi="Times New Roman" w:cs="Times New Roman"/>
          <w:sz w:val="24"/>
          <w:szCs w:val="24"/>
        </w:rPr>
        <w:t xml:space="preserve">thuê </w:t>
      </w:r>
      <w:r>
        <w:rPr>
          <w:rFonts w:ascii="Times New Roman" w:hAnsi="Times New Roman" w:cs="Times New Roman"/>
          <w:sz w:val="24"/>
          <w:szCs w:val="24"/>
        </w:rPr>
        <w:t xml:space="preserve">trong một </w:t>
      </w:r>
      <w:r w:rsidR="008A0D20">
        <w:rPr>
          <w:rFonts w:ascii="Times New Roman" w:hAnsi="Times New Roman" w:cs="Times New Roman"/>
          <w:sz w:val="24"/>
          <w:szCs w:val="24"/>
        </w:rPr>
        <w:t xml:space="preserve">giao dịch </w:t>
      </w:r>
      <w:r>
        <w:rPr>
          <w:rFonts w:ascii="Times New Roman" w:hAnsi="Times New Roman" w:cs="Times New Roman"/>
          <w:sz w:val="24"/>
          <w:szCs w:val="24"/>
        </w:rPr>
        <w:t>cho thuê tài chính.</w:t>
      </w:r>
    </w:p>
    <w:p w:rsidR="008269BA" w:rsidRDefault="00281BDB"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89756B">
        <w:rPr>
          <w:rFonts w:ascii="Times New Roman" w:hAnsi="Times New Roman" w:cs="Times New Roman"/>
          <w:sz w:val="24"/>
          <w:szCs w:val="24"/>
        </w:rPr>
        <w:t xml:space="preserve">Một số bất động sản bao gồm một phần được sử dụng để cho thuê hoặc để tăng vốn và phần còn lại được nắm giữ để sử dụng phục vụ sản xuất hoặc cung cấp hàng hóa hoặc dịch vụ hoặc cho mục đích hành chính. Nếu các phần này có thể được bán một cách độc lập (hoặc có thể cho thuê một cách độc lập trong một </w:t>
      </w:r>
      <w:r w:rsidR="008A0D20">
        <w:rPr>
          <w:rFonts w:ascii="Times New Roman" w:hAnsi="Times New Roman" w:cs="Times New Roman"/>
          <w:sz w:val="24"/>
          <w:szCs w:val="24"/>
        </w:rPr>
        <w:t>giao dịch</w:t>
      </w:r>
      <w:r w:rsidR="0089756B">
        <w:rPr>
          <w:rFonts w:ascii="Times New Roman" w:hAnsi="Times New Roman" w:cs="Times New Roman"/>
          <w:sz w:val="24"/>
          <w:szCs w:val="24"/>
        </w:rPr>
        <w:t xml:space="preserve"> cho thuê tài chính), thì đơn vị ghi nhận từng phần một cách riêng biệt. Nếu các phần này </w:t>
      </w:r>
      <w:r w:rsidR="008A0D20">
        <w:rPr>
          <w:rFonts w:ascii="Times New Roman" w:hAnsi="Times New Roman" w:cs="Times New Roman"/>
          <w:sz w:val="24"/>
          <w:szCs w:val="24"/>
        </w:rPr>
        <w:t>không</w:t>
      </w:r>
      <w:r w:rsidR="0089756B">
        <w:rPr>
          <w:rFonts w:ascii="Times New Roman" w:hAnsi="Times New Roman" w:cs="Times New Roman"/>
          <w:sz w:val="24"/>
          <w:szCs w:val="24"/>
        </w:rPr>
        <w:t xml:space="preserve"> thể được bán một cách độc lập, bất động sản chỉ được coi là bất động sản đầu tư nếu chỉ có một phần không đáng kể của bất động sản được nắm giữ để phục vụ sản xuất hoặc cung cấp hàng hóa hoặc dịch vụ hoặc để phục vụ mục đích hành chính.</w:t>
      </w:r>
    </w:p>
    <w:p w:rsidR="0089756B" w:rsidRDefault="0089756B"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Trong một số trường hợ</w:t>
      </w:r>
      <w:r w:rsidR="00BC4AE4">
        <w:rPr>
          <w:rFonts w:ascii="Times New Roman" w:hAnsi="Times New Roman" w:cs="Times New Roman"/>
          <w:sz w:val="24"/>
          <w:szCs w:val="24"/>
        </w:rPr>
        <w:t xml:space="preserve">p, đơn vị cung cấp dịch vụ hỗ trợ cho </w:t>
      </w:r>
      <w:r w:rsidR="008A0D20">
        <w:rPr>
          <w:rFonts w:ascii="Times New Roman" w:hAnsi="Times New Roman" w:cs="Times New Roman"/>
          <w:sz w:val="24"/>
          <w:szCs w:val="24"/>
        </w:rPr>
        <w:t>bên</w:t>
      </w:r>
      <w:r w:rsidR="00BC4AE4">
        <w:rPr>
          <w:rFonts w:ascii="Times New Roman" w:hAnsi="Times New Roman" w:cs="Times New Roman"/>
          <w:sz w:val="24"/>
          <w:szCs w:val="24"/>
        </w:rPr>
        <w:t xml:space="preserve"> sử dụng bất động sản mà đơn vị đang nắm giữ. Đơn vị sẽ chỉ được đánh giá bất động sản này là bất động sản đầu tư nếu</w:t>
      </w:r>
      <w:r w:rsidR="008A0D20">
        <w:rPr>
          <w:rFonts w:ascii="Times New Roman" w:hAnsi="Times New Roman" w:cs="Times New Roman"/>
          <w:sz w:val="24"/>
          <w:szCs w:val="24"/>
        </w:rPr>
        <w:t xml:space="preserve"> giá trị</w:t>
      </w:r>
      <w:r w:rsidR="00BC4AE4">
        <w:rPr>
          <w:rFonts w:ascii="Times New Roman" w:hAnsi="Times New Roman" w:cs="Times New Roman"/>
          <w:sz w:val="24"/>
          <w:szCs w:val="24"/>
        </w:rPr>
        <w:t xml:space="preserve"> dịch vụ hỗ trợ là không đáng kể</w:t>
      </w:r>
      <w:r w:rsidR="008A0D20">
        <w:rPr>
          <w:rFonts w:ascii="Times New Roman" w:hAnsi="Times New Roman" w:cs="Times New Roman"/>
          <w:sz w:val="24"/>
          <w:szCs w:val="24"/>
        </w:rPr>
        <w:t xml:space="preserve"> đối với </w:t>
      </w:r>
      <w:r w:rsidR="00BF0E1D">
        <w:rPr>
          <w:rFonts w:ascii="Times New Roman" w:hAnsi="Times New Roman" w:cs="Times New Roman"/>
          <w:sz w:val="24"/>
          <w:szCs w:val="24"/>
        </w:rPr>
        <w:t>giao dịch</w:t>
      </w:r>
      <w:r w:rsidR="008A0D20">
        <w:rPr>
          <w:rFonts w:ascii="Times New Roman" w:hAnsi="Times New Roman" w:cs="Times New Roman"/>
          <w:sz w:val="24"/>
          <w:szCs w:val="24"/>
        </w:rPr>
        <w:t xml:space="preserve"> cho thuê nói chung</w:t>
      </w:r>
      <w:r w:rsidR="00BC4AE4">
        <w:rPr>
          <w:rFonts w:ascii="Times New Roman" w:hAnsi="Times New Roman" w:cs="Times New Roman"/>
          <w:sz w:val="24"/>
          <w:szCs w:val="24"/>
        </w:rPr>
        <w:t xml:space="preserve">. Một ví dụ là khi chủ sở hữu của một toà </w:t>
      </w:r>
      <w:r w:rsidR="00BD506F">
        <w:rPr>
          <w:rFonts w:ascii="Times New Roman" w:hAnsi="Times New Roman" w:cs="Times New Roman"/>
          <w:sz w:val="24"/>
          <w:szCs w:val="24"/>
        </w:rPr>
        <w:t>nhà</w:t>
      </w:r>
      <w:r w:rsidR="00BC4AE4">
        <w:rPr>
          <w:rFonts w:ascii="Times New Roman" w:hAnsi="Times New Roman" w:cs="Times New Roman"/>
          <w:sz w:val="24"/>
          <w:szCs w:val="24"/>
        </w:rPr>
        <w:t xml:space="preserve"> văn phòng cung cấp dịch vụ an ninh và bảo trì cho các bên đi thuê đang sử dụng tòa nhà.</w:t>
      </w:r>
    </w:p>
    <w:p w:rsidR="00BC4AE4" w:rsidRDefault="00BC4AE4"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E875E3">
        <w:rPr>
          <w:rFonts w:ascii="Times New Roman" w:hAnsi="Times New Roman" w:cs="Times New Roman"/>
          <w:sz w:val="24"/>
          <w:szCs w:val="24"/>
        </w:rPr>
        <w:t xml:space="preserve">Trong các trường hợp khác, dịch vụ cung cấp là đáng kể. Ví dụ, nếu đơn vị sở hữu và quản lý một khách sạn, dịch vụ cung cấp cho khách hàng là đáng kể </w:t>
      </w:r>
      <w:r w:rsidR="00BF0E1D">
        <w:rPr>
          <w:rFonts w:ascii="Times New Roman" w:hAnsi="Times New Roman" w:cs="Times New Roman"/>
          <w:sz w:val="24"/>
          <w:szCs w:val="24"/>
        </w:rPr>
        <w:t>đối với giao dịch cho thuê nói chung</w:t>
      </w:r>
      <w:r w:rsidR="00BD506F">
        <w:rPr>
          <w:rFonts w:ascii="Times New Roman" w:hAnsi="Times New Roman" w:cs="Times New Roman"/>
          <w:sz w:val="24"/>
          <w:szCs w:val="24"/>
        </w:rPr>
        <w:t>. Vì vậy, một khách sạn mà đơn vị sở hữu và quản lý là một bất động sản chủ sở hữu sử dụng, không phải là một bất động sản đầu tư.</w:t>
      </w:r>
    </w:p>
    <w:p w:rsidR="00BD506F" w:rsidRDefault="00BD506F"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BF0E1D">
        <w:rPr>
          <w:rFonts w:ascii="Times New Roman" w:hAnsi="Times New Roman" w:cs="Times New Roman"/>
          <w:sz w:val="24"/>
          <w:szCs w:val="24"/>
        </w:rPr>
        <w:t>Việc</w:t>
      </w:r>
      <w:r w:rsidR="009500EA">
        <w:rPr>
          <w:rFonts w:ascii="Times New Roman" w:hAnsi="Times New Roman" w:cs="Times New Roman"/>
          <w:sz w:val="24"/>
          <w:szCs w:val="24"/>
        </w:rPr>
        <w:t xml:space="preserve"> quyết định dịch vụ hỗ trợ là đáng kể để bất động sản không được coi là bất động sản đầu tư có thể gặp khó khăn. Ví dụ, chủ sở hữu của khách sạn có thể trao </w:t>
      </w:r>
      <w:r w:rsidR="00BF0E1D">
        <w:rPr>
          <w:rFonts w:ascii="Times New Roman" w:hAnsi="Times New Roman" w:cs="Times New Roman"/>
          <w:sz w:val="24"/>
          <w:szCs w:val="24"/>
        </w:rPr>
        <w:t xml:space="preserve">một phần </w:t>
      </w:r>
      <w:r w:rsidR="009500EA">
        <w:rPr>
          <w:rFonts w:ascii="Times New Roman" w:hAnsi="Times New Roman" w:cs="Times New Roman"/>
          <w:sz w:val="24"/>
          <w:szCs w:val="24"/>
        </w:rPr>
        <w:t xml:space="preserve">trách nhiệm cho một bên thứ ba dưới một hợp đồng quản lý. Điều khoản của hợp đồng này có thể rất đa dạng. </w:t>
      </w:r>
      <w:r w:rsidR="00BF478A">
        <w:rPr>
          <w:rFonts w:ascii="Times New Roman" w:hAnsi="Times New Roman" w:cs="Times New Roman"/>
          <w:sz w:val="24"/>
          <w:szCs w:val="24"/>
        </w:rPr>
        <w:t>Trong trường hơp</w:t>
      </w:r>
      <w:r w:rsidR="009500EA">
        <w:rPr>
          <w:rFonts w:ascii="Times New Roman" w:hAnsi="Times New Roman" w:cs="Times New Roman"/>
          <w:sz w:val="24"/>
          <w:szCs w:val="24"/>
        </w:rPr>
        <w:t xml:space="preserve"> này chủ sở hữu</w:t>
      </w:r>
      <w:r w:rsidR="00BF0E1D">
        <w:rPr>
          <w:rFonts w:ascii="Times New Roman" w:hAnsi="Times New Roman" w:cs="Times New Roman"/>
          <w:sz w:val="24"/>
          <w:szCs w:val="24"/>
        </w:rPr>
        <w:t>, theo bản chất,</w:t>
      </w:r>
      <w:r w:rsidR="009500EA">
        <w:rPr>
          <w:rFonts w:ascii="Times New Roman" w:hAnsi="Times New Roman" w:cs="Times New Roman"/>
          <w:sz w:val="24"/>
          <w:szCs w:val="24"/>
        </w:rPr>
        <w:t xml:space="preserve"> có thể được coi là một nhà đầu tư gián tiếp. </w:t>
      </w:r>
      <w:r w:rsidR="00BF478A">
        <w:rPr>
          <w:rFonts w:ascii="Times New Roman" w:hAnsi="Times New Roman" w:cs="Times New Roman"/>
          <w:sz w:val="24"/>
          <w:szCs w:val="24"/>
        </w:rPr>
        <w:t>T</w:t>
      </w:r>
      <w:r w:rsidR="009500EA">
        <w:rPr>
          <w:rFonts w:ascii="Times New Roman" w:hAnsi="Times New Roman" w:cs="Times New Roman"/>
          <w:sz w:val="24"/>
          <w:szCs w:val="24"/>
        </w:rPr>
        <w:t xml:space="preserve">rong trường hợp </w:t>
      </w:r>
      <w:r w:rsidR="00BF478A">
        <w:rPr>
          <w:rFonts w:ascii="Times New Roman" w:hAnsi="Times New Roman" w:cs="Times New Roman"/>
          <w:sz w:val="24"/>
          <w:szCs w:val="24"/>
        </w:rPr>
        <w:t xml:space="preserve">khác </w:t>
      </w:r>
      <w:r w:rsidR="009500EA">
        <w:rPr>
          <w:rFonts w:ascii="Times New Roman" w:hAnsi="Times New Roman" w:cs="Times New Roman"/>
          <w:sz w:val="24"/>
          <w:szCs w:val="24"/>
        </w:rPr>
        <w:t xml:space="preserve">nhà đầu tư có thể chỉ thuê ngoài để vận hành các hoạt động hàng ngày mà vẫn </w:t>
      </w:r>
      <w:r w:rsidR="0084730D">
        <w:rPr>
          <w:rFonts w:ascii="Times New Roman" w:hAnsi="Times New Roman" w:cs="Times New Roman"/>
          <w:sz w:val="24"/>
          <w:szCs w:val="24"/>
        </w:rPr>
        <w:t>chịu ảnh hưởng lớn từ sự biến động của dòng tiền phát sinh từ việc vận hành khách sạn.</w:t>
      </w:r>
    </w:p>
    <w:p w:rsidR="0084730D" w:rsidRDefault="0084730D"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D27C62">
        <w:rPr>
          <w:rFonts w:ascii="Times New Roman" w:hAnsi="Times New Roman" w:cs="Times New Roman"/>
          <w:sz w:val="24"/>
          <w:szCs w:val="24"/>
        </w:rPr>
        <w:t xml:space="preserve">Việc đánh giá là cần thiết để quyết định một bất động sản có thỏa mãn điều kiển để trở thành bất động sản đầu tư hay không. </w:t>
      </w:r>
      <w:r w:rsidR="00BF0E1D">
        <w:rPr>
          <w:rFonts w:ascii="Times New Roman" w:hAnsi="Times New Roman" w:cs="Times New Roman"/>
          <w:sz w:val="24"/>
          <w:szCs w:val="24"/>
        </w:rPr>
        <w:t>Đ</w:t>
      </w:r>
      <w:r w:rsidR="00D27C62">
        <w:rPr>
          <w:rFonts w:ascii="Times New Roman" w:hAnsi="Times New Roman" w:cs="Times New Roman"/>
          <w:sz w:val="24"/>
          <w:szCs w:val="24"/>
        </w:rPr>
        <w:t xml:space="preserve">ơn vị cần phát triển những tiêu chí để có thể đánh giá một cách thống nhất theo định nghĩa về bất động sản đầu tư và các hướng dẫn liên quan tại các đoạn từ 7 đến 13. Đoạn 75(c) yêu cầu một đơn vị phải công bố các tiêu chí này khi </w:t>
      </w:r>
      <w:r w:rsidR="004F3DAC">
        <w:rPr>
          <w:rFonts w:ascii="Times New Roman" w:hAnsi="Times New Roman" w:cs="Times New Roman"/>
          <w:sz w:val="24"/>
          <w:szCs w:val="24"/>
        </w:rPr>
        <w:t>khó phân loại bất động sản</w:t>
      </w:r>
      <w:r w:rsidR="00D27C62">
        <w:rPr>
          <w:rFonts w:ascii="Times New Roman" w:hAnsi="Times New Roman" w:cs="Times New Roman"/>
          <w:sz w:val="24"/>
          <w:szCs w:val="24"/>
        </w:rPr>
        <w:t>.</w:t>
      </w:r>
    </w:p>
    <w:p w:rsidR="00D27C62" w:rsidRDefault="008F0DD8"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14A</w:t>
      </w:r>
      <w:r>
        <w:rPr>
          <w:rFonts w:ascii="Times New Roman" w:hAnsi="Times New Roman" w:cs="Times New Roman"/>
          <w:sz w:val="24"/>
          <w:szCs w:val="24"/>
        </w:rPr>
        <w:tab/>
      </w:r>
      <w:r w:rsidR="00C40340">
        <w:rPr>
          <w:rFonts w:ascii="Times New Roman" w:hAnsi="Times New Roman" w:cs="Times New Roman"/>
          <w:sz w:val="24"/>
          <w:szCs w:val="24"/>
        </w:rPr>
        <w:t xml:space="preserve">Việc đánh giá cũng là cần thiết </w:t>
      </w:r>
      <w:r w:rsidR="00BF0E1D">
        <w:rPr>
          <w:rFonts w:ascii="Times New Roman" w:hAnsi="Times New Roman" w:cs="Times New Roman"/>
          <w:sz w:val="24"/>
          <w:szCs w:val="24"/>
        </w:rPr>
        <w:t>để</w:t>
      </w:r>
      <w:r w:rsidR="00C40340">
        <w:rPr>
          <w:rFonts w:ascii="Times New Roman" w:hAnsi="Times New Roman" w:cs="Times New Roman"/>
          <w:sz w:val="24"/>
          <w:szCs w:val="24"/>
        </w:rPr>
        <w:t xml:space="preserve"> quyết định một giao dịch mua bất động sản đầu tư là giao dịch mua một tài sản đơn lẻ hay mua một nhóm tài sản hay là một giao dịch hợp nhất kinh doanh theo phạm vi điều chỉnh của IFRS 3 </w:t>
      </w:r>
      <w:r w:rsidR="00C40340" w:rsidRPr="00C40340">
        <w:rPr>
          <w:rFonts w:ascii="Times New Roman" w:hAnsi="Times New Roman" w:cs="Times New Roman"/>
          <w:i/>
          <w:sz w:val="24"/>
          <w:szCs w:val="24"/>
        </w:rPr>
        <w:t>Hợp nhất kinh doanh</w:t>
      </w:r>
      <w:r w:rsidR="00C40340">
        <w:rPr>
          <w:rFonts w:ascii="Times New Roman" w:hAnsi="Times New Roman" w:cs="Times New Roman"/>
          <w:sz w:val="24"/>
          <w:szCs w:val="24"/>
        </w:rPr>
        <w:t xml:space="preserve">. Cần dựa vào IFRS 3 để quyết định </w:t>
      </w:r>
      <w:r w:rsidR="003009EF">
        <w:rPr>
          <w:rFonts w:ascii="Times New Roman" w:hAnsi="Times New Roman" w:cs="Times New Roman"/>
          <w:sz w:val="24"/>
          <w:szCs w:val="24"/>
        </w:rPr>
        <w:t>giao dịch nào là</w:t>
      </w:r>
      <w:r w:rsidR="00C40340">
        <w:rPr>
          <w:rFonts w:ascii="Times New Roman" w:hAnsi="Times New Roman" w:cs="Times New Roman"/>
          <w:sz w:val="24"/>
          <w:szCs w:val="24"/>
        </w:rPr>
        <w:t xml:space="preserve"> giao dịch hợp nhất kinh doanh. Các vấn đề được thảo luận tại các đoạn từ 7 đến 14 của Chuẩn mực </w:t>
      </w:r>
      <w:r w:rsidR="00BF0E1D">
        <w:rPr>
          <w:rFonts w:ascii="Times New Roman" w:hAnsi="Times New Roman" w:cs="Times New Roman"/>
          <w:sz w:val="24"/>
          <w:szCs w:val="24"/>
        </w:rPr>
        <w:t>quy định việc</w:t>
      </w:r>
      <w:r w:rsidR="00C40340">
        <w:rPr>
          <w:rFonts w:ascii="Times New Roman" w:hAnsi="Times New Roman" w:cs="Times New Roman"/>
          <w:sz w:val="24"/>
          <w:szCs w:val="24"/>
        </w:rPr>
        <w:t xml:space="preserve"> quyết định một tài sản là </w:t>
      </w:r>
      <w:r w:rsidR="008D044A">
        <w:rPr>
          <w:rFonts w:ascii="Times New Roman" w:hAnsi="Times New Roman" w:cs="Times New Roman"/>
          <w:sz w:val="24"/>
          <w:szCs w:val="24"/>
        </w:rPr>
        <w:t>bất động sản chủ sở hữu sử dụng hay là một bất động sản đầu tư và không liên quan đến việc mua một bất động sản là giao dịch hợp nhất kinh doanh theo định nghĩa tại IFRS 3 hay không. Việc quyết định một giao dịch cụ thể có thỏa mãn định nghĩa của hợp nhất kinh doanh tại IFRS 3</w:t>
      </w:r>
      <w:r w:rsidR="006C2BB7">
        <w:rPr>
          <w:rFonts w:ascii="Times New Roman" w:hAnsi="Times New Roman" w:cs="Times New Roman"/>
          <w:sz w:val="24"/>
          <w:szCs w:val="24"/>
        </w:rPr>
        <w:t xml:space="preserve"> hay không</w:t>
      </w:r>
      <w:r w:rsidR="008D044A">
        <w:rPr>
          <w:rFonts w:ascii="Times New Roman" w:hAnsi="Times New Roman" w:cs="Times New Roman"/>
          <w:sz w:val="24"/>
          <w:szCs w:val="24"/>
        </w:rPr>
        <w:t xml:space="preserve"> và bao gồm bất động sản đầu tư theo định nghĩa tại Chuẩn mực này cần áp dụng cả hai Chuẩn mực mộ</w:t>
      </w:r>
      <w:r w:rsidR="00892E28">
        <w:rPr>
          <w:rFonts w:ascii="Times New Roman" w:hAnsi="Times New Roman" w:cs="Times New Roman"/>
          <w:sz w:val="24"/>
          <w:szCs w:val="24"/>
        </w:rPr>
        <w:t>t c</w:t>
      </w:r>
      <w:r w:rsidR="008D044A">
        <w:rPr>
          <w:rFonts w:ascii="Times New Roman" w:hAnsi="Times New Roman" w:cs="Times New Roman"/>
          <w:sz w:val="24"/>
          <w:szCs w:val="24"/>
        </w:rPr>
        <w:t>ách riêng biệt.</w:t>
      </w:r>
    </w:p>
    <w:p w:rsidR="008D044A" w:rsidRDefault="008D044A"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Trong một số trường hợp, một đơn vị sở hữu tài sản được cho thuê, và sử dụng bởi, công ty mẹ của nó hoặc bởi một công ty con khác. Bất động sản này sẽ không được coi là bất động sản đầu t</w:t>
      </w:r>
      <w:r w:rsidR="004A38B3">
        <w:rPr>
          <w:rFonts w:ascii="Times New Roman" w:hAnsi="Times New Roman" w:cs="Times New Roman"/>
          <w:sz w:val="24"/>
          <w:szCs w:val="24"/>
        </w:rPr>
        <w:t>ư</w:t>
      </w:r>
      <w:r>
        <w:rPr>
          <w:rFonts w:ascii="Times New Roman" w:hAnsi="Times New Roman" w:cs="Times New Roman"/>
          <w:sz w:val="24"/>
          <w:szCs w:val="24"/>
        </w:rPr>
        <w:t xml:space="preserve"> trong báo cáo tài chính hợp nhất, vì bất động sản đang được chủ sở hữu sử dụng dưới góc nhìn của toàn tập đoàn. Tuy nhiên, từ góc nhìn của đơn vị sở hữu bất động sản đó, bất động sản được coi là bất động sản đầu tư nếu nó thỏa mãn các định nghĩa tại đoạn 5. Vì vậy, bên cho thuê </w:t>
      </w:r>
      <w:r w:rsidR="00A47999">
        <w:rPr>
          <w:rFonts w:ascii="Times New Roman" w:hAnsi="Times New Roman" w:cs="Times New Roman"/>
          <w:sz w:val="24"/>
          <w:szCs w:val="24"/>
        </w:rPr>
        <w:t>coi bất động sản này là bất động sản đầu tư trong báo cáo tài chính riêng.</w:t>
      </w:r>
    </w:p>
    <w:p w:rsidR="00A47999" w:rsidRDefault="00A47999" w:rsidP="0048656B">
      <w:pPr>
        <w:pBdr>
          <w:bottom w:val="single" w:sz="6" w:space="1" w:color="auto"/>
        </w:pBdr>
        <w:spacing w:before="200" w:after="120" w:line="240" w:lineRule="auto"/>
        <w:ind w:right="14"/>
        <w:jc w:val="both"/>
        <w:rPr>
          <w:rFonts w:ascii="Arial" w:hAnsi="Arial" w:cs="Arial"/>
          <w:b/>
          <w:sz w:val="28"/>
          <w:szCs w:val="24"/>
        </w:rPr>
      </w:pPr>
      <w:r w:rsidRPr="00AB4D8D">
        <w:rPr>
          <w:rFonts w:ascii="Arial" w:hAnsi="Arial" w:cs="Arial"/>
          <w:b/>
          <w:sz w:val="28"/>
          <w:szCs w:val="24"/>
        </w:rPr>
        <w:t>Ghi nhận</w:t>
      </w:r>
    </w:p>
    <w:p w:rsidR="00AB4D8D" w:rsidRDefault="00A07142" w:rsidP="0048656B">
      <w:pPr>
        <w:tabs>
          <w:tab w:val="left" w:pos="720"/>
        </w:tabs>
        <w:spacing w:after="120" w:line="240" w:lineRule="auto"/>
        <w:ind w:left="720" w:right="14" w:hanging="720"/>
        <w:jc w:val="both"/>
        <w:rPr>
          <w:rFonts w:ascii="Times New Roman" w:hAnsi="Times New Roman" w:cs="Times New Roman"/>
          <w:b/>
          <w:sz w:val="24"/>
          <w:szCs w:val="24"/>
        </w:rPr>
      </w:pPr>
      <w:r w:rsidRPr="00A07142">
        <w:rPr>
          <w:rFonts w:ascii="Times New Roman" w:hAnsi="Times New Roman" w:cs="Times New Roman"/>
          <w:b/>
          <w:sz w:val="24"/>
          <w:szCs w:val="24"/>
        </w:rPr>
        <w:t>16</w:t>
      </w:r>
      <w:r w:rsidRPr="00A07142">
        <w:rPr>
          <w:rFonts w:ascii="Times New Roman" w:hAnsi="Times New Roman" w:cs="Times New Roman"/>
          <w:b/>
          <w:sz w:val="24"/>
          <w:szCs w:val="24"/>
        </w:rPr>
        <w:tab/>
        <w:t>Một bất động sản đầu tư được nắm giữ sẽ được ghi nhận là tài sản khi, và chỉ khi:</w:t>
      </w:r>
    </w:p>
    <w:p w:rsidR="00A07142" w:rsidRPr="00A07142" w:rsidRDefault="00A07142" w:rsidP="0048656B">
      <w:pPr>
        <w:tabs>
          <w:tab w:val="left" w:pos="1440"/>
        </w:tabs>
        <w:spacing w:after="120" w:line="240" w:lineRule="auto"/>
        <w:ind w:left="1440" w:right="14" w:hanging="720"/>
        <w:jc w:val="both"/>
        <w:rPr>
          <w:rFonts w:ascii="Times New Roman" w:hAnsi="Times New Roman" w:cs="Times New Roman"/>
          <w:b/>
          <w:sz w:val="24"/>
          <w:szCs w:val="24"/>
        </w:rPr>
      </w:pPr>
      <w:r w:rsidRPr="00A07142">
        <w:rPr>
          <w:rFonts w:ascii="Times New Roman" w:hAnsi="Times New Roman" w:cs="Times New Roman"/>
          <w:b/>
          <w:sz w:val="24"/>
          <w:szCs w:val="24"/>
        </w:rPr>
        <w:t>(a)</w:t>
      </w:r>
      <w:r w:rsidRPr="00A07142">
        <w:rPr>
          <w:rFonts w:ascii="Times New Roman" w:hAnsi="Times New Roman" w:cs="Times New Roman"/>
          <w:b/>
          <w:sz w:val="24"/>
          <w:szCs w:val="24"/>
        </w:rPr>
        <w:tab/>
        <w:t>đơn vị có nhiều khả năng sẽ nhận được các lợi ích kinh tế trong tương lai liên quan đến bất động sản đầu tư; và</w:t>
      </w:r>
    </w:p>
    <w:p w:rsidR="00A07142" w:rsidRPr="00A07142" w:rsidRDefault="00A07142" w:rsidP="0048656B">
      <w:pPr>
        <w:tabs>
          <w:tab w:val="left" w:pos="1440"/>
        </w:tabs>
        <w:spacing w:after="120" w:line="240" w:lineRule="auto"/>
        <w:ind w:left="1440" w:right="14" w:hanging="720"/>
        <w:jc w:val="both"/>
        <w:rPr>
          <w:rFonts w:ascii="Times New Roman" w:hAnsi="Times New Roman" w:cs="Times New Roman"/>
          <w:b/>
          <w:sz w:val="24"/>
          <w:szCs w:val="24"/>
        </w:rPr>
      </w:pPr>
      <w:r w:rsidRPr="00A07142">
        <w:rPr>
          <w:rFonts w:ascii="Times New Roman" w:hAnsi="Times New Roman" w:cs="Times New Roman"/>
          <w:b/>
          <w:sz w:val="24"/>
          <w:szCs w:val="24"/>
        </w:rPr>
        <w:t>(b)</w:t>
      </w:r>
      <w:r w:rsidRPr="00A07142">
        <w:rPr>
          <w:rFonts w:ascii="Times New Roman" w:hAnsi="Times New Roman" w:cs="Times New Roman"/>
          <w:b/>
          <w:sz w:val="24"/>
          <w:szCs w:val="24"/>
        </w:rPr>
        <w:tab/>
      </w:r>
      <w:r w:rsidR="006C2BB7">
        <w:rPr>
          <w:rFonts w:ascii="Times New Roman" w:hAnsi="Times New Roman" w:cs="Times New Roman"/>
          <w:b/>
          <w:sz w:val="24"/>
          <w:szCs w:val="24"/>
        </w:rPr>
        <w:t>nguyên giá</w:t>
      </w:r>
      <w:r w:rsidRPr="00A07142">
        <w:rPr>
          <w:rFonts w:ascii="Times New Roman" w:hAnsi="Times New Roman" w:cs="Times New Roman"/>
          <w:b/>
          <w:sz w:val="24"/>
          <w:szCs w:val="24"/>
        </w:rPr>
        <w:t xml:space="preserve"> </w:t>
      </w:r>
      <w:r>
        <w:rPr>
          <w:rFonts w:ascii="Times New Roman" w:hAnsi="Times New Roman" w:cs="Times New Roman"/>
          <w:b/>
          <w:sz w:val="24"/>
          <w:szCs w:val="24"/>
        </w:rPr>
        <w:t>của</w:t>
      </w:r>
      <w:r w:rsidRPr="00A07142">
        <w:rPr>
          <w:rFonts w:ascii="Times New Roman" w:hAnsi="Times New Roman" w:cs="Times New Roman"/>
          <w:b/>
          <w:sz w:val="24"/>
          <w:szCs w:val="24"/>
        </w:rPr>
        <w:t xml:space="preserve"> bất động sản đầu tư có thể được xác định một cách đáng tin cậy.</w:t>
      </w:r>
    </w:p>
    <w:p w:rsidR="00113757" w:rsidRDefault="00A07142" w:rsidP="0048656B">
      <w:pPr>
        <w:tabs>
          <w:tab w:val="left" w:pos="720"/>
        </w:tabs>
        <w:spacing w:after="120" w:line="240" w:lineRule="auto"/>
        <w:ind w:left="720" w:right="14" w:hanging="720"/>
        <w:jc w:val="both"/>
        <w:rPr>
          <w:rFonts w:ascii="Times New Roman" w:hAnsi="Times New Roman" w:cs="Times New Roman"/>
          <w:sz w:val="24"/>
          <w:szCs w:val="24"/>
        </w:rPr>
      </w:pPr>
      <w:r w:rsidRPr="00A07142">
        <w:rPr>
          <w:rFonts w:ascii="Times New Roman" w:hAnsi="Times New Roman" w:cs="Times New Roman"/>
          <w:sz w:val="24"/>
          <w:szCs w:val="24"/>
        </w:rPr>
        <w:t>17</w:t>
      </w:r>
      <w:r>
        <w:rPr>
          <w:rFonts w:ascii="Times New Roman" w:hAnsi="Times New Roman" w:cs="Times New Roman"/>
          <w:sz w:val="24"/>
          <w:szCs w:val="24"/>
        </w:rPr>
        <w:tab/>
      </w:r>
      <w:r w:rsidR="006C2BB7">
        <w:rPr>
          <w:rFonts w:ascii="Times New Roman" w:hAnsi="Times New Roman" w:cs="Times New Roman"/>
          <w:sz w:val="24"/>
          <w:szCs w:val="24"/>
        </w:rPr>
        <w:t>Đ</w:t>
      </w:r>
      <w:r>
        <w:rPr>
          <w:rFonts w:ascii="Times New Roman" w:hAnsi="Times New Roman" w:cs="Times New Roman"/>
          <w:sz w:val="24"/>
          <w:szCs w:val="24"/>
        </w:rPr>
        <w:t xml:space="preserve">ơn vị </w:t>
      </w:r>
      <w:r w:rsidR="005B4B9F">
        <w:rPr>
          <w:rFonts w:ascii="Times New Roman" w:hAnsi="Times New Roman" w:cs="Times New Roman"/>
          <w:sz w:val="24"/>
          <w:szCs w:val="24"/>
        </w:rPr>
        <w:t xml:space="preserve">áp dụng nguyên tắc </w:t>
      </w:r>
      <w:r w:rsidR="00113757">
        <w:rPr>
          <w:rFonts w:ascii="Times New Roman" w:hAnsi="Times New Roman" w:cs="Times New Roman"/>
          <w:sz w:val="24"/>
          <w:szCs w:val="24"/>
        </w:rPr>
        <w:t xml:space="preserve">ghi nhận này </w:t>
      </w:r>
      <w:r w:rsidR="005B4B9F">
        <w:rPr>
          <w:rFonts w:ascii="Times New Roman" w:hAnsi="Times New Roman" w:cs="Times New Roman"/>
          <w:sz w:val="24"/>
          <w:szCs w:val="24"/>
        </w:rPr>
        <w:t>đối với các chi phí</w:t>
      </w:r>
      <w:r w:rsidR="00C0556B">
        <w:rPr>
          <w:rFonts w:ascii="Times New Roman" w:hAnsi="Times New Roman" w:cs="Times New Roman"/>
          <w:sz w:val="24"/>
          <w:szCs w:val="24"/>
        </w:rPr>
        <w:t xml:space="preserve"> cho</w:t>
      </w:r>
      <w:r w:rsidR="005B4B9F">
        <w:rPr>
          <w:rFonts w:ascii="Times New Roman" w:hAnsi="Times New Roman" w:cs="Times New Roman"/>
          <w:sz w:val="24"/>
          <w:szCs w:val="24"/>
        </w:rPr>
        <w:t xml:space="preserve"> bất động sản đầu tư </w:t>
      </w:r>
      <w:r w:rsidR="00113757">
        <w:rPr>
          <w:rFonts w:ascii="Times New Roman" w:hAnsi="Times New Roman" w:cs="Times New Roman"/>
          <w:sz w:val="24"/>
          <w:szCs w:val="24"/>
        </w:rPr>
        <w:t xml:space="preserve">tại thời điểm phát sinh. Những chi phí </w:t>
      </w:r>
      <w:r w:rsidR="00766E1F">
        <w:rPr>
          <w:rFonts w:ascii="Times New Roman" w:hAnsi="Times New Roman" w:cs="Times New Roman"/>
          <w:sz w:val="24"/>
          <w:szCs w:val="24"/>
        </w:rPr>
        <w:t>này bao</w:t>
      </w:r>
      <w:r w:rsidR="00113757">
        <w:rPr>
          <w:rFonts w:ascii="Times New Roman" w:hAnsi="Times New Roman" w:cs="Times New Roman"/>
          <w:sz w:val="24"/>
          <w:szCs w:val="24"/>
        </w:rPr>
        <w:t xml:space="preserve"> gồm chi phí ban đầu để sở hữu bất động sản đầu tư và chi phí phát sinh sau đó để </w:t>
      </w:r>
      <w:r w:rsidR="00D82BAD">
        <w:rPr>
          <w:rFonts w:ascii="Times New Roman" w:hAnsi="Times New Roman" w:cs="Times New Roman"/>
          <w:sz w:val="24"/>
          <w:szCs w:val="24"/>
        </w:rPr>
        <w:t>bổ sung</w:t>
      </w:r>
      <w:r w:rsidR="00113757">
        <w:rPr>
          <w:rFonts w:ascii="Times New Roman" w:hAnsi="Times New Roman" w:cs="Times New Roman"/>
          <w:sz w:val="24"/>
          <w:szCs w:val="24"/>
        </w:rPr>
        <w:t>, thay thế, hoặc cung cấp dịch vụ cho bất động sản đầu tư.</w:t>
      </w:r>
    </w:p>
    <w:p w:rsidR="00A07142" w:rsidRDefault="00113757"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DD5649">
        <w:rPr>
          <w:rFonts w:ascii="Times New Roman" w:hAnsi="Times New Roman" w:cs="Times New Roman"/>
          <w:sz w:val="24"/>
          <w:szCs w:val="24"/>
        </w:rPr>
        <w:t xml:space="preserve">Theo </w:t>
      </w:r>
      <w:r w:rsidR="00C0556B">
        <w:rPr>
          <w:rFonts w:ascii="Times New Roman" w:hAnsi="Times New Roman" w:cs="Times New Roman"/>
          <w:sz w:val="24"/>
          <w:szCs w:val="24"/>
        </w:rPr>
        <w:t>nguyên</w:t>
      </w:r>
      <w:r w:rsidR="00DD5649">
        <w:rPr>
          <w:rFonts w:ascii="Times New Roman" w:hAnsi="Times New Roman" w:cs="Times New Roman"/>
          <w:sz w:val="24"/>
          <w:szCs w:val="24"/>
        </w:rPr>
        <w:t xml:space="preserve"> tắc </w:t>
      </w:r>
      <w:r w:rsidR="00892E28">
        <w:rPr>
          <w:rFonts w:ascii="Times New Roman" w:hAnsi="Times New Roman" w:cs="Times New Roman"/>
          <w:sz w:val="24"/>
          <w:szCs w:val="24"/>
        </w:rPr>
        <w:t>ghi nhận</w:t>
      </w:r>
      <w:r w:rsidR="00DD5649">
        <w:rPr>
          <w:rFonts w:ascii="Times New Roman" w:hAnsi="Times New Roman" w:cs="Times New Roman"/>
          <w:sz w:val="24"/>
          <w:szCs w:val="24"/>
        </w:rPr>
        <w:t xml:space="preserve"> tại đoạn 16, một đơn vị không ghi nhận </w:t>
      </w:r>
      <w:r w:rsidR="00E64493">
        <w:rPr>
          <w:rFonts w:ascii="Times New Roman" w:hAnsi="Times New Roman" w:cs="Times New Roman"/>
          <w:sz w:val="24"/>
          <w:szCs w:val="24"/>
        </w:rPr>
        <w:t xml:space="preserve">phần chi phí </w:t>
      </w:r>
      <w:r w:rsidR="00F713EE">
        <w:rPr>
          <w:rFonts w:ascii="Times New Roman" w:hAnsi="Times New Roman" w:cs="Times New Roman"/>
          <w:sz w:val="24"/>
          <w:szCs w:val="24"/>
        </w:rPr>
        <w:t xml:space="preserve">cho </w:t>
      </w:r>
      <w:r w:rsidR="00E64493">
        <w:rPr>
          <w:rFonts w:ascii="Times New Roman" w:hAnsi="Times New Roman" w:cs="Times New Roman"/>
          <w:sz w:val="24"/>
          <w:szCs w:val="24"/>
        </w:rPr>
        <w:t xml:space="preserve">dịch vụ hàng ngày vào </w:t>
      </w:r>
      <w:r w:rsidR="00AA2158">
        <w:rPr>
          <w:rFonts w:ascii="Times New Roman" w:hAnsi="Times New Roman" w:cs="Times New Roman"/>
          <w:sz w:val="24"/>
          <w:szCs w:val="24"/>
        </w:rPr>
        <w:t>giá trị ghi sổ</w:t>
      </w:r>
      <w:r w:rsidR="00E64493">
        <w:rPr>
          <w:rFonts w:ascii="Times New Roman" w:hAnsi="Times New Roman" w:cs="Times New Roman"/>
          <w:sz w:val="24"/>
          <w:szCs w:val="24"/>
        </w:rPr>
        <w:t xml:space="preserve"> của một bất động sản đầu tư</w:t>
      </w:r>
      <w:r w:rsidR="00F713EE">
        <w:rPr>
          <w:rFonts w:ascii="Times New Roman" w:hAnsi="Times New Roman" w:cs="Times New Roman"/>
          <w:sz w:val="24"/>
          <w:szCs w:val="24"/>
        </w:rPr>
        <w:t xml:space="preserve">. Phần chi phí này sẽ được ghi nhận vào báo cáo kết quả kinh doanh khi phát sinh. Chi phí dịch vụ hàng ngày chủ yếu bao gồm chi phí nhân công và các chi phí tiêu hao, và có thể bao gồm cả chi phí cho </w:t>
      </w:r>
      <w:r w:rsidR="00D82BAD">
        <w:rPr>
          <w:rFonts w:ascii="Times New Roman" w:hAnsi="Times New Roman" w:cs="Times New Roman"/>
          <w:sz w:val="24"/>
          <w:szCs w:val="24"/>
        </w:rPr>
        <w:t>phụ tùng</w:t>
      </w:r>
      <w:r w:rsidR="00F713EE">
        <w:rPr>
          <w:rFonts w:ascii="Times New Roman" w:hAnsi="Times New Roman" w:cs="Times New Roman"/>
          <w:sz w:val="24"/>
          <w:szCs w:val="24"/>
        </w:rPr>
        <w:t xml:space="preserve"> </w:t>
      </w:r>
      <w:r w:rsidR="00F46BA7">
        <w:rPr>
          <w:rFonts w:ascii="Times New Roman" w:hAnsi="Times New Roman" w:cs="Times New Roman"/>
          <w:sz w:val="24"/>
          <w:szCs w:val="24"/>
        </w:rPr>
        <w:t xml:space="preserve">không đáng kể. Mục đích của các chi phí này thường được </w:t>
      </w:r>
      <w:r w:rsidR="005D286C">
        <w:rPr>
          <w:rFonts w:ascii="Times New Roman" w:hAnsi="Times New Roman" w:cs="Times New Roman"/>
          <w:sz w:val="24"/>
          <w:szCs w:val="24"/>
        </w:rPr>
        <w:t>mô tả</w:t>
      </w:r>
      <w:r w:rsidR="00F46BA7">
        <w:rPr>
          <w:rFonts w:ascii="Times New Roman" w:hAnsi="Times New Roman" w:cs="Times New Roman"/>
          <w:sz w:val="24"/>
          <w:szCs w:val="24"/>
        </w:rPr>
        <w:t xml:space="preserve"> là để ‘sửa chữa và bảo dưỡng’ cho bất động sản đầu tư.</w:t>
      </w:r>
    </w:p>
    <w:p w:rsidR="008A3FC9" w:rsidRDefault="00F46BA7"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8A3FC9">
        <w:rPr>
          <w:rFonts w:ascii="Times New Roman" w:hAnsi="Times New Roman" w:cs="Times New Roman"/>
          <w:sz w:val="24"/>
          <w:szCs w:val="24"/>
        </w:rPr>
        <w:t xml:space="preserve">Các </w:t>
      </w:r>
      <w:r w:rsidR="00D82BAD">
        <w:rPr>
          <w:rFonts w:ascii="Times New Roman" w:hAnsi="Times New Roman" w:cs="Times New Roman"/>
          <w:sz w:val="24"/>
          <w:szCs w:val="24"/>
        </w:rPr>
        <w:t>phần riêng lẻ</w:t>
      </w:r>
      <w:r w:rsidR="008A3FC9">
        <w:rPr>
          <w:rFonts w:ascii="Times New Roman" w:hAnsi="Times New Roman" w:cs="Times New Roman"/>
          <w:sz w:val="24"/>
          <w:szCs w:val="24"/>
        </w:rPr>
        <w:t xml:space="preserve"> của bất động sản đầu tư có thể được mua trong quá trình thay thế. Ví dụ, phần tường phía trong của bất động sản có thể đã được thay mới. Theo các </w:t>
      </w:r>
      <w:r w:rsidR="00C0556B">
        <w:rPr>
          <w:rFonts w:ascii="Times New Roman" w:hAnsi="Times New Roman" w:cs="Times New Roman"/>
          <w:sz w:val="24"/>
          <w:szCs w:val="24"/>
        </w:rPr>
        <w:t>nguyên tắc</w:t>
      </w:r>
      <w:r w:rsidR="008A3FC9">
        <w:rPr>
          <w:rFonts w:ascii="Times New Roman" w:hAnsi="Times New Roman" w:cs="Times New Roman"/>
          <w:sz w:val="24"/>
          <w:szCs w:val="24"/>
        </w:rPr>
        <w:t xml:space="preserve"> ghi nhận, một đơn vị </w:t>
      </w:r>
      <w:r w:rsidR="00CB1029">
        <w:rPr>
          <w:rFonts w:ascii="Times New Roman" w:hAnsi="Times New Roman" w:cs="Times New Roman"/>
          <w:sz w:val="24"/>
          <w:szCs w:val="24"/>
        </w:rPr>
        <w:t xml:space="preserve">chỉ </w:t>
      </w:r>
      <w:r w:rsidR="008A3FC9">
        <w:rPr>
          <w:rFonts w:ascii="Times New Roman" w:hAnsi="Times New Roman" w:cs="Times New Roman"/>
          <w:sz w:val="24"/>
          <w:szCs w:val="24"/>
        </w:rPr>
        <w:t xml:space="preserve">ghi nhận chi phí cho các </w:t>
      </w:r>
      <w:r w:rsidR="00D82BAD">
        <w:rPr>
          <w:rFonts w:ascii="Times New Roman" w:hAnsi="Times New Roman" w:cs="Times New Roman"/>
          <w:sz w:val="24"/>
          <w:szCs w:val="24"/>
        </w:rPr>
        <w:t>phần</w:t>
      </w:r>
      <w:r w:rsidR="008A3FC9">
        <w:rPr>
          <w:rFonts w:ascii="Times New Roman" w:hAnsi="Times New Roman" w:cs="Times New Roman"/>
          <w:sz w:val="24"/>
          <w:szCs w:val="24"/>
        </w:rPr>
        <w:t xml:space="preserve"> thay thế </w:t>
      </w:r>
      <w:r w:rsidR="00D82BAD">
        <w:rPr>
          <w:rFonts w:ascii="Times New Roman" w:hAnsi="Times New Roman" w:cs="Times New Roman"/>
          <w:sz w:val="24"/>
          <w:szCs w:val="24"/>
        </w:rPr>
        <w:t>vào</w:t>
      </w:r>
      <w:r w:rsidR="00CB1029">
        <w:rPr>
          <w:rFonts w:ascii="Times New Roman" w:hAnsi="Times New Roman" w:cs="Times New Roman"/>
          <w:sz w:val="24"/>
          <w:szCs w:val="24"/>
        </w:rPr>
        <w:t xml:space="preserve"> </w:t>
      </w:r>
      <w:r w:rsidR="00AA2158">
        <w:rPr>
          <w:rFonts w:ascii="Times New Roman" w:hAnsi="Times New Roman" w:cs="Times New Roman"/>
          <w:sz w:val="24"/>
          <w:szCs w:val="24"/>
        </w:rPr>
        <w:t>giá trị ghi sổ</w:t>
      </w:r>
      <w:r w:rsidR="00CB1029">
        <w:rPr>
          <w:rFonts w:ascii="Times New Roman" w:hAnsi="Times New Roman" w:cs="Times New Roman"/>
          <w:sz w:val="24"/>
          <w:szCs w:val="24"/>
        </w:rPr>
        <w:t xml:space="preserve"> của bất động sản đầu tư </w:t>
      </w:r>
      <w:r w:rsidR="00D82BAD">
        <w:rPr>
          <w:rFonts w:ascii="Times New Roman" w:hAnsi="Times New Roman" w:cs="Times New Roman"/>
          <w:sz w:val="24"/>
          <w:szCs w:val="24"/>
        </w:rPr>
        <w:t>tại</w:t>
      </w:r>
      <w:r w:rsidR="00CB1029">
        <w:rPr>
          <w:rFonts w:ascii="Times New Roman" w:hAnsi="Times New Roman" w:cs="Times New Roman"/>
          <w:sz w:val="24"/>
          <w:szCs w:val="24"/>
        </w:rPr>
        <w:t xml:space="preserve"> thời điểm phát sinh chi phí khi các điều kiện ghi nhận được đáp ứng đủ. </w:t>
      </w:r>
      <w:r w:rsidR="00AA2158">
        <w:rPr>
          <w:rFonts w:ascii="Times New Roman" w:hAnsi="Times New Roman" w:cs="Times New Roman"/>
          <w:sz w:val="24"/>
          <w:szCs w:val="24"/>
        </w:rPr>
        <w:t>Giá trị ghi sổ</w:t>
      </w:r>
      <w:r w:rsidR="00CB1029">
        <w:rPr>
          <w:rFonts w:ascii="Times New Roman" w:hAnsi="Times New Roman" w:cs="Times New Roman"/>
          <w:sz w:val="24"/>
          <w:szCs w:val="24"/>
        </w:rPr>
        <w:t xml:space="preserve"> của các bộ phận thay thế này sẽ bị </w:t>
      </w:r>
      <w:r w:rsidR="00D82BAD">
        <w:rPr>
          <w:rFonts w:ascii="Times New Roman" w:hAnsi="Times New Roman" w:cs="Times New Roman"/>
          <w:sz w:val="24"/>
          <w:szCs w:val="24"/>
        </w:rPr>
        <w:t>dừng ghi nhận</w:t>
      </w:r>
      <w:r w:rsidR="00CB1029">
        <w:rPr>
          <w:rFonts w:ascii="Times New Roman" w:hAnsi="Times New Roman" w:cs="Times New Roman"/>
          <w:sz w:val="24"/>
          <w:szCs w:val="24"/>
        </w:rPr>
        <w:t xml:space="preserve"> theo các điều kiện </w:t>
      </w:r>
      <w:r w:rsidR="00D82BAD">
        <w:rPr>
          <w:rFonts w:ascii="Times New Roman" w:hAnsi="Times New Roman" w:cs="Times New Roman"/>
          <w:sz w:val="24"/>
          <w:szCs w:val="24"/>
        </w:rPr>
        <w:t>dừng ghi nhận</w:t>
      </w:r>
      <w:r w:rsidR="00CB1029">
        <w:rPr>
          <w:rFonts w:ascii="Times New Roman" w:hAnsi="Times New Roman" w:cs="Times New Roman"/>
          <w:sz w:val="24"/>
          <w:szCs w:val="24"/>
        </w:rPr>
        <w:t xml:space="preserve"> của Chuẩn mực này.</w:t>
      </w:r>
    </w:p>
    <w:p w:rsidR="00CB1029" w:rsidRDefault="001A4C2E"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19A</w:t>
      </w:r>
      <w:r>
        <w:rPr>
          <w:rFonts w:ascii="Times New Roman" w:hAnsi="Times New Roman" w:cs="Times New Roman"/>
          <w:sz w:val="24"/>
          <w:szCs w:val="24"/>
        </w:rPr>
        <w:tab/>
      </w:r>
      <w:r w:rsidR="004F25AC">
        <w:rPr>
          <w:rFonts w:ascii="Times New Roman" w:hAnsi="Times New Roman" w:cs="Times New Roman"/>
          <w:sz w:val="24"/>
          <w:szCs w:val="24"/>
        </w:rPr>
        <w:t>Một bất động sản đầu tư được nắm giữ bởi bên đi thuê như là một tài sản có quyền sử dụng sẽ được ghi nhận theo IFRS 16.</w:t>
      </w:r>
    </w:p>
    <w:p w:rsidR="004F25AC" w:rsidRDefault="004F25AC" w:rsidP="0048656B">
      <w:pPr>
        <w:pBdr>
          <w:bottom w:val="single" w:sz="6" w:space="1" w:color="auto"/>
        </w:pBdr>
        <w:spacing w:before="200" w:after="120" w:line="240" w:lineRule="auto"/>
        <w:ind w:right="14"/>
        <w:jc w:val="both"/>
        <w:rPr>
          <w:rFonts w:ascii="Arial" w:hAnsi="Arial" w:cs="Arial"/>
          <w:b/>
          <w:sz w:val="28"/>
          <w:szCs w:val="24"/>
        </w:rPr>
      </w:pPr>
      <w:r w:rsidRPr="004F25AC">
        <w:rPr>
          <w:rFonts w:ascii="Arial" w:hAnsi="Arial" w:cs="Arial"/>
          <w:b/>
          <w:sz w:val="28"/>
          <w:szCs w:val="24"/>
        </w:rPr>
        <w:t>Xác định giá trị</w:t>
      </w:r>
      <w:r>
        <w:rPr>
          <w:rFonts w:ascii="Arial" w:hAnsi="Arial" w:cs="Arial"/>
          <w:b/>
          <w:sz w:val="28"/>
          <w:szCs w:val="24"/>
        </w:rPr>
        <w:t xml:space="preserve"> tại thời điểm</w:t>
      </w:r>
      <w:r w:rsidRPr="004F25AC">
        <w:rPr>
          <w:rFonts w:ascii="Arial" w:hAnsi="Arial" w:cs="Arial"/>
          <w:b/>
          <w:sz w:val="28"/>
          <w:szCs w:val="24"/>
        </w:rPr>
        <w:t xml:space="preserve"> ghi nhận</w:t>
      </w:r>
      <w:r w:rsidR="00D07E6E">
        <w:rPr>
          <w:rFonts w:ascii="Arial" w:hAnsi="Arial" w:cs="Arial"/>
          <w:b/>
          <w:sz w:val="28"/>
          <w:szCs w:val="24"/>
        </w:rPr>
        <w:t xml:space="preserve"> ban đầu</w:t>
      </w:r>
    </w:p>
    <w:p w:rsidR="004F25AC" w:rsidRPr="00037E21" w:rsidRDefault="000D1E33" w:rsidP="0048656B">
      <w:pPr>
        <w:tabs>
          <w:tab w:val="left" w:pos="720"/>
        </w:tabs>
        <w:spacing w:after="120" w:line="240" w:lineRule="auto"/>
        <w:ind w:left="720" w:right="14" w:hanging="720"/>
        <w:jc w:val="both"/>
        <w:rPr>
          <w:rFonts w:ascii="Times New Roman" w:hAnsi="Times New Roman" w:cs="Times New Roman"/>
          <w:b/>
          <w:sz w:val="24"/>
          <w:szCs w:val="24"/>
        </w:rPr>
      </w:pPr>
      <w:r w:rsidRPr="00037E21">
        <w:rPr>
          <w:rFonts w:ascii="Times New Roman" w:hAnsi="Times New Roman" w:cs="Times New Roman"/>
          <w:b/>
          <w:sz w:val="24"/>
          <w:szCs w:val="24"/>
        </w:rPr>
        <w:t>20</w:t>
      </w:r>
      <w:r w:rsidRPr="00037E21">
        <w:rPr>
          <w:rFonts w:ascii="Times New Roman" w:hAnsi="Times New Roman" w:cs="Times New Roman"/>
          <w:b/>
          <w:sz w:val="24"/>
          <w:szCs w:val="24"/>
        </w:rPr>
        <w:tab/>
        <w:t xml:space="preserve">Một bất động sản đầu tư được sở hữu sẽ được </w:t>
      </w:r>
      <w:r w:rsidR="00DD57DD">
        <w:rPr>
          <w:rFonts w:ascii="Times New Roman" w:hAnsi="Times New Roman" w:cs="Times New Roman"/>
          <w:b/>
          <w:sz w:val="24"/>
          <w:szCs w:val="24"/>
        </w:rPr>
        <w:t xml:space="preserve">ghi nhận ban đầu theo </w:t>
      </w:r>
      <w:r w:rsidR="00D82BAD">
        <w:rPr>
          <w:rFonts w:ascii="Times New Roman" w:hAnsi="Times New Roman" w:cs="Times New Roman"/>
          <w:b/>
          <w:sz w:val="24"/>
          <w:szCs w:val="24"/>
        </w:rPr>
        <w:t>nguyên giá</w:t>
      </w:r>
      <w:r w:rsidRPr="00037E21">
        <w:rPr>
          <w:rFonts w:ascii="Times New Roman" w:hAnsi="Times New Roman" w:cs="Times New Roman"/>
          <w:b/>
          <w:sz w:val="24"/>
          <w:szCs w:val="24"/>
        </w:rPr>
        <w:t xml:space="preserve">. Chi phí giao dịch được bao gồm trong </w:t>
      </w:r>
      <w:r w:rsidR="00DD57DD">
        <w:rPr>
          <w:rFonts w:ascii="Times New Roman" w:hAnsi="Times New Roman" w:cs="Times New Roman"/>
          <w:b/>
          <w:sz w:val="24"/>
          <w:szCs w:val="24"/>
        </w:rPr>
        <w:t>giá trị ghi nhận ban đầu</w:t>
      </w:r>
      <w:r w:rsidRPr="00037E21">
        <w:rPr>
          <w:rFonts w:ascii="Times New Roman" w:hAnsi="Times New Roman" w:cs="Times New Roman"/>
          <w:b/>
          <w:sz w:val="24"/>
          <w:szCs w:val="24"/>
        </w:rPr>
        <w:t>.</w:t>
      </w:r>
    </w:p>
    <w:p w:rsidR="000D1E33" w:rsidRDefault="000D1E33"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D82BAD">
        <w:rPr>
          <w:rFonts w:ascii="Times New Roman" w:hAnsi="Times New Roman" w:cs="Times New Roman"/>
          <w:sz w:val="24"/>
          <w:szCs w:val="24"/>
        </w:rPr>
        <w:t>Nguyên giá</w:t>
      </w:r>
      <w:r>
        <w:rPr>
          <w:rFonts w:ascii="Times New Roman" w:hAnsi="Times New Roman" w:cs="Times New Roman"/>
          <w:sz w:val="24"/>
          <w:szCs w:val="24"/>
        </w:rPr>
        <w:t xml:space="preserve"> một bất động sản đầu tư</w:t>
      </w:r>
      <w:r w:rsidR="00C0556B">
        <w:rPr>
          <w:rFonts w:ascii="Times New Roman" w:hAnsi="Times New Roman" w:cs="Times New Roman"/>
          <w:sz w:val="24"/>
          <w:szCs w:val="24"/>
        </w:rPr>
        <w:t xml:space="preserve"> bằng cách đi mua </w:t>
      </w:r>
      <w:r>
        <w:rPr>
          <w:rFonts w:ascii="Times New Roman" w:hAnsi="Times New Roman" w:cs="Times New Roman"/>
          <w:sz w:val="24"/>
          <w:szCs w:val="24"/>
        </w:rPr>
        <w:t xml:space="preserve">bao gồm giá mua và bất kỳ chi phí liên quan trực tiếp đến việc mua bất động sản. Chi phí liên quan trực tiếp bao gồm, ví dụ, chi phí chuyên môn cho dịch vụ pháp luật, </w:t>
      </w:r>
      <w:r w:rsidR="00037E21">
        <w:rPr>
          <w:rFonts w:ascii="Times New Roman" w:hAnsi="Times New Roman" w:cs="Times New Roman"/>
          <w:sz w:val="24"/>
          <w:szCs w:val="24"/>
        </w:rPr>
        <w:t>thuế chuyển giao bất động sản và các chi phí giao dịch khác.</w:t>
      </w:r>
    </w:p>
    <w:p w:rsidR="00037E21" w:rsidRDefault="00037E21"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[Đã xóa]</w:t>
      </w:r>
    </w:p>
    <w:p w:rsidR="00037E21" w:rsidRDefault="00037E21"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602DA5">
        <w:rPr>
          <w:rFonts w:ascii="Times New Roman" w:hAnsi="Times New Roman" w:cs="Times New Roman"/>
          <w:sz w:val="24"/>
          <w:szCs w:val="24"/>
        </w:rPr>
        <w:t>Không tính vào n</w:t>
      </w:r>
      <w:r w:rsidR="00D82BAD">
        <w:rPr>
          <w:rFonts w:ascii="Times New Roman" w:hAnsi="Times New Roman" w:cs="Times New Roman"/>
          <w:sz w:val="24"/>
          <w:szCs w:val="24"/>
        </w:rPr>
        <w:t>guyên giá</w:t>
      </w:r>
      <w:r>
        <w:rPr>
          <w:rFonts w:ascii="Times New Roman" w:hAnsi="Times New Roman" w:cs="Times New Roman"/>
          <w:sz w:val="24"/>
          <w:szCs w:val="24"/>
        </w:rPr>
        <w:t xml:space="preserve"> của bất động sản đầu tư </w:t>
      </w:r>
      <w:r w:rsidR="00DD57DD">
        <w:rPr>
          <w:rFonts w:ascii="Times New Roman" w:hAnsi="Times New Roman" w:cs="Times New Roman"/>
          <w:sz w:val="24"/>
          <w:szCs w:val="24"/>
        </w:rPr>
        <w:t>các chi phí sau</w:t>
      </w:r>
      <w:r>
        <w:rPr>
          <w:rFonts w:ascii="Times New Roman" w:hAnsi="Times New Roman" w:cs="Times New Roman"/>
          <w:sz w:val="24"/>
          <w:szCs w:val="24"/>
        </w:rPr>
        <w:t>:</w:t>
      </w:r>
    </w:p>
    <w:p w:rsidR="00FA0294" w:rsidRDefault="00FA0294" w:rsidP="0048656B">
      <w:pPr>
        <w:tabs>
          <w:tab w:val="left" w:pos="1440"/>
        </w:tabs>
        <w:spacing w:after="120" w:line="240" w:lineRule="auto"/>
        <w:ind w:left="1440" w:right="14" w:hanging="720"/>
        <w:jc w:val="both"/>
        <w:rPr>
          <w:rFonts w:ascii="Times New Roman" w:hAnsi="Times New Roman" w:cs="Times New Roman"/>
          <w:sz w:val="24"/>
          <w:szCs w:val="24"/>
        </w:rPr>
      </w:pPr>
      <w:r w:rsidRPr="00FA0294">
        <w:rPr>
          <w:rFonts w:ascii="Times New Roman" w:hAnsi="Times New Roman" w:cs="Times New Roman"/>
          <w:sz w:val="24"/>
          <w:szCs w:val="24"/>
        </w:rPr>
        <w:lastRenderedPageBreak/>
        <w:t>(a)</w:t>
      </w:r>
      <w:r>
        <w:rPr>
          <w:rFonts w:ascii="Times New Roman" w:hAnsi="Times New Roman" w:cs="Times New Roman"/>
          <w:sz w:val="24"/>
          <w:szCs w:val="24"/>
        </w:rPr>
        <w:tab/>
        <w:t>chi phí khởi nghiệp (trừ khi là</w:t>
      </w:r>
      <w:r w:rsidR="00CA11E5">
        <w:rPr>
          <w:rFonts w:ascii="Times New Roman" w:hAnsi="Times New Roman" w:cs="Times New Roman"/>
          <w:sz w:val="24"/>
          <w:szCs w:val="24"/>
        </w:rPr>
        <w:t xml:space="preserve"> chi phí</w:t>
      </w:r>
      <w:r>
        <w:rPr>
          <w:rFonts w:ascii="Times New Roman" w:hAnsi="Times New Roman" w:cs="Times New Roman"/>
          <w:sz w:val="24"/>
          <w:szCs w:val="24"/>
        </w:rPr>
        <w:t xml:space="preserve"> cần thiết để chuyển bất động sản thành trạng thái có thể sử dụng được theo mục đích của ban quản trị)</w:t>
      </w:r>
      <w:r w:rsidR="00CA11E5">
        <w:rPr>
          <w:rFonts w:ascii="Times New Roman" w:hAnsi="Times New Roman" w:cs="Times New Roman"/>
          <w:sz w:val="24"/>
          <w:szCs w:val="24"/>
        </w:rPr>
        <w:t>.</w:t>
      </w:r>
    </w:p>
    <w:p w:rsidR="00CA11E5" w:rsidRDefault="00CA11E5"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lỗ từ hoạt động sản xuất kinh doanh phát sinh trước khi bất động sản đầu tư đạt được </w:t>
      </w:r>
      <w:r w:rsidR="00535ACC">
        <w:rPr>
          <w:rFonts w:ascii="Times New Roman" w:hAnsi="Times New Roman" w:cs="Times New Roman"/>
          <w:sz w:val="24"/>
          <w:szCs w:val="24"/>
        </w:rPr>
        <w:t>mức độ sử dụng theo kết hoạch, hoặc</w:t>
      </w:r>
    </w:p>
    <w:p w:rsidR="00535ACC" w:rsidRDefault="00535ACC"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giá trị lãng phí bất thường của nguyên vật liệu, nhân công hoặc các nguồn lực khác</w:t>
      </w:r>
      <w:r w:rsidR="007510E4">
        <w:rPr>
          <w:rFonts w:ascii="Times New Roman" w:hAnsi="Times New Roman" w:cs="Times New Roman"/>
          <w:sz w:val="24"/>
          <w:szCs w:val="24"/>
        </w:rPr>
        <w:t xml:space="preserve"> phát sinh khi </w:t>
      </w:r>
      <w:r w:rsidR="00DA7EED">
        <w:rPr>
          <w:rFonts w:ascii="Times New Roman" w:hAnsi="Times New Roman" w:cs="Times New Roman"/>
          <w:sz w:val="24"/>
          <w:szCs w:val="24"/>
        </w:rPr>
        <w:t>thi công</w:t>
      </w:r>
      <w:r w:rsidR="007510E4">
        <w:rPr>
          <w:rFonts w:ascii="Times New Roman" w:hAnsi="Times New Roman" w:cs="Times New Roman"/>
          <w:sz w:val="24"/>
          <w:szCs w:val="24"/>
        </w:rPr>
        <w:t xml:space="preserve"> hoặc phát triển bất động sản đầu tư.</w:t>
      </w:r>
    </w:p>
    <w:p w:rsidR="007510E4" w:rsidRDefault="007510E4"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 xml:space="preserve">Nếu các khoản </w:t>
      </w:r>
      <w:r w:rsidR="00602DA5">
        <w:rPr>
          <w:rFonts w:ascii="Times New Roman" w:hAnsi="Times New Roman" w:cs="Times New Roman"/>
          <w:sz w:val="24"/>
          <w:szCs w:val="24"/>
        </w:rPr>
        <w:t>thanh toán</w:t>
      </w:r>
      <w:r>
        <w:rPr>
          <w:rFonts w:ascii="Times New Roman" w:hAnsi="Times New Roman" w:cs="Times New Roman"/>
          <w:sz w:val="24"/>
          <w:szCs w:val="24"/>
        </w:rPr>
        <w:t xml:space="preserve"> cho một bất động sản đầu tư bị hoãn lại, </w:t>
      </w:r>
      <w:r w:rsidR="00015EF1">
        <w:rPr>
          <w:rFonts w:ascii="Times New Roman" w:hAnsi="Times New Roman" w:cs="Times New Roman"/>
          <w:sz w:val="24"/>
          <w:szCs w:val="24"/>
        </w:rPr>
        <w:t xml:space="preserve">nguyên giá </w:t>
      </w:r>
      <w:r>
        <w:rPr>
          <w:rFonts w:ascii="Times New Roman" w:hAnsi="Times New Roman" w:cs="Times New Roman"/>
          <w:sz w:val="24"/>
          <w:szCs w:val="24"/>
        </w:rPr>
        <w:t xml:space="preserve">là giá </w:t>
      </w:r>
      <w:r w:rsidR="00602DA5">
        <w:rPr>
          <w:rFonts w:ascii="Times New Roman" w:hAnsi="Times New Roman" w:cs="Times New Roman"/>
          <w:sz w:val="24"/>
          <w:szCs w:val="24"/>
        </w:rPr>
        <w:t xml:space="preserve">trị </w:t>
      </w:r>
      <w:r>
        <w:rPr>
          <w:rFonts w:ascii="Times New Roman" w:hAnsi="Times New Roman" w:cs="Times New Roman"/>
          <w:sz w:val="24"/>
          <w:szCs w:val="24"/>
        </w:rPr>
        <w:t xml:space="preserve">bằng tiền tương đương. Phần chênh lệch giữa giá trị này và tổng các khoản </w:t>
      </w:r>
      <w:r w:rsidR="00602DA5">
        <w:rPr>
          <w:rFonts w:ascii="Times New Roman" w:hAnsi="Times New Roman" w:cs="Times New Roman"/>
          <w:sz w:val="24"/>
          <w:szCs w:val="24"/>
        </w:rPr>
        <w:t>thanh toán</w:t>
      </w:r>
      <w:r>
        <w:rPr>
          <w:rFonts w:ascii="Times New Roman" w:hAnsi="Times New Roman" w:cs="Times New Roman"/>
          <w:sz w:val="24"/>
          <w:szCs w:val="24"/>
        </w:rPr>
        <w:t xml:space="preserve"> được ghi nhận là chi phí lãi cho khoảng thời gian mua hàng trả chậm.</w:t>
      </w:r>
    </w:p>
    <w:p w:rsidR="007510E4" w:rsidRDefault="007510E4"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[Đã xóa]</w:t>
      </w:r>
    </w:p>
    <w:p w:rsidR="007510E4" w:rsidRDefault="007510E4"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[Đã xóa]</w:t>
      </w:r>
    </w:p>
    <w:p w:rsidR="004F3D24" w:rsidRDefault="007510E4"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Một hoặc nhiều bất động sản đầu tư có thể được mua bằng </w:t>
      </w:r>
      <w:r w:rsidR="00015EF1">
        <w:rPr>
          <w:rFonts w:ascii="Times New Roman" w:hAnsi="Times New Roman" w:cs="Times New Roman"/>
          <w:sz w:val="24"/>
          <w:szCs w:val="24"/>
        </w:rPr>
        <w:t>cách</w:t>
      </w:r>
      <w:r>
        <w:rPr>
          <w:rFonts w:ascii="Times New Roman" w:hAnsi="Times New Roman" w:cs="Times New Roman"/>
          <w:sz w:val="24"/>
          <w:szCs w:val="24"/>
        </w:rPr>
        <w:t xml:space="preserve"> trao đổi </w:t>
      </w:r>
      <w:r w:rsidR="00632019">
        <w:rPr>
          <w:rFonts w:ascii="Times New Roman" w:hAnsi="Times New Roman" w:cs="Times New Roman"/>
          <w:sz w:val="24"/>
          <w:szCs w:val="24"/>
        </w:rPr>
        <w:t>với</w:t>
      </w:r>
      <w:r>
        <w:rPr>
          <w:rFonts w:ascii="Times New Roman" w:hAnsi="Times New Roman" w:cs="Times New Roman"/>
          <w:sz w:val="24"/>
          <w:szCs w:val="24"/>
        </w:rPr>
        <w:t xml:space="preserve"> một tài sản phi tiền tệ hoặc một </w:t>
      </w:r>
      <w:r w:rsidR="00632019">
        <w:rPr>
          <w:rFonts w:ascii="Times New Roman" w:hAnsi="Times New Roman" w:cs="Times New Roman"/>
          <w:sz w:val="24"/>
          <w:szCs w:val="24"/>
        </w:rPr>
        <w:t xml:space="preserve">số </w:t>
      </w:r>
      <w:r>
        <w:rPr>
          <w:rFonts w:ascii="Times New Roman" w:hAnsi="Times New Roman" w:cs="Times New Roman"/>
          <w:sz w:val="24"/>
          <w:szCs w:val="24"/>
        </w:rPr>
        <w:t>tài sản, hoặc bằng việc kết hợp của cả tài sản tiền tệ và phi tiền tệ.</w:t>
      </w:r>
      <w:r w:rsidR="004F3D24">
        <w:rPr>
          <w:rFonts w:ascii="Times New Roman" w:hAnsi="Times New Roman" w:cs="Times New Roman"/>
          <w:sz w:val="24"/>
          <w:szCs w:val="24"/>
        </w:rPr>
        <w:t xml:space="preserve"> Phần sau đây sẽ </w:t>
      </w:r>
      <w:r w:rsidR="00015EF1">
        <w:rPr>
          <w:rFonts w:ascii="Times New Roman" w:hAnsi="Times New Roman" w:cs="Times New Roman"/>
          <w:sz w:val="24"/>
          <w:szCs w:val="24"/>
        </w:rPr>
        <w:t xml:space="preserve">quy định </w:t>
      </w:r>
      <w:r w:rsidR="004F3D24">
        <w:rPr>
          <w:rFonts w:ascii="Times New Roman" w:hAnsi="Times New Roman" w:cs="Times New Roman"/>
          <w:sz w:val="24"/>
          <w:szCs w:val="24"/>
        </w:rPr>
        <w:t xml:space="preserve">về việc trao đổi một tài sản phi tiền tệ cho một tài sản phi tiền tệ khác, nhưng cũng đồng thời áp dụng cho toàn bộ giao dịch trao đổi được nhắc đến trong câu trước. Chi phí cho bất động sản đầu tư nêu trên sẽ được xác định tại giá trị hợp lý, trừ khi </w:t>
      </w:r>
      <w:r w:rsidR="009A4071">
        <w:rPr>
          <w:rFonts w:ascii="Times New Roman" w:hAnsi="Times New Roman" w:cs="Times New Roman"/>
          <w:sz w:val="24"/>
          <w:szCs w:val="24"/>
        </w:rPr>
        <w:t xml:space="preserve">(a) </w:t>
      </w:r>
      <w:r w:rsidR="004F3D24">
        <w:rPr>
          <w:rFonts w:ascii="Times New Roman" w:hAnsi="Times New Roman" w:cs="Times New Roman"/>
          <w:sz w:val="24"/>
          <w:szCs w:val="24"/>
        </w:rPr>
        <w:t xml:space="preserve">giao dịch trao đổi thiếu </w:t>
      </w:r>
      <w:r w:rsidR="009A4071">
        <w:rPr>
          <w:rFonts w:ascii="Times New Roman" w:hAnsi="Times New Roman" w:cs="Times New Roman"/>
          <w:sz w:val="24"/>
          <w:szCs w:val="24"/>
        </w:rPr>
        <w:t xml:space="preserve">bản chất thương mại hoặc (b) giá trị hợp lý của tài sản được nhận </w:t>
      </w:r>
      <w:r w:rsidR="00015EF1">
        <w:rPr>
          <w:rFonts w:ascii="Times New Roman" w:hAnsi="Times New Roman" w:cs="Times New Roman"/>
          <w:sz w:val="24"/>
          <w:szCs w:val="24"/>
        </w:rPr>
        <w:t>ho</w:t>
      </w:r>
      <w:r w:rsidR="00632019">
        <w:rPr>
          <w:rFonts w:ascii="Times New Roman" w:hAnsi="Times New Roman" w:cs="Times New Roman"/>
          <w:sz w:val="24"/>
          <w:szCs w:val="24"/>
        </w:rPr>
        <w:t>ặ</w:t>
      </w:r>
      <w:r w:rsidR="00015EF1">
        <w:rPr>
          <w:rFonts w:ascii="Times New Roman" w:hAnsi="Times New Roman" w:cs="Times New Roman"/>
          <w:sz w:val="24"/>
          <w:szCs w:val="24"/>
        </w:rPr>
        <w:t>c</w:t>
      </w:r>
      <w:r w:rsidR="009A4071">
        <w:rPr>
          <w:rFonts w:ascii="Times New Roman" w:hAnsi="Times New Roman" w:cs="Times New Roman"/>
          <w:sz w:val="24"/>
          <w:szCs w:val="24"/>
        </w:rPr>
        <w:t xml:space="preserve"> </w:t>
      </w:r>
      <w:r w:rsidR="00541D1B">
        <w:rPr>
          <w:rFonts w:ascii="Times New Roman" w:hAnsi="Times New Roman" w:cs="Times New Roman"/>
          <w:sz w:val="24"/>
          <w:szCs w:val="24"/>
        </w:rPr>
        <w:t>tài sản mang đi trao đổi</w:t>
      </w:r>
      <w:r w:rsidR="009A4071">
        <w:rPr>
          <w:rFonts w:ascii="Times New Roman" w:hAnsi="Times New Roman" w:cs="Times New Roman"/>
          <w:sz w:val="24"/>
          <w:szCs w:val="24"/>
        </w:rPr>
        <w:t xml:space="preserve"> không thể được xác định một cách đáng tin cậy. Giá trị của tài sản nhận về sẽ được xác định theo phương pháp này kể cả nếu đơn vị không thể </w:t>
      </w:r>
      <w:r w:rsidR="00015EF1">
        <w:rPr>
          <w:rFonts w:ascii="Times New Roman" w:hAnsi="Times New Roman" w:cs="Times New Roman"/>
          <w:sz w:val="24"/>
          <w:szCs w:val="24"/>
        </w:rPr>
        <w:t>dừng ghi nhận</w:t>
      </w:r>
      <w:r w:rsidR="009A4071">
        <w:rPr>
          <w:rFonts w:ascii="Times New Roman" w:hAnsi="Times New Roman" w:cs="Times New Roman"/>
          <w:sz w:val="24"/>
          <w:szCs w:val="24"/>
        </w:rPr>
        <w:t xml:space="preserve"> ngay lập tức giá trị của </w:t>
      </w:r>
      <w:r w:rsidR="00541D1B">
        <w:rPr>
          <w:rFonts w:ascii="Times New Roman" w:hAnsi="Times New Roman" w:cs="Times New Roman"/>
          <w:sz w:val="24"/>
          <w:szCs w:val="24"/>
        </w:rPr>
        <w:t>tài sản mang đi trao đổi</w:t>
      </w:r>
      <w:r w:rsidR="009A4071">
        <w:rPr>
          <w:rFonts w:ascii="Times New Roman" w:hAnsi="Times New Roman" w:cs="Times New Roman"/>
          <w:sz w:val="24"/>
          <w:szCs w:val="24"/>
        </w:rPr>
        <w:t xml:space="preserve">. Nếu giá trị của tài sản nhận về không </w:t>
      </w:r>
      <w:r w:rsidR="00015EF1">
        <w:rPr>
          <w:rFonts w:ascii="Times New Roman" w:hAnsi="Times New Roman" w:cs="Times New Roman"/>
          <w:sz w:val="24"/>
          <w:szCs w:val="24"/>
        </w:rPr>
        <w:t xml:space="preserve">được </w:t>
      </w:r>
      <w:r w:rsidR="00632019">
        <w:rPr>
          <w:rFonts w:ascii="Times New Roman" w:hAnsi="Times New Roman" w:cs="Times New Roman"/>
          <w:sz w:val="24"/>
          <w:szCs w:val="24"/>
        </w:rPr>
        <w:t>xác định</w:t>
      </w:r>
      <w:r w:rsidR="00015EF1">
        <w:rPr>
          <w:rFonts w:ascii="Times New Roman" w:hAnsi="Times New Roman" w:cs="Times New Roman"/>
          <w:sz w:val="24"/>
          <w:szCs w:val="24"/>
        </w:rPr>
        <w:t xml:space="preserve"> theo giá trị hợp lý</w:t>
      </w:r>
      <w:r w:rsidR="009A4071">
        <w:rPr>
          <w:rFonts w:ascii="Times New Roman" w:hAnsi="Times New Roman" w:cs="Times New Roman"/>
          <w:sz w:val="24"/>
          <w:szCs w:val="24"/>
        </w:rPr>
        <w:t xml:space="preserve">, </w:t>
      </w:r>
      <w:r w:rsidR="00015EF1">
        <w:rPr>
          <w:rFonts w:ascii="Times New Roman" w:hAnsi="Times New Roman" w:cs="Times New Roman"/>
          <w:sz w:val="24"/>
          <w:szCs w:val="24"/>
        </w:rPr>
        <w:t>nguyên giá</w:t>
      </w:r>
      <w:r w:rsidR="009A4071">
        <w:rPr>
          <w:rFonts w:ascii="Times New Roman" w:hAnsi="Times New Roman" w:cs="Times New Roman"/>
          <w:sz w:val="24"/>
          <w:szCs w:val="24"/>
        </w:rPr>
        <w:t xml:space="preserve"> sẽ được xác đị</w:t>
      </w:r>
      <w:r w:rsidR="001C43DB">
        <w:rPr>
          <w:rFonts w:ascii="Times New Roman" w:hAnsi="Times New Roman" w:cs="Times New Roman"/>
          <w:sz w:val="24"/>
          <w:szCs w:val="24"/>
        </w:rPr>
        <w:t>nh theo giá trị</w:t>
      </w:r>
      <w:r w:rsidR="009A4071">
        <w:rPr>
          <w:rFonts w:ascii="Times New Roman" w:hAnsi="Times New Roman" w:cs="Times New Roman"/>
          <w:sz w:val="24"/>
          <w:szCs w:val="24"/>
        </w:rPr>
        <w:t xml:space="preserve"> </w:t>
      </w:r>
      <w:r w:rsidR="008C5CDA">
        <w:rPr>
          <w:rFonts w:ascii="Times New Roman" w:hAnsi="Times New Roman" w:cs="Times New Roman"/>
          <w:sz w:val="24"/>
          <w:szCs w:val="24"/>
        </w:rPr>
        <w:t>ghi sổ</w:t>
      </w:r>
      <w:r w:rsidR="009A4071">
        <w:rPr>
          <w:rFonts w:ascii="Times New Roman" w:hAnsi="Times New Roman" w:cs="Times New Roman"/>
          <w:sz w:val="24"/>
          <w:szCs w:val="24"/>
        </w:rPr>
        <w:t xml:space="preserve"> của </w:t>
      </w:r>
      <w:r w:rsidR="00541D1B">
        <w:rPr>
          <w:rFonts w:ascii="Times New Roman" w:hAnsi="Times New Roman" w:cs="Times New Roman"/>
          <w:sz w:val="24"/>
          <w:szCs w:val="24"/>
        </w:rPr>
        <w:t>tài sản mang đi trao đổi</w:t>
      </w:r>
      <w:r w:rsidR="009A4071">
        <w:rPr>
          <w:rFonts w:ascii="Times New Roman" w:hAnsi="Times New Roman" w:cs="Times New Roman"/>
          <w:sz w:val="24"/>
          <w:szCs w:val="24"/>
        </w:rPr>
        <w:t>.</w:t>
      </w:r>
    </w:p>
    <w:p w:rsidR="009A4071" w:rsidRDefault="003F64FA"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sidR="00847654">
        <w:rPr>
          <w:rFonts w:ascii="Times New Roman" w:hAnsi="Times New Roman" w:cs="Times New Roman"/>
          <w:sz w:val="24"/>
          <w:szCs w:val="24"/>
        </w:rPr>
        <w:t>Đ</w:t>
      </w:r>
      <w:r>
        <w:rPr>
          <w:rFonts w:ascii="Times New Roman" w:hAnsi="Times New Roman" w:cs="Times New Roman"/>
          <w:sz w:val="24"/>
          <w:szCs w:val="24"/>
        </w:rPr>
        <w:t>ơn vị xác định việc một giao dịch trao đổi có bản chất thương mại hay không bằng cách cân nhắc</w:t>
      </w:r>
      <w:r w:rsidR="00647405">
        <w:rPr>
          <w:rFonts w:ascii="Times New Roman" w:hAnsi="Times New Roman" w:cs="Times New Roman"/>
          <w:sz w:val="24"/>
          <w:szCs w:val="24"/>
        </w:rPr>
        <w:t xml:space="preserve"> mức độ thay đổi dự kiến của dòng tiền tương lai sẽ phát sinh từ giao dịch. Một giao dịch trao đổi sẽ được coi là có bản chất thương mại nếu:</w:t>
      </w:r>
    </w:p>
    <w:p w:rsidR="00647405" w:rsidRDefault="00647405"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35ECF">
        <w:rPr>
          <w:rFonts w:ascii="Times New Roman" w:hAnsi="Times New Roman" w:cs="Times New Roman"/>
          <w:sz w:val="24"/>
          <w:szCs w:val="24"/>
        </w:rPr>
        <w:t xml:space="preserve">bản chất (rủi ro, thời hạn và giá trị) của dòng tiền của tài sản nhận về khác với bản chất của dòng tiền của </w:t>
      </w:r>
      <w:r w:rsidR="00541D1B">
        <w:rPr>
          <w:rFonts w:ascii="Times New Roman" w:hAnsi="Times New Roman" w:cs="Times New Roman"/>
          <w:sz w:val="24"/>
          <w:szCs w:val="24"/>
        </w:rPr>
        <w:t>tài sản mang đi trao đổi</w:t>
      </w:r>
      <w:r w:rsidR="00935ECF">
        <w:rPr>
          <w:rFonts w:ascii="Times New Roman" w:hAnsi="Times New Roman" w:cs="Times New Roman"/>
          <w:sz w:val="24"/>
          <w:szCs w:val="24"/>
        </w:rPr>
        <w:t>, hoặc</w:t>
      </w:r>
    </w:p>
    <w:p w:rsidR="00935ECF" w:rsidRDefault="00935ECF"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giá trị </w:t>
      </w:r>
      <w:r w:rsidR="00682209">
        <w:rPr>
          <w:rFonts w:ascii="Times New Roman" w:hAnsi="Times New Roman" w:cs="Times New Roman"/>
          <w:sz w:val="24"/>
          <w:szCs w:val="24"/>
        </w:rPr>
        <w:t>xác định</w:t>
      </w:r>
      <w:r w:rsidR="005B76A5">
        <w:rPr>
          <w:rFonts w:ascii="Times New Roman" w:hAnsi="Times New Roman" w:cs="Times New Roman"/>
          <w:sz w:val="24"/>
          <w:szCs w:val="24"/>
        </w:rPr>
        <w:t xml:space="preserve"> theo đặc thù đơn vị</w:t>
      </w:r>
      <w:r w:rsidR="00682209">
        <w:rPr>
          <w:rFonts w:ascii="Times New Roman" w:hAnsi="Times New Roman" w:cs="Times New Roman"/>
          <w:sz w:val="24"/>
          <w:szCs w:val="24"/>
        </w:rPr>
        <w:t xml:space="preserve"> </w:t>
      </w:r>
      <w:r>
        <w:rPr>
          <w:rFonts w:ascii="Times New Roman" w:hAnsi="Times New Roman" w:cs="Times New Roman"/>
          <w:sz w:val="24"/>
          <w:szCs w:val="24"/>
        </w:rPr>
        <w:t xml:space="preserve">của phần hoạt động sản xuất kinh doanh </w:t>
      </w:r>
      <w:r w:rsidR="00682209">
        <w:rPr>
          <w:rFonts w:ascii="Times New Roman" w:hAnsi="Times New Roman" w:cs="Times New Roman"/>
          <w:sz w:val="24"/>
          <w:szCs w:val="24"/>
        </w:rPr>
        <w:t xml:space="preserve">của đơn vị </w:t>
      </w:r>
      <w:r>
        <w:rPr>
          <w:rFonts w:ascii="Times New Roman" w:hAnsi="Times New Roman" w:cs="Times New Roman"/>
          <w:sz w:val="24"/>
          <w:szCs w:val="24"/>
        </w:rPr>
        <w:t xml:space="preserve">chịu ảnh hưởng </w:t>
      </w:r>
      <w:r w:rsidR="001763EB">
        <w:rPr>
          <w:rFonts w:ascii="Times New Roman" w:hAnsi="Times New Roman" w:cs="Times New Roman"/>
          <w:sz w:val="24"/>
          <w:szCs w:val="24"/>
        </w:rPr>
        <w:t>bởi</w:t>
      </w:r>
      <w:r>
        <w:rPr>
          <w:rFonts w:ascii="Times New Roman" w:hAnsi="Times New Roman" w:cs="Times New Roman"/>
          <w:sz w:val="24"/>
          <w:szCs w:val="24"/>
        </w:rPr>
        <w:t xml:space="preserve"> giao dịch </w:t>
      </w:r>
      <w:r w:rsidR="00682209">
        <w:rPr>
          <w:rFonts w:ascii="Times New Roman" w:hAnsi="Times New Roman" w:cs="Times New Roman"/>
          <w:sz w:val="24"/>
          <w:szCs w:val="24"/>
        </w:rPr>
        <w:t>thay đổi là</w:t>
      </w:r>
      <w:r>
        <w:rPr>
          <w:rFonts w:ascii="Times New Roman" w:hAnsi="Times New Roman" w:cs="Times New Roman"/>
          <w:sz w:val="24"/>
          <w:szCs w:val="24"/>
        </w:rPr>
        <w:t xml:space="preserve"> kết quả của </w:t>
      </w:r>
      <w:r w:rsidR="00682209">
        <w:rPr>
          <w:rFonts w:ascii="Times New Roman" w:hAnsi="Times New Roman" w:cs="Times New Roman"/>
          <w:sz w:val="24"/>
          <w:szCs w:val="24"/>
        </w:rPr>
        <w:t>sự</w:t>
      </w:r>
      <w:r>
        <w:rPr>
          <w:rFonts w:ascii="Times New Roman" w:hAnsi="Times New Roman" w:cs="Times New Roman"/>
          <w:sz w:val="24"/>
          <w:szCs w:val="24"/>
        </w:rPr>
        <w:t xml:space="preserve"> trao đổi, và</w:t>
      </w:r>
    </w:p>
    <w:p w:rsidR="00935ECF" w:rsidRDefault="00935ECF"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A334B0">
        <w:rPr>
          <w:rFonts w:ascii="Times New Roman" w:hAnsi="Times New Roman" w:cs="Times New Roman"/>
          <w:sz w:val="24"/>
          <w:szCs w:val="24"/>
        </w:rPr>
        <w:t>khoản chênh lệch giữa điểm (a) và (b) là đáng kể khi so sánh với giá trị hợp lý của tài sản được trao đổi.</w:t>
      </w:r>
    </w:p>
    <w:p w:rsidR="001763EB" w:rsidRDefault="00A334B0"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ab/>
        <w:t xml:space="preserve">Để phục vụ mục đích xác định một giao dịch trao đổi có bản chất thương mại hay không, </w:t>
      </w:r>
      <w:r w:rsidR="001763EB">
        <w:rPr>
          <w:rFonts w:ascii="Times New Roman" w:hAnsi="Times New Roman" w:cs="Times New Roman"/>
          <w:sz w:val="24"/>
          <w:szCs w:val="24"/>
        </w:rPr>
        <w:t xml:space="preserve">giá trị </w:t>
      </w:r>
      <w:r w:rsidR="005B76A5">
        <w:rPr>
          <w:rFonts w:ascii="Times New Roman" w:hAnsi="Times New Roman" w:cs="Times New Roman"/>
          <w:sz w:val="24"/>
          <w:szCs w:val="24"/>
        </w:rPr>
        <w:t xml:space="preserve">xác định theo </w:t>
      </w:r>
      <w:r w:rsidR="001763EB">
        <w:rPr>
          <w:rFonts w:ascii="Times New Roman" w:hAnsi="Times New Roman" w:cs="Times New Roman"/>
          <w:sz w:val="24"/>
          <w:szCs w:val="24"/>
        </w:rPr>
        <w:t xml:space="preserve">đặc thù của phần hoạt động sản xuất kinh doanh chịu ảnh hưởng bởi giao dịch trao đổi sẽ được thể </w:t>
      </w:r>
      <w:r w:rsidR="008C5CDA">
        <w:rPr>
          <w:rFonts w:ascii="Times New Roman" w:hAnsi="Times New Roman" w:cs="Times New Roman"/>
          <w:sz w:val="24"/>
          <w:szCs w:val="24"/>
        </w:rPr>
        <w:t>hiện</w:t>
      </w:r>
      <w:r w:rsidR="001763EB">
        <w:rPr>
          <w:rFonts w:ascii="Times New Roman" w:hAnsi="Times New Roman" w:cs="Times New Roman"/>
          <w:sz w:val="24"/>
          <w:szCs w:val="24"/>
        </w:rPr>
        <w:t xml:space="preserve"> bằng dòng tiền sau thuế. Kết quả của việc phân tích nêu trên có thể sẽ rất rõ ràng kể cả khi đơn vị không thực hiện việc tính toán chi tiết.</w:t>
      </w:r>
    </w:p>
    <w:p w:rsidR="00A334B0" w:rsidRDefault="001763EB"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000C5700">
        <w:rPr>
          <w:rFonts w:ascii="Times New Roman" w:hAnsi="Times New Roman" w:cs="Times New Roman"/>
          <w:sz w:val="24"/>
          <w:szCs w:val="24"/>
        </w:rPr>
        <w:t xml:space="preserve">Giá trị hợp lý của tài sản được coi là được xác định một cách đáng tin cậy khi (a) </w:t>
      </w:r>
      <w:r w:rsidR="00DA77CD">
        <w:rPr>
          <w:rFonts w:ascii="Times New Roman" w:hAnsi="Times New Roman" w:cs="Times New Roman"/>
          <w:sz w:val="24"/>
          <w:szCs w:val="24"/>
        </w:rPr>
        <w:t>độ biến thiên</w:t>
      </w:r>
      <w:r w:rsidR="000C5700">
        <w:rPr>
          <w:rFonts w:ascii="Times New Roman" w:hAnsi="Times New Roman" w:cs="Times New Roman"/>
          <w:sz w:val="24"/>
          <w:szCs w:val="24"/>
        </w:rPr>
        <w:t xml:space="preserve"> </w:t>
      </w:r>
      <w:r w:rsidR="008C5CDA">
        <w:rPr>
          <w:rFonts w:ascii="Times New Roman" w:hAnsi="Times New Roman" w:cs="Times New Roman"/>
          <w:sz w:val="24"/>
          <w:szCs w:val="24"/>
        </w:rPr>
        <w:t>trong</w:t>
      </w:r>
      <w:r w:rsidR="000C5700">
        <w:rPr>
          <w:rFonts w:ascii="Times New Roman" w:hAnsi="Times New Roman" w:cs="Times New Roman"/>
          <w:sz w:val="24"/>
          <w:szCs w:val="24"/>
        </w:rPr>
        <w:t xml:space="preserve"> </w:t>
      </w:r>
      <w:r w:rsidR="00541D1B">
        <w:rPr>
          <w:rFonts w:ascii="Times New Roman" w:hAnsi="Times New Roman" w:cs="Times New Roman"/>
          <w:sz w:val="24"/>
          <w:szCs w:val="24"/>
        </w:rPr>
        <w:t>phạm vi đo lường</w:t>
      </w:r>
      <w:r w:rsidR="000C5700">
        <w:rPr>
          <w:rFonts w:ascii="Times New Roman" w:hAnsi="Times New Roman" w:cs="Times New Roman"/>
          <w:sz w:val="24"/>
          <w:szCs w:val="24"/>
        </w:rPr>
        <w:t xml:space="preserve"> giá trị </w:t>
      </w:r>
      <w:r w:rsidR="00DA77CD">
        <w:rPr>
          <w:rFonts w:ascii="Times New Roman" w:hAnsi="Times New Roman" w:cs="Times New Roman"/>
          <w:sz w:val="24"/>
          <w:szCs w:val="24"/>
        </w:rPr>
        <w:t xml:space="preserve">hợp lý </w:t>
      </w:r>
      <w:r w:rsidR="000C5700">
        <w:rPr>
          <w:rFonts w:ascii="Times New Roman" w:hAnsi="Times New Roman" w:cs="Times New Roman"/>
          <w:sz w:val="24"/>
          <w:szCs w:val="24"/>
        </w:rPr>
        <w:t xml:space="preserve">được xác định một cách đáng tin cậy là </w:t>
      </w:r>
      <w:r w:rsidR="007A3FA0">
        <w:rPr>
          <w:rFonts w:ascii="Times New Roman" w:hAnsi="Times New Roman" w:cs="Times New Roman"/>
          <w:sz w:val="24"/>
          <w:szCs w:val="24"/>
        </w:rPr>
        <w:t xml:space="preserve">không đáng kể </w:t>
      </w:r>
      <w:r w:rsidR="00541D1B">
        <w:rPr>
          <w:rFonts w:ascii="Times New Roman" w:hAnsi="Times New Roman" w:cs="Times New Roman"/>
          <w:sz w:val="24"/>
          <w:szCs w:val="24"/>
        </w:rPr>
        <w:t xml:space="preserve">đối với </w:t>
      </w:r>
      <w:r w:rsidR="007A3FA0">
        <w:rPr>
          <w:rFonts w:ascii="Times New Roman" w:hAnsi="Times New Roman" w:cs="Times New Roman"/>
          <w:sz w:val="24"/>
          <w:szCs w:val="24"/>
        </w:rPr>
        <w:t xml:space="preserve">tài sản </w:t>
      </w:r>
      <w:r w:rsidR="00541D1B">
        <w:rPr>
          <w:rFonts w:ascii="Times New Roman" w:hAnsi="Times New Roman" w:cs="Times New Roman"/>
          <w:sz w:val="24"/>
          <w:szCs w:val="24"/>
        </w:rPr>
        <w:t xml:space="preserve">đó </w:t>
      </w:r>
      <w:r w:rsidR="007A3FA0">
        <w:rPr>
          <w:rFonts w:ascii="Times New Roman" w:hAnsi="Times New Roman" w:cs="Times New Roman"/>
          <w:sz w:val="24"/>
          <w:szCs w:val="24"/>
        </w:rPr>
        <w:t xml:space="preserve">hoặc (b) xác suất </w:t>
      </w:r>
      <w:r w:rsidR="007A3FA0">
        <w:rPr>
          <w:rFonts w:ascii="Times New Roman" w:hAnsi="Times New Roman" w:cs="Times New Roman"/>
          <w:sz w:val="24"/>
          <w:szCs w:val="24"/>
        </w:rPr>
        <w:lastRenderedPageBreak/>
        <w:t xml:space="preserve">của các ước tính khác nhau có thể được đánh giá một cách hợp lý và sử dụng khi xác định giá trị hợp lý. Nếu đơn vị có thể xác định một cách đáng tin cậy giá trị hợp lý của tài sản nhận về hoặc </w:t>
      </w:r>
      <w:r w:rsidR="00541D1B">
        <w:rPr>
          <w:rFonts w:ascii="Times New Roman" w:hAnsi="Times New Roman" w:cs="Times New Roman"/>
          <w:sz w:val="24"/>
          <w:szCs w:val="24"/>
        </w:rPr>
        <w:t>tài sản mang đi trao đổi</w:t>
      </w:r>
      <w:r w:rsidR="007A3FA0">
        <w:rPr>
          <w:rFonts w:ascii="Times New Roman" w:hAnsi="Times New Roman" w:cs="Times New Roman"/>
          <w:sz w:val="24"/>
          <w:szCs w:val="24"/>
        </w:rPr>
        <w:t xml:space="preserve">, thì giá trị hợp lý của </w:t>
      </w:r>
      <w:r w:rsidR="00541D1B">
        <w:rPr>
          <w:rFonts w:ascii="Times New Roman" w:hAnsi="Times New Roman" w:cs="Times New Roman"/>
          <w:sz w:val="24"/>
          <w:szCs w:val="24"/>
        </w:rPr>
        <w:t>tài sản mang đi trao đổi</w:t>
      </w:r>
      <w:r w:rsidR="007A3FA0">
        <w:rPr>
          <w:rFonts w:ascii="Times New Roman" w:hAnsi="Times New Roman" w:cs="Times New Roman"/>
          <w:sz w:val="24"/>
          <w:szCs w:val="24"/>
        </w:rPr>
        <w:t xml:space="preserve"> được sử dụng để xác định </w:t>
      </w:r>
      <w:r w:rsidR="008C5CDA">
        <w:rPr>
          <w:rFonts w:ascii="Times New Roman" w:hAnsi="Times New Roman" w:cs="Times New Roman"/>
          <w:sz w:val="24"/>
          <w:szCs w:val="24"/>
        </w:rPr>
        <w:t>nguyên giá</w:t>
      </w:r>
      <w:r w:rsidR="007A3FA0">
        <w:rPr>
          <w:rFonts w:ascii="Times New Roman" w:hAnsi="Times New Roman" w:cs="Times New Roman"/>
          <w:sz w:val="24"/>
          <w:szCs w:val="24"/>
        </w:rPr>
        <w:t xml:space="preserve"> trừ khi giá trị hợp lý của tài sản nhận về được xác định một cách rõ ràng hơn.</w:t>
      </w:r>
    </w:p>
    <w:p w:rsidR="007A3FA0" w:rsidRPr="00FA0294" w:rsidRDefault="007A3FA0"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29A</w:t>
      </w:r>
      <w:r>
        <w:rPr>
          <w:rFonts w:ascii="Times New Roman" w:hAnsi="Times New Roman" w:cs="Times New Roman"/>
          <w:sz w:val="24"/>
          <w:szCs w:val="24"/>
        </w:rPr>
        <w:tab/>
        <w:t xml:space="preserve">Một bất động sản đầu tư được nắm giữ bởi bên đi thuê như là một tài sản có quyển sở hữu được ghi nhận ban đầu tại </w:t>
      </w:r>
      <w:r w:rsidR="008C5CDA">
        <w:rPr>
          <w:rFonts w:ascii="Times New Roman" w:hAnsi="Times New Roman" w:cs="Times New Roman"/>
          <w:sz w:val="24"/>
          <w:szCs w:val="24"/>
        </w:rPr>
        <w:t>nguyên giá</w:t>
      </w:r>
      <w:r>
        <w:rPr>
          <w:rFonts w:ascii="Times New Roman" w:hAnsi="Times New Roman" w:cs="Times New Roman"/>
          <w:sz w:val="24"/>
          <w:szCs w:val="24"/>
        </w:rPr>
        <w:t xml:space="preserve"> theo IFRS 16.</w:t>
      </w:r>
    </w:p>
    <w:p w:rsidR="004F25AC" w:rsidRPr="00D07E6E" w:rsidRDefault="00D07E6E" w:rsidP="0048656B">
      <w:pPr>
        <w:pBdr>
          <w:bottom w:val="single" w:sz="6" w:space="1" w:color="auto"/>
        </w:pBdr>
        <w:spacing w:before="200" w:after="120" w:line="240" w:lineRule="auto"/>
        <w:ind w:right="14"/>
        <w:jc w:val="both"/>
        <w:rPr>
          <w:rFonts w:ascii="Arial" w:hAnsi="Arial" w:cs="Arial"/>
          <w:b/>
          <w:sz w:val="28"/>
          <w:szCs w:val="24"/>
        </w:rPr>
      </w:pPr>
      <w:r w:rsidRPr="00D07E6E">
        <w:rPr>
          <w:rFonts w:ascii="Arial" w:hAnsi="Arial" w:cs="Arial"/>
          <w:b/>
          <w:sz w:val="28"/>
          <w:szCs w:val="24"/>
        </w:rPr>
        <w:t xml:space="preserve">Xác định giá trị sau thời điểm </w:t>
      </w:r>
      <w:r>
        <w:rPr>
          <w:rFonts w:ascii="Arial" w:hAnsi="Arial" w:cs="Arial"/>
          <w:b/>
          <w:sz w:val="28"/>
          <w:szCs w:val="24"/>
        </w:rPr>
        <w:t xml:space="preserve">ghi nhận </w:t>
      </w:r>
      <w:r w:rsidRPr="00D07E6E">
        <w:rPr>
          <w:rFonts w:ascii="Arial" w:hAnsi="Arial" w:cs="Arial"/>
          <w:b/>
          <w:sz w:val="28"/>
          <w:szCs w:val="24"/>
        </w:rPr>
        <w:t>ban đầu</w:t>
      </w:r>
    </w:p>
    <w:p w:rsidR="00D07E6E" w:rsidRDefault="00D07E6E" w:rsidP="0048656B">
      <w:pPr>
        <w:tabs>
          <w:tab w:val="left" w:pos="720"/>
        </w:tabs>
        <w:spacing w:after="120" w:line="240" w:lineRule="auto"/>
        <w:ind w:left="720" w:right="14" w:hanging="720"/>
        <w:jc w:val="both"/>
        <w:rPr>
          <w:rFonts w:ascii="Arial" w:hAnsi="Arial" w:cs="Arial"/>
          <w:b/>
          <w:sz w:val="28"/>
          <w:szCs w:val="24"/>
        </w:rPr>
      </w:pPr>
      <w:r w:rsidRPr="00D07E6E">
        <w:rPr>
          <w:rFonts w:ascii="Arial" w:hAnsi="Arial" w:cs="Arial"/>
          <w:b/>
          <w:sz w:val="28"/>
          <w:szCs w:val="24"/>
        </w:rPr>
        <w:tab/>
      </w:r>
      <w:r w:rsidR="00541D1B">
        <w:rPr>
          <w:rFonts w:ascii="Arial" w:hAnsi="Arial" w:cs="Arial"/>
          <w:b/>
          <w:sz w:val="28"/>
          <w:szCs w:val="24"/>
        </w:rPr>
        <w:t>Chính sách kế toán</w:t>
      </w:r>
    </w:p>
    <w:p w:rsidR="00D07E6E" w:rsidRDefault="00AA721D" w:rsidP="0048656B">
      <w:pPr>
        <w:tabs>
          <w:tab w:val="left" w:pos="720"/>
        </w:tabs>
        <w:spacing w:after="120" w:line="240" w:lineRule="auto"/>
        <w:ind w:left="720" w:right="14" w:hanging="720"/>
        <w:jc w:val="both"/>
        <w:rPr>
          <w:rFonts w:ascii="Times New Roman" w:hAnsi="Times New Roman" w:cs="Times New Roman"/>
          <w:b/>
          <w:sz w:val="24"/>
          <w:szCs w:val="24"/>
        </w:rPr>
      </w:pPr>
      <w:r w:rsidRPr="00AA721D">
        <w:rPr>
          <w:rFonts w:ascii="Times New Roman" w:hAnsi="Times New Roman" w:cs="Times New Roman"/>
          <w:b/>
          <w:sz w:val="24"/>
          <w:szCs w:val="24"/>
        </w:rPr>
        <w:t>30</w:t>
      </w:r>
      <w:r w:rsidRPr="00AA721D">
        <w:rPr>
          <w:rFonts w:ascii="Times New Roman" w:hAnsi="Times New Roman" w:cs="Times New Roman"/>
          <w:b/>
          <w:sz w:val="24"/>
          <w:szCs w:val="24"/>
        </w:rPr>
        <w:tab/>
      </w:r>
      <w:r>
        <w:rPr>
          <w:rFonts w:ascii="Times New Roman" w:hAnsi="Times New Roman" w:cs="Times New Roman"/>
          <w:b/>
          <w:sz w:val="24"/>
          <w:szCs w:val="24"/>
        </w:rPr>
        <w:t xml:space="preserve">Ngoài các ngoại lệ tại đoạn 32A, </w:t>
      </w:r>
      <w:r w:rsidR="008C5CDA">
        <w:rPr>
          <w:rFonts w:ascii="Times New Roman" w:hAnsi="Times New Roman" w:cs="Times New Roman"/>
          <w:b/>
          <w:sz w:val="24"/>
          <w:szCs w:val="24"/>
        </w:rPr>
        <w:t>đ</w:t>
      </w:r>
      <w:r>
        <w:rPr>
          <w:rFonts w:ascii="Times New Roman" w:hAnsi="Times New Roman" w:cs="Times New Roman"/>
          <w:b/>
          <w:sz w:val="24"/>
          <w:szCs w:val="24"/>
        </w:rPr>
        <w:t xml:space="preserve">ơn vị sẽ chọn </w:t>
      </w:r>
      <w:r w:rsidR="00541D1B">
        <w:rPr>
          <w:rFonts w:ascii="Times New Roman" w:hAnsi="Times New Roman" w:cs="Times New Roman"/>
          <w:b/>
          <w:sz w:val="24"/>
          <w:szCs w:val="24"/>
        </w:rPr>
        <w:t>chính sách kế toán</w:t>
      </w:r>
      <w:r>
        <w:rPr>
          <w:rFonts w:ascii="Times New Roman" w:hAnsi="Times New Roman" w:cs="Times New Roman"/>
          <w:b/>
          <w:sz w:val="24"/>
          <w:szCs w:val="24"/>
        </w:rPr>
        <w:t xml:space="preserve"> theo mô hình giá trị hợ</w:t>
      </w:r>
      <w:r w:rsidR="00541D1B">
        <w:rPr>
          <w:rFonts w:ascii="Times New Roman" w:hAnsi="Times New Roman" w:cs="Times New Roman"/>
          <w:b/>
          <w:sz w:val="24"/>
          <w:szCs w:val="24"/>
        </w:rPr>
        <w:t>p lý tại</w:t>
      </w:r>
      <w:r>
        <w:rPr>
          <w:rFonts w:ascii="Times New Roman" w:hAnsi="Times New Roman" w:cs="Times New Roman"/>
          <w:b/>
          <w:sz w:val="24"/>
          <w:szCs w:val="24"/>
        </w:rPr>
        <w:t xml:space="preserve"> các đoạn từ 33 đến 55 hoặc theo mô hình giá gốc </w:t>
      </w:r>
      <w:r w:rsidR="00541D1B">
        <w:rPr>
          <w:rFonts w:ascii="Times New Roman" w:hAnsi="Times New Roman" w:cs="Times New Roman"/>
          <w:b/>
          <w:sz w:val="24"/>
          <w:szCs w:val="24"/>
        </w:rPr>
        <w:t>tại</w:t>
      </w:r>
      <w:r>
        <w:rPr>
          <w:rFonts w:ascii="Times New Roman" w:hAnsi="Times New Roman" w:cs="Times New Roman"/>
          <w:b/>
          <w:sz w:val="24"/>
          <w:szCs w:val="24"/>
        </w:rPr>
        <w:t xml:space="preserve"> đoạn 56 và sẽ phải áp dụng </w:t>
      </w:r>
      <w:r w:rsidR="00541D1B">
        <w:rPr>
          <w:rFonts w:ascii="Times New Roman" w:hAnsi="Times New Roman" w:cs="Times New Roman"/>
          <w:b/>
          <w:sz w:val="24"/>
          <w:szCs w:val="24"/>
        </w:rPr>
        <w:t>chính sách</w:t>
      </w:r>
      <w:r>
        <w:rPr>
          <w:rFonts w:ascii="Times New Roman" w:hAnsi="Times New Roman" w:cs="Times New Roman"/>
          <w:b/>
          <w:sz w:val="24"/>
          <w:szCs w:val="24"/>
        </w:rPr>
        <w:t xml:space="preserve"> này cho toàn bộ các bất động sản đầu tư của mình.</w:t>
      </w:r>
    </w:p>
    <w:p w:rsidR="00AA721D" w:rsidRDefault="00AA721D"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E2362F">
        <w:rPr>
          <w:rFonts w:ascii="Times New Roman" w:hAnsi="Times New Roman" w:cs="Times New Roman"/>
          <w:sz w:val="24"/>
          <w:szCs w:val="24"/>
        </w:rPr>
        <w:t xml:space="preserve">IAS 8 </w:t>
      </w:r>
      <w:r w:rsidR="00541D1B">
        <w:rPr>
          <w:rFonts w:ascii="Times New Roman" w:hAnsi="Times New Roman" w:cs="Times New Roman"/>
          <w:i/>
          <w:sz w:val="24"/>
          <w:szCs w:val="24"/>
        </w:rPr>
        <w:t>Chính sách kế toán</w:t>
      </w:r>
      <w:r w:rsidR="00E2362F">
        <w:rPr>
          <w:rFonts w:ascii="Times New Roman" w:hAnsi="Times New Roman" w:cs="Times New Roman"/>
          <w:i/>
          <w:sz w:val="24"/>
          <w:szCs w:val="24"/>
        </w:rPr>
        <w:t xml:space="preserve">, Thay đổi trong các Ước tính Kế toán và các </w:t>
      </w:r>
      <w:r w:rsidR="00541D1B">
        <w:rPr>
          <w:rFonts w:ascii="Times New Roman" w:hAnsi="Times New Roman" w:cs="Times New Roman"/>
          <w:i/>
          <w:sz w:val="24"/>
          <w:szCs w:val="24"/>
        </w:rPr>
        <w:t>sai sót</w:t>
      </w:r>
      <w:r w:rsidR="00E2362F">
        <w:rPr>
          <w:rFonts w:ascii="Times New Roman" w:hAnsi="Times New Roman" w:cs="Times New Roman"/>
          <w:i/>
          <w:sz w:val="24"/>
          <w:szCs w:val="24"/>
        </w:rPr>
        <w:t xml:space="preserve"> </w:t>
      </w:r>
      <w:r w:rsidR="00E2362F">
        <w:rPr>
          <w:rFonts w:ascii="Times New Roman" w:hAnsi="Times New Roman" w:cs="Times New Roman"/>
          <w:sz w:val="24"/>
          <w:szCs w:val="24"/>
        </w:rPr>
        <w:t xml:space="preserve">quy định rằng một thay đổi tự nguyện trong </w:t>
      </w:r>
      <w:r w:rsidR="00541D1B">
        <w:rPr>
          <w:rFonts w:ascii="Times New Roman" w:hAnsi="Times New Roman" w:cs="Times New Roman"/>
          <w:sz w:val="24"/>
          <w:szCs w:val="24"/>
        </w:rPr>
        <w:t>chính sách kế toán</w:t>
      </w:r>
      <w:r w:rsidR="00E2362F">
        <w:rPr>
          <w:rFonts w:ascii="Times New Roman" w:hAnsi="Times New Roman" w:cs="Times New Roman"/>
          <w:sz w:val="24"/>
          <w:szCs w:val="24"/>
        </w:rPr>
        <w:t xml:space="preserve"> chỉ được thực hiện khi việc thay đổi này </w:t>
      </w:r>
      <w:r w:rsidR="005B7B1B">
        <w:rPr>
          <w:rFonts w:ascii="Times New Roman" w:hAnsi="Times New Roman" w:cs="Times New Roman"/>
          <w:sz w:val="24"/>
          <w:szCs w:val="24"/>
        </w:rPr>
        <w:t>làm cho</w:t>
      </w:r>
      <w:r w:rsidR="002D7533">
        <w:rPr>
          <w:rFonts w:ascii="Times New Roman" w:hAnsi="Times New Roman" w:cs="Times New Roman"/>
          <w:sz w:val="24"/>
          <w:szCs w:val="24"/>
        </w:rPr>
        <w:t xml:space="preserve"> báo cáo tài chính cung cấp các thông tin đáng tin cậy hơn và phù hợp hơn về tác động của các giao dịch, các sự kiện hoặc điều kiện về tình hình tài chính</w:t>
      </w:r>
      <w:r w:rsidR="008C5CDA">
        <w:rPr>
          <w:rFonts w:ascii="Times New Roman" w:hAnsi="Times New Roman" w:cs="Times New Roman"/>
          <w:sz w:val="24"/>
          <w:szCs w:val="24"/>
        </w:rPr>
        <w:t xml:space="preserve"> </w:t>
      </w:r>
      <w:r w:rsidR="005B7B1B">
        <w:rPr>
          <w:rFonts w:ascii="Times New Roman" w:hAnsi="Times New Roman" w:cs="Times New Roman"/>
          <w:sz w:val="24"/>
          <w:szCs w:val="24"/>
        </w:rPr>
        <w:t>của đơn vị</w:t>
      </w:r>
      <w:r w:rsidR="002D7533">
        <w:rPr>
          <w:rFonts w:ascii="Times New Roman" w:hAnsi="Times New Roman" w:cs="Times New Roman"/>
          <w:sz w:val="24"/>
          <w:szCs w:val="24"/>
        </w:rPr>
        <w:t>, hiệu quả tài chính hoặc dòng tiền. Việc</w:t>
      </w:r>
      <w:r w:rsidR="002D7533" w:rsidRPr="002D7533">
        <w:rPr>
          <w:rFonts w:ascii="Times New Roman" w:hAnsi="Times New Roman" w:cs="Times New Roman"/>
          <w:sz w:val="24"/>
          <w:szCs w:val="24"/>
        </w:rPr>
        <w:t xml:space="preserve"> thay đổi từ mô hình giá trị hợp lý sang mô hình </w:t>
      </w:r>
      <w:r w:rsidR="002D7533">
        <w:rPr>
          <w:rFonts w:ascii="Times New Roman" w:hAnsi="Times New Roman" w:cs="Times New Roman"/>
          <w:sz w:val="24"/>
          <w:szCs w:val="24"/>
        </w:rPr>
        <w:t>giá gốc</w:t>
      </w:r>
      <w:r w:rsidR="002D7533" w:rsidRPr="002D7533">
        <w:rPr>
          <w:rFonts w:ascii="Times New Roman" w:hAnsi="Times New Roman" w:cs="Times New Roman"/>
          <w:sz w:val="24"/>
          <w:szCs w:val="24"/>
        </w:rPr>
        <w:t xml:space="preserve"> </w:t>
      </w:r>
      <w:r w:rsidR="002D7533">
        <w:rPr>
          <w:rFonts w:ascii="Times New Roman" w:hAnsi="Times New Roman" w:cs="Times New Roman"/>
          <w:sz w:val="24"/>
          <w:szCs w:val="24"/>
        </w:rPr>
        <w:t>r</w:t>
      </w:r>
      <w:r w:rsidR="002D7533" w:rsidRPr="002D7533">
        <w:rPr>
          <w:rFonts w:ascii="Times New Roman" w:hAnsi="Times New Roman" w:cs="Times New Roman"/>
          <w:sz w:val="24"/>
          <w:szCs w:val="24"/>
        </w:rPr>
        <w:t>ất khó có khả năng dẫn</w:t>
      </w:r>
      <w:r w:rsidR="005073B1">
        <w:rPr>
          <w:rFonts w:ascii="Times New Roman" w:hAnsi="Times New Roman" w:cs="Times New Roman"/>
          <w:sz w:val="24"/>
          <w:szCs w:val="24"/>
        </w:rPr>
        <w:t xml:space="preserve"> đến</w:t>
      </w:r>
      <w:r w:rsidR="002D7533" w:rsidRPr="002D7533">
        <w:rPr>
          <w:rFonts w:ascii="Times New Roman" w:hAnsi="Times New Roman" w:cs="Times New Roman"/>
          <w:sz w:val="24"/>
          <w:szCs w:val="24"/>
        </w:rPr>
        <w:t xml:space="preserve"> </w:t>
      </w:r>
      <w:r w:rsidR="002D7533">
        <w:rPr>
          <w:rFonts w:ascii="Times New Roman" w:hAnsi="Times New Roman" w:cs="Times New Roman"/>
          <w:sz w:val="24"/>
          <w:szCs w:val="24"/>
        </w:rPr>
        <w:t>việc trình bày báo cáo</w:t>
      </w:r>
      <w:r w:rsidR="002D7533" w:rsidRPr="002D7533">
        <w:rPr>
          <w:rFonts w:ascii="Times New Roman" w:hAnsi="Times New Roman" w:cs="Times New Roman"/>
          <w:sz w:val="24"/>
          <w:szCs w:val="24"/>
        </w:rPr>
        <w:t xml:space="preserve"> phù hợp hơn.</w:t>
      </w:r>
    </w:p>
    <w:p w:rsidR="002D7533" w:rsidRDefault="002D7533"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Chuẩn mực này yêu cầu tất cả đơn vị xác định giá trị hợp lý của các bất động sản đầu tư, cho mục đích xác định giá trị (nếu đơn vị sử dụng mô hình giá trị hợp lý) hoặc để công bố thông tin (nếu đơn vị sử dụng mô hình giá gốc). Đơn vị được khuyến khích, nhưng không bắt buộc, xác định giá trị hợp lý của bất động sản đầu tư </w:t>
      </w:r>
      <w:r w:rsidR="0050750D">
        <w:rPr>
          <w:rFonts w:ascii="Times New Roman" w:hAnsi="Times New Roman" w:cs="Times New Roman"/>
          <w:sz w:val="24"/>
          <w:szCs w:val="24"/>
        </w:rPr>
        <w:t>thông qua việc định giá của một bên định giá độc lập đã được công nhận</w:t>
      </w:r>
      <w:r w:rsidR="0012660B">
        <w:rPr>
          <w:rFonts w:ascii="Times New Roman" w:hAnsi="Times New Roman" w:cs="Times New Roman"/>
          <w:sz w:val="24"/>
          <w:szCs w:val="24"/>
        </w:rPr>
        <w:t xml:space="preserve"> và các khả năng chuyên môn liên quan được thừa nhận</w:t>
      </w:r>
      <w:r w:rsidR="0050750D">
        <w:rPr>
          <w:rFonts w:ascii="Times New Roman" w:hAnsi="Times New Roman" w:cs="Times New Roman"/>
          <w:sz w:val="24"/>
          <w:szCs w:val="24"/>
        </w:rPr>
        <w:t xml:space="preserve">, có kinh nghiệm </w:t>
      </w:r>
      <w:r w:rsidR="00EF3D7E">
        <w:rPr>
          <w:rFonts w:ascii="Times New Roman" w:hAnsi="Times New Roman" w:cs="Times New Roman"/>
          <w:sz w:val="24"/>
          <w:szCs w:val="24"/>
        </w:rPr>
        <w:t xml:space="preserve">gần đây về </w:t>
      </w:r>
      <w:r w:rsidR="0012660B">
        <w:rPr>
          <w:rFonts w:ascii="Times New Roman" w:hAnsi="Times New Roman" w:cs="Times New Roman"/>
          <w:sz w:val="24"/>
          <w:szCs w:val="24"/>
        </w:rPr>
        <w:t>khu vực</w:t>
      </w:r>
      <w:r w:rsidR="0050750D">
        <w:rPr>
          <w:rFonts w:ascii="Times New Roman" w:hAnsi="Times New Roman" w:cs="Times New Roman"/>
          <w:sz w:val="24"/>
          <w:szCs w:val="24"/>
        </w:rPr>
        <w:t xml:space="preserve"> và loại hình của bất động sản đầu tư được định giá.</w:t>
      </w:r>
    </w:p>
    <w:p w:rsidR="0050750D" w:rsidRPr="00B0148A" w:rsidRDefault="0050750D" w:rsidP="0048656B">
      <w:pPr>
        <w:tabs>
          <w:tab w:val="left" w:pos="720"/>
        </w:tabs>
        <w:spacing w:after="120" w:line="240" w:lineRule="auto"/>
        <w:ind w:left="720" w:right="14" w:hanging="720"/>
        <w:jc w:val="both"/>
        <w:rPr>
          <w:rFonts w:ascii="Times New Roman" w:hAnsi="Times New Roman" w:cs="Times New Roman"/>
          <w:b/>
          <w:sz w:val="24"/>
          <w:szCs w:val="24"/>
        </w:rPr>
      </w:pPr>
      <w:r w:rsidRPr="00B0148A">
        <w:rPr>
          <w:rFonts w:ascii="Times New Roman" w:hAnsi="Times New Roman" w:cs="Times New Roman"/>
          <w:b/>
          <w:sz w:val="24"/>
          <w:szCs w:val="24"/>
        </w:rPr>
        <w:t>32A</w:t>
      </w:r>
      <w:r w:rsidRPr="00B0148A">
        <w:rPr>
          <w:rFonts w:ascii="Times New Roman" w:hAnsi="Times New Roman" w:cs="Times New Roman"/>
          <w:b/>
          <w:sz w:val="24"/>
          <w:szCs w:val="24"/>
        </w:rPr>
        <w:tab/>
        <w:t>Một đơn vị có thể:</w:t>
      </w:r>
    </w:p>
    <w:p w:rsidR="0050750D" w:rsidRPr="00B0148A" w:rsidRDefault="00A72E0F" w:rsidP="0048656B">
      <w:pPr>
        <w:pStyle w:val="ListParagraph"/>
        <w:numPr>
          <w:ilvl w:val="0"/>
          <w:numId w:val="5"/>
        </w:numPr>
        <w:tabs>
          <w:tab w:val="left" w:pos="1440"/>
        </w:tabs>
        <w:spacing w:after="120" w:line="240" w:lineRule="auto"/>
        <w:ind w:right="14"/>
        <w:jc w:val="both"/>
        <w:rPr>
          <w:rFonts w:ascii="Times New Roman" w:hAnsi="Times New Roman" w:cs="Times New Roman"/>
          <w:b/>
          <w:sz w:val="24"/>
          <w:szCs w:val="24"/>
        </w:rPr>
      </w:pPr>
      <w:r w:rsidRPr="00B0148A">
        <w:rPr>
          <w:rFonts w:ascii="Times New Roman" w:hAnsi="Times New Roman" w:cs="Times New Roman"/>
          <w:b/>
          <w:sz w:val="24"/>
          <w:szCs w:val="24"/>
        </w:rPr>
        <w:t xml:space="preserve">chọn việc sử dụng mô hình giá trị hợp lý hoặc mô hình giá gốc cho toàn bộ các khoản nợ phải trả được đảm bảo bằng bất động sản đầu tư mà </w:t>
      </w:r>
      <w:r w:rsidR="007E48C4" w:rsidRPr="00B0148A">
        <w:rPr>
          <w:rFonts w:ascii="Times New Roman" w:hAnsi="Times New Roman" w:cs="Times New Roman"/>
          <w:b/>
          <w:sz w:val="24"/>
          <w:szCs w:val="24"/>
        </w:rPr>
        <w:t>việc trả</w:t>
      </w:r>
      <w:r w:rsidR="0012660B">
        <w:rPr>
          <w:rFonts w:ascii="Times New Roman" w:hAnsi="Times New Roman" w:cs="Times New Roman"/>
          <w:b/>
          <w:sz w:val="24"/>
          <w:szCs w:val="24"/>
        </w:rPr>
        <w:t xml:space="preserve"> nợ</w:t>
      </w:r>
      <w:r w:rsidR="007E48C4" w:rsidRPr="00B0148A">
        <w:rPr>
          <w:rFonts w:ascii="Times New Roman" w:hAnsi="Times New Roman" w:cs="Times New Roman"/>
          <w:b/>
          <w:sz w:val="24"/>
          <w:szCs w:val="24"/>
        </w:rPr>
        <w:t xml:space="preserve"> liên quan trực tiếp đến giá trị hợp lý của, hoặc lợi ích phát sinh từ, một nhóm tài sản cụ thể bao gồm cả bất động sản đầu tư </w:t>
      </w:r>
      <w:r w:rsidR="00360653">
        <w:rPr>
          <w:rFonts w:ascii="Times New Roman" w:hAnsi="Times New Roman" w:cs="Times New Roman"/>
          <w:b/>
          <w:sz w:val="24"/>
          <w:szCs w:val="24"/>
        </w:rPr>
        <w:t>được sử dụng là tài sản đảm bảo</w:t>
      </w:r>
      <w:r w:rsidR="007E48C4" w:rsidRPr="00B0148A">
        <w:rPr>
          <w:rFonts w:ascii="Times New Roman" w:hAnsi="Times New Roman" w:cs="Times New Roman"/>
          <w:b/>
          <w:sz w:val="24"/>
          <w:szCs w:val="24"/>
        </w:rPr>
        <w:t>; và</w:t>
      </w:r>
    </w:p>
    <w:p w:rsidR="007E48C4" w:rsidRPr="00B0148A" w:rsidRDefault="00B0148A" w:rsidP="0048656B">
      <w:pPr>
        <w:pStyle w:val="ListParagraph"/>
        <w:numPr>
          <w:ilvl w:val="0"/>
          <w:numId w:val="5"/>
        </w:numPr>
        <w:tabs>
          <w:tab w:val="left" w:pos="1440"/>
        </w:tabs>
        <w:spacing w:after="120" w:line="240" w:lineRule="auto"/>
        <w:ind w:right="14"/>
        <w:jc w:val="both"/>
        <w:rPr>
          <w:rFonts w:ascii="Times New Roman" w:hAnsi="Times New Roman" w:cs="Times New Roman"/>
          <w:b/>
          <w:sz w:val="24"/>
          <w:szCs w:val="24"/>
        </w:rPr>
      </w:pPr>
      <w:r w:rsidRPr="00B0148A">
        <w:rPr>
          <w:rFonts w:ascii="Times New Roman" w:hAnsi="Times New Roman" w:cs="Times New Roman"/>
          <w:b/>
          <w:sz w:val="24"/>
          <w:szCs w:val="24"/>
        </w:rPr>
        <w:t>chọn áp dụng mô hình gia trị hợp lý hoặc mô hình giá gốc cho toàn bộ bất động sản đầu tư, mà không cần cân nhắc lựa chọn tại mục (a).</w:t>
      </w:r>
    </w:p>
    <w:p w:rsidR="00B0148A" w:rsidRDefault="00B0148A"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32B</w:t>
      </w:r>
      <w:r>
        <w:rPr>
          <w:rFonts w:ascii="Times New Roman" w:hAnsi="Times New Roman" w:cs="Times New Roman"/>
          <w:sz w:val="24"/>
          <w:szCs w:val="24"/>
        </w:rPr>
        <w:tab/>
        <w:t>Một số đơn vị vận hành một quỹ đầu tư,</w:t>
      </w:r>
      <w:r w:rsidR="00EF3D7E">
        <w:rPr>
          <w:rFonts w:ascii="Times New Roman" w:hAnsi="Times New Roman" w:cs="Times New Roman"/>
          <w:sz w:val="24"/>
          <w:szCs w:val="24"/>
        </w:rPr>
        <w:t xml:space="preserve"> trong</w:t>
      </w:r>
      <w:r>
        <w:rPr>
          <w:rFonts w:ascii="Times New Roman" w:hAnsi="Times New Roman" w:cs="Times New Roman"/>
          <w:sz w:val="24"/>
          <w:szCs w:val="24"/>
        </w:rPr>
        <w:t xml:space="preserve"> nội bộ hoặc bên ngoài, mà</w:t>
      </w:r>
      <w:r w:rsidR="00914F95">
        <w:rPr>
          <w:rFonts w:ascii="Times New Roman" w:hAnsi="Times New Roman" w:cs="Times New Roman"/>
          <w:sz w:val="24"/>
          <w:szCs w:val="24"/>
        </w:rPr>
        <w:t xml:space="preserve"> quỹ</w:t>
      </w:r>
      <w:r w:rsidR="00360653">
        <w:rPr>
          <w:rFonts w:ascii="Times New Roman" w:hAnsi="Times New Roman" w:cs="Times New Roman"/>
          <w:sz w:val="24"/>
          <w:szCs w:val="24"/>
        </w:rPr>
        <w:t xml:space="preserve"> này</w:t>
      </w:r>
      <w:r>
        <w:rPr>
          <w:rFonts w:ascii="Times New Roman" w:hAnsi="Times New Roman" w:cs="Times New Roman"/>
          <w:sz w:val="24"/>
          <w:szCs w:val="24"/>
        </w:rPr>
        <w:t xml:space="preserve"> cung cấp cho nhà đầu t</w:t>
      </w:r>
      <w:r w:rsidR="00914F95">
        <w:rPr>
          <w:rFonts w:ascii="Times New Roman" w:hAnsi="Times New Roman" w:cs="Times New Roman"/>
          <w:sz w:val="24"/>
          <w:szCs w:val="24"/>
        </w:rPr>
        <w:t xml:space="preserve">ư </w:t>
      </w:r>
      <w:r>
        <w:rPr>
          <w:rFonts w:ascii="Times New Roman" w:hAnsi="Times New Roman" w:cs="Times New Roman"/>
          <w:sz w:val="24"/>
          <w:szCs w:val="24"/>
        </w:rPr>
        <w:t xml:space="preserve">lợi ích tương ứng với khoản đầu tư của họ trong quỹ. Tương tự, một số đơn vị phát hành hợp đồng bảo hiểm với các điều khoản tham gia trực tiếp, mà </w:t>
      </w:r>
      <w:r w:rsidR="00EF3D7E">
        <w:rPr>
          <w:rFonts w:ascii="Times New Roman" w:hAnsi="Times New Roman" w:cs="Times New Roman"/>
          <w:sz w:val="24"/>
          <w:szCs w:val="24"/>
        </w:rPr>
        <w:t>khoản mục gốc</w:t>
      </w:r>
      <w:r>
        <w:rPr>
          <w:rFonts w:ascii="Times New Roman" w:hAnsi="Times New Roman" w:cs="Times New Roman"/>
          <w:sz w:val="24"/>
          <w:szCs w:val="24"/>
        </w:rPr>
        <w:t xml:space="preserve"> bao gồm bất động sản đầu tư. </w:t>
      </w:r>
      <w:r w:rsidR="00914F95">
        <w:rPr>
          <w:rFonts w:ascii="Times New Roman" w:hAnsi="Times New Roman" w:cs="Times New Roman"/>
          <w:sz w:val="24"/>
          <w:szCs w:val="24"/>
        </w:rPr>
        <w:t xml:space="preserve">Cho việc áp dụng chỉ </w:t>
      </w:r>
      <w:r w:rsidR="00575148">
        <w:rPr>
          <w:rFonts w:ascii="Times New Roman" w:hAnsi="Times New Roman" w:cs="Times New Roman"/>
          <w:sz w:val="24"/>
          <w:szCs w:val="24"/>
        </w:rPr>
        <w:t xml:space="preserve">các đoạn 32A và 32B, hợp đồng bảo hiểm bao gồm hợp đồng đầu tư với các điều khoản tham gia không ràng buộc. Đoạn 32A không cho phép đơn vị định giá bất động sản được nắm giữ bởi quỹ (hoặc bất động sản </w:t>
      </w:r>
      <w:r w:rsidR="00EF3D7E">
        <w:rPr>
          <w:rFonts w:ascii="Times New Roman" w:hAnsi="Times New Roman" w:cs="Times New Roman"/>
          <w:sz w:val="24"/>
          <w:szCs w:val="24"/>
        </w:rPr>
        <w:t>thuộc khoản mục gốc</w:t>
      </w:r>
      <w:r w:rsidR="00100172">
        <w:rPr>
          <w:rFonts w:ascii="Times New Roman" w:hAnsi="Times New Roman" w:cs="Times New Roman"/>
          <w:sz w:val="24"/>
          <w:szCs w:val="24"/>
        </w:rPr>
        <w:t>) một phần theo giá gốc và một phần theo giá trị hợp lý. (</w:t>
      </w:r>
      <w:r w:rsidR="005D286C">
        <w:rPr>
          <w:rFonts w:ascii="Times New Roman" w:hAnsi="Times New Roman" w:cs="Times New Roman"/>
          <w:sz w:val="24"/>
          <w:szCs w:val="24"/>
        </w:rPr>
        <w:t>Xem</w:t>
      </w:r>
      <w:r w:rsidR="00100172">
        <w:rPr>
          <w:rFonts w:ascii="Times New Roman" w:hAnsi="Times New Roman" w:cs="Times New Roman"/>
          <w:sz w:val="24"/>
          <w:szCs w:val="24"/>
        </w:rPr>
        <w:t xml:space="preserve"> IFRS 17 </w:t>
      </w:r>
      <w:r w:rsidR="00100172" w:rsidRPr="00100172">
        <w:rPr>
          <w:rFonts w:ascii="Times New Roman" w:hAnsi="Times New Roman" w:cs="Times New Roman"/>
          <w:i/>
          <w:sz w:val="24"/>
          <w:szCs w:val="24"/>
        </w:rPr>
        <w:t>Hợp đồng bảo hiểm</w:t>
      </w:r>
      <w:r w:rsidR="00100172">
        <w:rPr>
          <w:rFonts w:ascii="Times New Roman" w:hAnsi="Times New Roman" w:cs="Times New Roman"/>
          <w:i/>
          <w:sz w:val="24"/>
          <w:szCs w:val="24"/>
        </w:rPr>
        <w:t xml:space="preserve"> </w:t>
      </w:r>
      <w:r w:rsidR="00100172">
        <w:rPr>
          <w:rFonts w:ascii="Times New Roman" w:hAnsi="Times New Roman" w:cs="Times New Roman"/>
          <w:sz w:val="24"/>
          <w:szCs w:val="24"/>
        </w:rPr>
        <w:t xml:space="preserve">về </w:t>
      </w:r>
      <w:r w:rsidR="005D286C">
        <w:rPr>
          <w:rFonts w:ascii="Times New Roman" w:hAnsi="Times New Roman" w:cs="Times New Roman"/>
          <w:sz w:val="24"/>
          <w:szCs w:val="24"/>
        </w:rPr>
        <w:t>hướng dẫn</w:t>
      </w:r>
      <w:r w:rsidR="00100172">
        <w:rPr>
          <w:rFonts w:ascii="Times New Roman" w:hAnsi="Times New Roman" w:cs="Times New Roman"/>
          <w:sz w:val="24"/>
          <w:szCs w:val="24"/>
        </w:rPr>
        <w:t xml:space="preserve"> sử dụng trong đoạn này đã được định nghĩa trong IFRS 17).</w:t>
      </w:r>
    </w:p>
    <w:p w:rsidR="00100172" w:rsidRDefault="00100172"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lastRenderedPageBreak/>
        <w:t>32C</w:t>
      </w:r>
      <w:r>
        <w:rPr>
          <w:rFonts w:ascii="Times New Roman" w:hAnsi="Times New Roman" w:cs="Times New Roman"/>
          <w:sz w:val="24"/>
          <w:szCs w:val="24"/>
        </w:rPr>
        <w:tab/>
      </w:r>
      <w:r w:rsidR="0052493E">
        <w:rPr>
          <w:rFonts w:ascii="Times New Roman" w:hAnsi="Times New Roman" w:cs="Times New Roman"/>
          <w:sz w:val="24"/>
          <w:szCs w:val="24"/>
        </w:rPr>
        <w:t>Nếu đơn vị lựa chọn các mô hình khác nhau cho các nhóm bất động sả</w:t>
      </w:r>
      <w:r w:rsidR="005D286C">
        <w:rPr>
          <w:rFonts w:ascii="Times New Roman" w:hAnsi="Times New Roman" w:cs="Times New Roman"/>
          <w:sz w:val="24"/>
          <w:szCs w:val="24"/>
        </w:rPr>
        <w:t>n mô</w:t>
      </w:r>
      <w:r w:rsidR="0052493E">
        <w:rPr>
          <w:rFonts w:ascii="Times New Roman" w:hAnsi="Times New Roman" w:cs="Times New Roman"/>
          <w:sz w:val="24"/>
          <w:szCs w:val="24"/>
        </w:rPr>
        <w:t xml:space="preserve"> tả trong đoạn 32A, việc bán bất động sản đầu tư trong các nhóm tài sản được xác định giá trị bằng các mô hình khác nhau sẽ được ghi nhận theo giá trị hợp lý và phần thay đổi lũy kế của giá trị hợp lý sẽ được ghi nhận vào báo cáo kết quả kinh doanh. </w:t>
      </w:r>
      <w:r w:rsidR="0049075C">
        <w:rPr>
          <w:rFonts w:ascii="Times New Roman" w:hAnsi="Times New Roman" w:cs="Times New Roman"/>
          <w:sz w:val="24"/>
          <w:szCs w:val="24"/>
        </w:rPr>
        <w:t>Theo đó, nếu bất động sản đầu tư được bán nằm trong n</w:t>
      </w:r>
      <w:r w:rsidR="00187B4A">
        <w:rPr>
          <w:rFonts w:ascii="Times New Roman" w:hAnsi="Times New Roman" w:cs="Times New Roman"/>
          <w:sz w:val="24"/>
          <w:szCs w:val="24"/>
        </w:rPr>
        <w:t>hóm tài sản định giá sử dụng</w:t>
      </w:r>
      <w:r w:rsidR="005073B1">
        <w:rPr>
          <w:rFonts w:ascii="Times New Roman" w:hAnsi="Times New Roman" w:cs="Times New Roman"/>
          <w:sz w:val="24"/>
          <w:szCs w:val="24"/>
        </w:rPr>
        <w:t xml:space="preserve"> mô hình</w:t>
      </w:r>
      <w:r w:rsidR="00187B4A">
        <w:rPr>
          <w:rFonts w:ascii="Times New Roman" w:hAnsi="Times New Roman" w:cs="Times New Roman"/>
          <w:sz w:val="24"/>
          <w:szCs w:val="24"/>
        </w:rPr>
        <w:t xml:space="preserve"> giá gốc thì giá trị hợp lý của tài sản tại thời điểm bán trở thành giá ấn định.</w:t>
      </w:r>
    </w:p>
    <w:p w:rsidR="00187B4A" w:rsidRDefault="00187B4A" w:rsidP="0048656B">
      <w:pPr>
        <w:tabs>
          <w:tab w:val="left" w:pos="720"/>
        </w:tabs>
        <w:spacing w:after="120" w:line="240" w:lineRule="auto"/>
        <w:ind w:left="720" w:right="14" w:hanging="720"/>
        <w:jc w:val="both"/>
        <w:rPr>
          <w:rFonts w:ascii="Arial" w:hAnsi="Arial" w:cs="Arial"/>
          <w:b/>
          <w:sz w:val="28"/>
          <w:szCs w:val="24"/>
        </w:rPr>
      </w:pPr>
      <w:r w:rsidRPr="00D07E6E">
        <w:rPr>
          <w:rFonts w:ascii="Arial" w:hAnsi="Arial" w:cs="Arial"/>
          <w:b/>
          <w:sz w:val="28"/>
          <w:szCs w:val="24"/>
        </w:rPr>
        <w:tab/>
      </w:r>
      <w:r>
        <w:rPr>
          <w:rFonts w:ascii="Arial" w:hAnsi="Arial" w:cs="Arial"/>
          <w:b/>
          <w:sz w:val="28"/>
          <w:szCs w:val="24"/>
        </w:rPr>
        <w:t>Mô hình giá trị hợp lý</w:t>
      </w:r>
    </w:p>
    <w:p w:rsidR="00187B4A" w:rsidRDefault="00187B4A" w:rsidP="0048656B">
      <w:pPr>
        <w:tabs>
          <w:tab w:val="left" w:pos="720"/>
        </w:tabs>
        <w:spacing w:after="120" w:line="240" w:lineRule="auto"/>
        <w:ind w:left="720" w:right="14" w:hanging="720"/>
        <w:jc w:val="both"/>
        <w:rPr>
          <w:rFonts w:ascii="Times New Roman" w:hAnsi="Times New Roman" w:cs="Times New Roman"/>
          <w:b/>
          <w:sz w:val="24"/>
          <w:szCs w:val="24"/>
        </w:rPr>
      </w:pPr>
      <w:r w:rsidRPr="00187B4A">
        <w:rPr>
          <w:rFonts w:ascii="Times New Roman" w:hAnsi="Times New Roman" w:cs="Times New Roman"/>
          <w:b/>
          <w:sz w:val="24"/>
          <w:szCs w:val="24"/>
        </w:rPr>
        <w:t>33</w:t>
      </w:r>
      <w:r w:rsidRPr="00187B4A">
        <w:rPr>
          <w:rFonts w:ascii="Times New Roman" w:hAnsi="Times New Roman" w:cs="Times New Roman"/>
          <w:b/>
          <w:sz w:val="24"/>
          <w:szCs w:val="24"/>
        </w:rPr>
        <w:tab/>
        <w:t>Sau khi ghi nhận ban đầu, đơn vị lựa chọn mô hình giá trị hợp lý sẽ định giá toàn bộ bất động sản đầu tư tại giá trị hợp lý, trừ trường hợp nêu tại đoạn 53.</w:t>
      </w:r>
    </w:p>
    <w:p w:rsidR="00187B4A" w:rsidRDefault="00187B4A" w:rsidP="000F38CA">
      <w:pPr>
        <w:tabs>
          <w:tab w:val="left" w:pos="660"/>
          <w:tab w:val="left" w:pos="720"/>
        </w:tabs>
        <w:spacing w:after="120" w:line="240" w:lineRule="auto"/>
        <w:ind w:left="720" w:right="14" w:hanging="720"/>
        <w:jc w:val="both"/>
        <w:rPr>
          <w:rFonts w:ascii="Times New Roman" w:hAnsi="Times New Roman" w:cs="Times New Roman"/>
          <w:sz w:val="24"/>
          <w:szCs w:val="24"/>
        </w:rPr>
      </w:pPr>
      <w:r w:rsidRPr="00187B4A">
        <w:rPr>
          <w:rFonts w:ascii="Times New Roman" w:hAnsi="Times New Roman" w:cs="Times New Roman"/>
          <w:sz w:val="24"/>
          <w:szCs w:val="24"/>
        </w:rPr>
        <w:t>34</w:t>
      </w:r>
      <w:r>
        <w:rPr>
          <w:rFonts w:ascii="Times New Roman" w:hAnsi="Times New Roman" w:cs="Times New Roman"/>
          <w:sz w:val="24"/>
          <w:szCs w:val="24"/>
        </w:rPr>
        <w:tab/>
      </w:r>
      <w:r w:rsidR="000F38CA">
        <w:rPr>
          <w:rFonts w:ascii="Times New Roman" w:hAnsi="Times New Roman" w:cs="Times New Roman"/>
          <w:sz w:val="24"/>
          <w:szCs w:val="24"/>
        </w:rPr>
        <w:tab/>
      </w:r>
      <w:r>
        <w:rPr>
          <w:rFonts w:ascii="Times New Roman" w:hAnsi="Times New Roman" w:cs="Times New Roman"/>
          <w:sz w:val="24"/>
          <w:szCs w:val="24"/>
        </w:rPr>
        <w:t>[Đã xóa]</w:t>
      </w:r>
    </w:p>
    <w:p w:rsidR="00187B4A" w:rsidRPr="00187B4A" w:rsidRDefault="00187B4A" w:rsidP="0048656B">
      <w:pPr>
        <w:tabs>
          <w:tab w:val="left" w:pos="720"/>
        </w:tabs>
        <w:spacing w:after="120" w:line="240" w:lineRule="auto"/>
        <w:ind w:left="720" w:right="14" w:hanging="720"/>
        <w:jc w:val="both"/>
        <w:rPr>
          <w:rFonts w:ascii="Times New Roman" w:hAnsi="Times New Roman" w:cs="Times New Roman"/>
          <w:b/>
          <w:sz w:val="24"/>
          <w:szCs w:val="24"/>
        </w:rPr>
      </w:pPr>
      <w:r w:rsidRPr="00187B4A">
        <w:rPr>
          <w:rFonts w:ascii="Times New Roman" w:hAnsi="Times New Roman" w:cs="Times New Roman"/>
          <w:b/>
          <w:sz w:val="24"/>
          <w:szCs w:val="24"/>
        </w:rPr>
        <w:t>35</w:t>
      </w:r>
      <w:r w:rsidRPr="00187B4A">
        <w:rPr>
          <w:rFonts w:ascii="Times New Roman" w:hAnsi="Times New Roman" w:cs="Times New Roman"/>
          <w:b/>
          <w:sz w:val="24"/>
          <w:szCs w:val="24"/>
        </w:rPr>
        <w:tab/>
        <w:t>Lợi nhuận hay lỗ phát sinh từ thay đổi giá trị hợp lý của bất động sản đầu tư sẽ được ghi nhận vào báo cáo kết quả kinh doanh cho kỳ mà chúng phát sinh.</w:t>
      </w:r>
    </w:p>
    <w:p w:rsidR="00187B4A" w:rsidRDefault="00187B4A"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36-39</w:t>
      </w:r>
      <w:r>
        <w:rPr>
          <w:rFonts w:ascii="Times New Roman" w:hAnsi="Times New Roman" w:cs="Times New Roman"/>
          <w:sz w:val="24"/>
          <w:szCs w:val="24"/>
        </w:rPr>
        <w:tab/>
        <w:t>[Đã xóa]</w:t>
      </w:r>
    </w:p>
    <w:p w:rsidR="00187B4A" w:rsidRDefault="00187B4A"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t xml:space="preserve">Khi xác định giá trị hợp lý của bất động sản đầu tư theo IFRS 13, </w:t>
      </w:r>
      <w:r w:rsidR="005C52A8">
        <w:rPr>
          <w:rFonts w:ascii="Times New Roman" w:hAnsi="Times New Roman" w:cs="Times New Roman"/>
          <w:sz w:val="24"/>
          <w:szCs w:val="24"/>
        </w:rPr>
        <w:t xml:space="preserve">ở khía cạnh khác, </w:t>
      </w:r>
      <w:r>
        <w:rPr>
          <w:rFonts w:ascii="Times New Roman" w:hAnsi="Times New Roman" w:cs="Times New Roman"/>
          <w:sz w:val="24"/>
          <w:szCs w:val="24"/>
        </w:rPr>
        <w:t>đơn vị phải đảm bảo giá trị hợp lý phản ánh</w:t>
      </w:r>
      <w:r w:rsidR="005C52A8">
        <w:rPr>
          <w:rFonts w:ascii="Times New Roman" w:hAnsi="Times New Roman" w:cs="Times New Roman"/>
          <w:sz w:val="24"/>
          <w:szCs w:val="24"/>
        </w:rPr>
        <w:t xml:space="preserve"> </w:t>
      </w:r>
      <w:r>
        <w:rPr>
          <w:rFonts w:ascii="Times New Roman" w:hAnsi="Times New Roman" w:cs="Times New Roman"/>
          <w:sz w:val="24"/>
          <w:szCs w:val="24"/>
        </w:rPr>
        <w:t xml:space="preserve">thu nhập từ tiền thuê từ hợp đồng thuê hiện tại và các giả thiết khác mà các bên tham gia thị trường </w:t>
      </w:r>
      <w:r w:rsidR="005C52A8">
        <w:rPr>
          <w:rFonts w:ascii="Times New Roman" w:hAnsi="Times New Roman" w:cs="Times New Roman"/>
          <w:sz w:val="24"/>
          <w:szCs w:val="24"/>
        </w:rPr>
        <w:t xml:space="preserve">có thể </w:t>
      </w:r>
      <w:r>
        <w:rPr>
          <w:rFonts w:ascii="Times New Roman" w:hAnsi="Times New Roman" w:cs="Times New Roman"/>
          <w:sz w:val="24"/>
          <w:szCs w:val="24"/>
        </w:rPr>
        <w:t>sử dụng khi định giá bất động sản đầu tư trong điều kiện thị trường hiện tại.</w:t>
      </w:r>
    </w:p>
    <w:p w:rsidR="00187B4A" w:rsidRDefault="00187B4A"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40A</w:t>
      </w:r>
      <w:r>
        <w:rPr>
          <w:rFonts w:ascii="Times New Roman" w:hAnsi="Times New Roman" w:cs="Times New Roman"/>
          <w:sz w:val="24"/>
          <w:szCs w:val="24"/>
        </w:rPr>
        <w:tab/>
      </w:r>
      <w:r w:rsidR="00375C31">
        <w:rPr>
          <w:rFonts w:ascii="Times New Roman" w:hAnsi="Times New Roman" w:cs="Times New Roman"/>
          <w:sz w:val="24"/>
          <w:szCs w:val="24"/>
        </w:rPr>
        <w:t xml:space="preserve">Khi bên đi thuê sử dụng mô hình giá trị hợp lý để xác định giá trị của bất động sản đang nắm giữ </w:t>
      </w:r>
      <w:r w:rsidR="005B18DD">
        <w:rPr>
          <w:rFonts w:ascii="Times New Roman" w:hAnsi="Times New Roman" w:cs="Times New Roman"/>
          <w:sz w:val="24"/>
          <w:szCs w:val="24"/>
        </w:rPr>
        <w:t>thuộc</w:t>
      </w:r>
      <w:r w:rsidR="00375C31">
        <w:rPr>
          <w:rFonts w:ascii="Times New Roman" w:hAnsi="Times New Roman" w:cs="Times New Roman"/>
          <w:sz w:val="24"/>
          <w:szCs w:val="24"/>
        </w:rPr>
        <w:t xml:space="preserve"> dạng tài sản được quyền sử dụng, đơn vị sẽ định giá tài sản được quyền sử dụng, mà không phải bất động sản </w:t>
      </w:r>
      <w:r w:rsidR="005073B1">
        <w:rPr>
          <w:rFonts w:ascii="Times New Roman" w:hAnsi="Times New Roman" w:cs="Times New Roman"/>
          <w:sz w:val="24"/>
          <w:szCs w:val="24"/>
        </w:rPr>
        <w:t>gốc</w:t>
      </w:r>
      <w:r w:rsidR="003854C9">
        <w:rPr>
          <w:rFonts w:ascii="Times New Roman" w:hAnsi="Times New Roman" w:cs="Times New Roman"/>
          <w:sz w:val="24"/>
          <w:szCs w:val="24"/>
        </w:rPr>
        <w:t>, tại giá trị hợp lý.</w:t>
      </w:r>
    </w:p>
    <w:p w:rsidR="003854C9" w:rsidRDefault="003854C9"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8910F7">
        <w:rPr>
          <w:rFonts w:ascii="Times New Roman" w:hAnsi="Times New Roman" w:cs="Times New Roman"/>
          <w:sz w:val="24"/>
          <w:szCs w:val="24"/>
        </w:rPr>
        <w:t xml:space="preserve">IFRS 16 quy định cơ sở để ghi nhận ban đầu của </w:t>
      </w:r>
      <w:r w:rsidR="005073B1">
        <w:rPr>
          <w:rFonts w:ascii="Times New Roman" w:hAnsi="Times New Roman" w:cs="Times New Roman"/>
          <w:sz w:val="24"/>
          <w:szCs w:val="24"/>
        </w:rPr>
        <w:t>nguyên giá</w:t>
      </w:r>
      <w:r w:rsidR="008910F7">
        <w:rPr>
          <w:rFonts w:ascii="Times New Roman" w:hAnsi="Times New Roman" w:cs="Times New Roman"/>
          <w:sz w:val="24"/>
          <w:szCs w:val="24"/>
        </w:rPr>
        <w:t xml:space="preserve"> của bất động sản đầu tư nắm giữ bởi bên đi thuê như một tài sản được quyền sử dụng. Đoạn 33 yêu cầu bất động sản đầu tư nắm giữ bởi bên đi thuê như một tài sản được quyền sử dụng cần được xác định </w:t>
      </w:r>
      <w:r w:rsidR="005B18DD">
        <w:rPr>
          <w:rFonts w:ascii="Times New Roman" w:hAnsi="Times New Roman" w:cs="Times New Roman"/>
          <w:sz w:val="24"/>
          <w:szCs w:val="24"/>
        </w:rPr>
        <w:t>l</w:t>
      </w:r>
      <w:r w:rsidR="008910F7">
        <w:rPr>
          <w:rFonts w:ascii="Times New Roman" w:hAnsi="Times New Roman" w:cs="Times New Roman"/>
          <w:sz w:val="24"/>
          <w:szCs w:val="24"/>
        </w:rPr>
        <w:t xml:space="preserve">ại giá trị hợp lý, </w:t>
      </w:r>
      <w:r w:rsidR="00D54691">
        <w:rPr>
          <w:rFonts w:ascii="Times New Roman" w:hAnsi="Times New Roman" w:cs="Times New Roman"/>
          <w:sz w:val="24"/>
          <w:szCs w:val="24"/>
        </w:rPr>
        <w:t>khi</w:t>
      </w:r>
      <w:r w:rsidR="008910F7">
        <w:rPr>
          <w:rFonts w:ascii="Times New Roman" w:hAnsi="Times New Roman" w:cs="Times New Roman"/>
          <w:sz w:val="24"/>
          <w:szCs w:val="24"/>
        </w:rPr>
        <w:t xml:space="preserve"> cần</w:t>
      </w:r>
      <w:r w:rsidR="00D54691">
        <w:rPr>
          <w:rFonts w:ascii="Times New Roman" w:hAnsi="Times New Roman" w:cs="Times New Roman"/>
          <w:sz w:val="24"/>
          <w:szCs w:val="24"/>
        </w:rPr>
        <w:t xml:space="preserve"> thiết</w:t>
      </w:r>
      <w:r w:rsidR="008910F7">
        <w:rPr>
          <w:rFonts w:ascii="Times New Roman" w:hAnsi="Times New Roman" w:cs="Times New Roman"/>
          <w:sz w:val="24"/>
          <w:szCs w:val="24"/>
        </w:rPr>
        <w:t xml:space="preserve">, </w:t>
      </w:r>
      <w:r w:rsidR="00D54691">
        <w:rPr>
          <w:rFonts w:ascii="Times New Roman" w:hAnsi="Times New Roman" w:cs="Times New Roman"/>
          <w:sz w:val="24"/>
          <w:szCs w:val="24"/>
        </w:rPr>
        <w:t>trong trường hợp</w:t>
      </w:r>
      <w:r w:rsidR="00C82E32">
        <w:rPr>
          <w:rFonts w:ascii="Times New Roman" w:hAnsi="Times New Roman" w:cs="Times New Roman"/>
          <w:sz w:val="24"/>
          <w:szCs w:val="24"/>
        </w:rPr>
        <w:t xml:space="preserve"> đơn vị lựa chọn sử dụng mô hình giá trị hợp lý. Khi khoản tiền </w:t>
      </w:r>
      <w:r w:rsidR="002B0505">
        <w:rPr>
          <w:rFonts w:ascii="Times New Roman" w:hAnsi="Times New Roman" w:cs="Times New Roman"/>
          <w:sz w:val="24"/>
          <w:szCs w:val="24"/>
        </w:rPr>
        <w:t>thuê được tính theo giá thị trường, giá trị hợp lý của của bất động sản đầu tư nắm giữ bởi bên đi thuê như một tài sản được quyền sử dụng</w:t>
      </w:r>
      <w:r w:rsidR="00D54691">
        <w:rPr>
          <w:rFonts w:ascii="Times New Roman" w:hAnsi="Times New Roman" w:cs="Times New Roman"/>
          <w:sz w:val="24"/>
          <w:szCs w:val="24"/>
        </w:rPr>
        <w:t xml:space="preserve"> tại thời điểm chuyển giao</w:t>
      </w:r>
      <w:r w:rsidR="002B0505">
        <w:rPr>
          <w:rFonts w:ascii="Times New Roman" w:hAnsi="Times New Roman" w:cs="Times New Roman"/>
          <w:sz w:val="24"/>
          <w:szCs w:val="24"/>
        </w:rPr>
        <w:t xml:space="preserve">, trừ đi toàn bộ các khoản </w:t>
      </w:r>
      <w:r w:rsidR="00D54691">
        <w:rPr>
          <w:rFonts w:ascii="Times New Roman" w:hAnsi="Times New Roman" w:cs="Times New Roman"/>
          <w:sz w:val="24"/>
          <w:szCs w:val="24"/>
        </w:rPr>
        <w:t xml:space="preserve">thanh toán </w:t>
      </w:r>
      <w:r w:rsidR="002B0505">
        <w:rPr>
          <w:rFonts w:ascii="Times New Roman" w:hAnsi="Times New Roman" w:cs="Times New Roman"/>
          <w:sz w:val="24"/>
          <w:szCs w:val="24"/>
        </w:rPr>
        <w:t>tiền thuê dự ki</w:t>
      </w:r>
      <w:r w:rsidR="005073B1">
        <w:rPr>
          <w:rFonts w:ascii="Times New Roman" w:hAnsi="Times New Roman" w:cs="Times New Roman"/>
          <w:sz w:val="24"/>
          <w:szCs w:val="24"/>
        </w:rPr>
        <w:t>ến</w:t>
      </w:r>
      <w:r w:rsidR="002B0505">
        <w:rPr>
          <w:rFonts w:ascii="Times New Roman" w:hAnsi="Times New Roman" w:cs="Times New Roman"/>
          <w:sz w:val="24"/>
          <w:szCs w:val="24"/>
        </w:rPr>
        <w:t xml:space="preserve"> (bao gồm các khoản liên quan đến </w:t>
      </w:r>
      <w:r w:rsidR="00B50FBF">
        <w:rPr>
          <w:rFonts w:ascii="Times New Roman" w:hAnsi="Times New Roman" w:cs="Times New Roman"/>
          <w:sz w:val="24"/>
          <w:szCs w:val="24"/>
        </w:rPr>
        <w:t>các khoản nợ tiền thuê đã ghi nhận), nên bằng không. Vì vậy, định giá lại tài sản được quyền sử dụng</w:t>
      </w:r>
      <w:r w:rsidR="00A8027C">
        <w:rPr>
          <w:rFonts w:ascii="Times New Roman" w:hAnsi="Times New Roman" w:cs="Times New Roman"/>
          <w:sz w:val="24"/>
          <w:szCs w:val="24"/>
        </w:rPr>
        <w:t xml:space="preserve"> để chuyển từ giá gốc </w:t>
      </w:r>
      <w:r w:rsidR="00D54691">
        <w:rPr>
          <w:rFonts w:ascii="Times New Roman" w:hAnsi="Times New Roman" w:cs="Times New Roman"/>
          <w:sz w:val="24"/>
          <w:szCs w:val="24"/>
        </w:rPr>
        <w:t>sang</w:t>
      </w:r>
      <w:r w:rsidR="00A8027C">
        <w:rPr>
          <w:rFonts w:ascii="Times New Roman" w:hAnsi="Times New Roman" w:cs="Times New Roman"/>
          <w:sz w:val="24"/>
          <w:szCs w:val="24"/>
        </w:rPr>
        <w:t xml:space="preserve"> giá trị hợp lý theo IFRS 16 đoạn 33 (cùng với các yêu cầu tại đoạn 50) không được làm tăng bất kỳ phần thu nhập hay lỗ ban đầu nào, trừ khi giá trị hợp lý được xác định tại các thời điểm khác nhau. Phần thu nhập hay lỗ này có thể phát sinh khi lựa chọn áp dụng mô hình giá trị hợp lý sau khi ghi nhận ban đầu.</w:t>
      </w:r>
    </w:p>
    <w:p w:rsidR="00A8027C" w:rsidRDefault="00A8027C"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42-47</w:t>
      </w:r>
      <w:r>
        <w:rPr>
          <w:rFonts w:ascii="Times New Roman" w:hAnsi="Times New Roman" w:cs="Times New Roman"/>
          <w:sz w:val="24"/>
          <w:szCs w:val="24"/>
        </w:rPr>
        <w:tab/>
        <w:t>[Đã xóa]</w:t>
      </w:r>
    </w:p>
    <w:p w:rsidR="00A8027C" w:rsidRDefault="00A8027C"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sidR="00BC624F">
        <w:rPr>
          <w:rFonts w:ascii="Times New Roman" w:hAnsi="Times New Roman" w:cs="Times New Roman"/>
          <w:sz w:val="24"/>
          <w:szCs w:val="24"/>
        </w:rPr>
        <w:t>Trong một số trường hợp ngoại lệ,</w:t>
      </w:r>
      <w:r w:rsidR="0048482B">
        <w:rPr>
          <w:rFonts w:ascii="Times New Roman" w:hAnsi="Times New Roman" w:cs="Times New Roman"/>
          <w:sz w:val="24"/>
          <w:szCs w:val="24"/>
        </w:rPr>
        <w:t xml:space="preserve"> có những bằng chứng rõ ràng </w:t>
      </w:r>
      <w:r w:rsidR="00D26410">
        <w:rPr>
          <w:rFonts w:ascii="Times New Roman" w:hAnsi="Times New Roman" w:cs="Times New Roman"/>
          <w:sz w:val="24"/>
          <w:szCs w:val="24"/>
        </w:rPr>
        <w:t xml:space="preserve">khi đơn vị </w:t>
      </w:r>
      <w:r w:rsidR="006D0B77">
        <w:rPr>
          <w:rFonts w:ascii="Times New Roman" w:hAnsi="Times New Roman" w:cs="Times New Roman"/>
          <w:sz w:val="24"/>
          <w:szCs w:val="24"/>
        </w:rPr>
        <w:t xml:space="preserve">lần đầu </w:t>
      </w:r>
      <w:r w:rsidR="00D26410">
        <w:rPr>
          <w:rFonts w:ascii="Times New Roman" w:hAnsi="Times New Roman" w:cs="Times New Roman"/>
          <w:sz w:val="24"/>
          <w:szCs w:val="24"/>
        </w:rPr>
        <w:t xml:space="preserve">sở hữu một bất động sản đầu tư (hoặc khi một bất động sản sẵn có </w:t>
      </w:r>
      <w:r w:rsidR="006D0B77">
        <w:rPr>
          <w:rFonts w:ascii="Times New Roman" w:hAnsi="Times New Roman" w:cs="Times New Roman"/>
          <w:sz w:val="24"/>
          <w:szCs w:val="24"/>
        </w:rPr>
        <w:t xml:space="preserve">bắt đầu </w:t>
      </w:r>
      <w:r w:rsidR="00D26410">
        <w:rPr>
          <w:rFonts w:ascii="Times New Roman" w:hAnsi="Times New Roman" w:cs="Times New Roman"/>
          <w:sz w:val="24"/>
          <w:szCs w:val="24"/>
        </w:rPr>
        <w:t>được chuyển thành bất động sản đầu tư sau khi thay đổi mục đích sử dụng)</w:t>
      </w:r>
      <w:r w:rsidR="00DE6EF5">
        <w:rPr>
          <w:rFonts w:ascii="Times New Roman" w:hAnsi="Times New Roman" w:cs="Times New Roman"/>
          <w:sz w:val="24"/>
          <w:szCs w:val="24"/>
        </w:rPr>
        <w:t xml:space="preserve"> rằng</w:t>
      </w:r>
      <w:r w:rsidR="00D26410">
        <w:rPr>
          <w:rFonts w:ascii="Times New Roman" w:hAnsi="Times New Roman" w:cs="Times New Roman"/>
          <w:sz w:val="24"/>
          <w:szCs w:val="24"/>
        </w:rPr>
        <w:t xml:space="preserve"> độ biến thiên </w:t>
      </w:r>
      <w:r w:rsidR="005073B1">
        <w:rPr>
          <w:rFonts w:ascii="Times New Roman" w:hAnsi="Times New Roman" w:cs="Times New Roman"/>
          <w:sz w:val="24"/>
          <w:szCs w:val="24"/>
        </w:rPr>
        <w:t>trong</w:t>
      </w:r>
      <w:r w:rsidR="00D26410">
        <w:rPr>
          <w:rFonts w:ascii="Times New Roman" w:hAnsi="Times New Roman" w:cs="Times New Roman"/>
          <w:sz w:val="24"/>
          <w:szCs w:val="24"/>
        </w:rPr>
        <w:t xml:space="preserve"> khoảng giá trị hợp lý được xác định một cách đáng tin cậy là quá lớn, và </w:t>
      </w:r>
      <w:r w:rsidR="00A32076">
        <w:rPr>
          <w:rFonts w:ascii="Times New Roman" w:hAnsi="Times New Roman" w:cs="Times New Roman"/>
          <w:sz w:val="24"/>
          <w:szCs w:val="24"/>
        </w:rPr>
        <w:t xml:space="preserve">xác suất của các </w:t>
      </w:r>
      <w:r w:rsidR="005073B1">
        <w:rPr>
          <w:rFonts w:ascii="Times New Roman" w:hAnsi="Times New Roman" w:cs="Times New Roman"/>
          <w:sz w:val="24"/>
          <w:szCs w:val="24"/>
        </w:rPr>
        <w:t>kết quả</w:t>
      </w:r>
      <w:r w:rsidR="00A32076">
        <w:rPr>
          <w:rFonts w:ascii="Times New Roman" w:hAnsi="Times New Roman" w:cs="Times New Roman"/>
          <w:sz w:val="24"/>
          <w:szCs w:val="24"/>
        </w:rPr>
        <w:t xml:space="preserve"> khác nhau rất khó để đánh giá, từ đó tính hữu dụng của một phương pháp xác định giá trị hợp lý bị </w:t>
      </w:r>
      <w:r w:rsidR="00A32076">
        <w:rPr>
          <w:rFonts w:ascii="Times New Roman" w:hAnsi="Times New Roman" w:cs="Times New Roman"/>
          <w:sz w:val="24"/>
          <w:szCs w:val="24"/>
        </w:rPr>
        <w:lastRenderedPageBreak/>
        <w:t>phủ nhận. Điều này có thể có nghĩa rằng giá trị hợp lý của bất động sản không thể được xác định một cách đáng tin cậy trên cơ sở liên tục (tham khảo đoạn 53).</w:t>
      </w:r>
    </w:p>
    <w:p w:rsidR="00A32076" w:rsidRDefault="00A32076"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[Đã xóa]</w:t>
      </w:r>
    </w:p>
    <w:p w:rsidR="00A32076" w:rsidRDefault="00CD6011"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t>Tr</w:t>
      </w:r>
      <w:r w:rsidR="0042597B">
        <w:rPr>
          <w:rFonts w:ascii="Times New Roman" w:hAnsi="Times New Roman" w:cs="Times New Roman"/>
          <w:sz w:val="24"/>
          <w:szCs w:val="24"/>
        </w:rPr>
        <w:t xml:space="preserve">ong việc xác định </w:t>
      </w:r>
      <w:r w:rsidR="00AA2158">
        <w:rPr>
          <w:rFonts w:ascii="Times New Roman" w:hAnsi="Times New Roman" w:cs="Times New Roman"/>
          <w:sz w:val="24"/>
          <w:szCs w:val="24"/>
        </w:rPr>
        <w:t>giá trị ghi sổ</w:t>
      </w:r>
      <w:r w:rsidR="0042597B">
        <w:rPr>
          <w:rFonts w:ascii="Times New Roman" w:hAnsi="Times New Roman" w:cs="Times New Roman"/>
          <w:sz w:val="24"/>
          <w:szCs w:val="24"/>
        </w:rPr>
        <w:t xml:space="preserve"> của một bất động sản đầu tư theo mô hình gia trị hợp lý, đơn vị không được </w:t>
      </w:r>
      <w:r w:rsidR="00B274B3">
        <w:rPr>
          <w:rFonts w:ascii="Times New Roman" w:hAnsi="Times New Roman" w:cs="Times New Roman"/>
          <w:sz w:val="24"/>
          <w:szCs w:val="24"/>
        </w:rPr>
        <w:t>ghi nhận</w:t>
      </w:r>
      <w:r w:rsidR="0042597B">
        <w:rPr>
          <w:rFonts w:ascii="Times New Roman" w:hAnsi="Times New Roman" w:cs="Times New Roman"/>
          <w:sz w:val="24"/>
          <w:szCs w:val="24"/>
        </w:rPr>
        <w:t xml:space="preserve"> </w:t>
      </w:r>
      <w:r w:rsidR="00B274B3">
        <w:rPr>
          <w:rFonts w:ascii="Times New Roman" w:hAnsi="Times New Roman" w:cs="Times New Roman"/>
          <w:sz w:val="24"/>
          <w:szCs w:val="24"/>
        </w:rPr>
        <w:t>trùng</w:t>
      </w:r>
      <w:r w:rsidR="0042597B">
        <w:rPr>
          <w:rFonts w:ascii="Times New Roman" w:hAnsi="Times New Roman" w:cs="Times New Roman"/>
          <w:sz w:val="24"/>
          <w:szCs w:val="24"/>
        </w:rPr>
        <w:t xml:space="preserve"> tài sản hoặc nợ phải trả đã được ghi nhận là tài sản hay nợ phải trả</w:t>
      </w:r>
      <w:r w:rsidR="00B274B3">
        <w:rPr>
          <w:rFonts w:ascii="Times New Roman" w:hAnsi="Times New Roman" w:cs="Times New Roman"/>
          <w:sz w:val="24"/>
          <w:szCs w:val="24"/>
        </w:rPr>
        <w:t xml:space="preserve"> độc lập</w:t>
      </w:r>
      <w:r w:rsidR="0042597B">
        <w:rPr>
          <w:rFonts w:ascii="Times New Roman" w:hAnsi="Times New Roman" w:cs="Times New Roman"/>
          <w:sz w:val="24"/>
          <w:szCs w:val="24"/>
        </w:rPr>
        <w:t>. Ví dụ:</w:t>
      </w:r>
    </w:p>
    <w:p w:rsidR="0042597B" w:rsidRDefault="00B61FA5"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trang thiết bị như thang máy hoặc điều hòa thường là một phần tích hợp vào một tòa nhà và thường được bao gồm trong giá trị hợp lý của bất động sản đầu tư, và không được ghi nhận tách biệt là tài sản cố định.</w:t>
      </w:r>
    </w:p>
    <w:p w:rsidR="00B61FA5" w:rsidRDefault="00B61FA5"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nếu một văn phòng được cho thuê theo điều khoản đã bao gồm nội thất, giá </w:t>
      </w:r>
      <w:r w:rsidR="00A23A4D">
        <w:rPr>
          <w:rFonts w:ascii="Times New Roman" w:hAnsi="Times New Roman" w:cs="Times New Roman"/>
          <w:sz w:val="24"/>
          <w:szCs w:val="24"/>
        </w:rPr>
        <w:t>trị</w:t>
      </w:r>
      <w:r>
        <w:rPr>
          <w:rFonts w:ascii="Times New Roman" w:hAnsi="Times New Roman" w:cs="Times New Roman"/>
          <w:sz w:val="24"/>
          <w:szCs w:val="24"/>
        </w:rPr>
        <w:t xml:space="preserve"> hợp lý của văn phòng thường đã bao gồm giá trị hợp lý của nội thất, vì khoản thu nhập từ tiền thuê gắn liền với điều khoản văn phòng đã bao gồm nội thất. Khi nội thất được bao gồm trong giá trị hợp lý của bất động sản đầu tư, đơn vị không ghi nhận nội thất là một tài sản riêng.</w:t>
      </w:r>
    </w:p>
    <w:p w:rsidR="00B61FA5" w:rsidRDefault="00B61FA5"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977BE9">
        <w:rPr>
          <w:rFonts w:ascii="Times New Roman" w:hAnsi="Times New Roman" w:cs="Times New Roman"/>
          <w:sz w:val="24"/>
          <w:szCs w:val="24"/>
        </w:rPr>
        <w:t>giá t</w:t>
      </w:r>
      <w:r w:rsidR="005073B1">
        <w:rPr>
          <w:rFonts w:ascii="Times New Roman" w:hAnsi="Times New Roman" w:cs="Times New Roman"/>
          <w:sz w:val="24"/>
          <w:szCs w:val="24"/>
        </w:rPr>
        <w:t>r</w:t>
      </w:r>
      <w:r w:rsidR="00977BE9">
        <w:rPr>
          <w:rFonts w:ascii="Times New Roman" w:hAnsi="Times New Roman" w:cs="Times New Roman"/>
          <w:sz w:val="24"/>
          <w:szCs w:val="24"/>
        </w:rPr>
        <w:t>ị hợp lý của bất động sản đầu tư không bao gồm khoản thu nhậ</w:t>
      </w:r>
      <w:r w:rsidR="005073B1">
        <w:rPr>
          <w:rFonts w:ascii="Times New Roman" w:hAnsi="Times New Roman" w:cs="Times New Roman"/>
          <w:sz w:val="24"/>
          <w:szCs w:val="24"/>
        </w:rPr>
        <w:t xml:space="preserve">p trả trước hay lũy kế </w:t>
      </w:r>
      <w:r w:rsidR="00977BE9">
        <w:rPr>
          <w:rFonts w:ascii="Times New Roman" w:hAnsi="Times New Roman" w:cs="Times New Roman"/>
          <w:sz w:val="24"/>
          <w:szCs w:val="24"/>
        </w:rPr>
        <w:t>từ cho thuê hoạt động, vì đơn vị đã ghi nhận phần này là nợ phải trả hoặc tài sản riêng biệ</w:t>
      </w:r>
      <w:r w:rsidR="005073B1">
        <w:rPr>
          <w:rFonts w:ascii="Times New Roman" w:hAnsi="Times New Roman" w:cs="Times New Roman"/>
          <w:sz w:val="24"/>
          <w:szCs w:val="24"/>
        </w:rPr>
        <w:t>t.</w:t>
      </w:r>
    </w:p>
    <w:p w:rsidR="00977BE9" w:rsidRDefault="00977BE9"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giá trị hợ</w:t>
      </w:r>
      <w:r w:rsidR="005073B1">
        <w:rPr>
          <w:rFonts w:ascii="Times New Roman" w:hAnsi="Times New Roman" w:cs="Times New Roman"/>
          <w:sz w:val="24"/>
          <w:szCs w:val="24"/>
        </w:rPr>
        <w:t xml:space="preserve">p lý </w:t>
      </w:r>
      <w:r w:rsidR="00104AC0">
        <w:rPr>
          <w:rFonts w:ascii="Times New Roman" w:hAnsi="Times New Roman" w:cs="Times New Roman"/>
          <w:sz w:val="24"/>
          <w:szCs w:val="24"/>
        </w:rPr>
        <w:t>của</w:t>
      </w:r>
      <w:r>
        <w:rPr>
          <w:rFonts w:ascii="Times New Roman" w:hAnsi="Times New Roman" w:cs="Times New Roman"/>
          <w:sz w:val="24"/>
          <w:szCs w:val="24"/>
        </w:rPr>
        <w:t xml:space="preserve"> bất động sản đầu tư </w:t>
      </w:r>
      <w:r w:rsidR="005073B1">
        <w:rPr>
          <w:rFonts w:ascii="Times New Roman" w:hAnsi="Times New Roman" w:cs="Times New Roman"/>
          <w:sz w:val="24"/>
          <w:szCs w:val="24"/>
        </w:rPr>
        <w:t>nắm giữ</w:t>
      </w:r>
      <w:r>
        <w:rPr>
          <w:rFonts w:ascii="Times New Roman" w:hAnsi="Times New Roman" w:cs="Times New Roman"/>
          <w:sz w:val="24"/>
          <w:szCs w:val="24"/>
        </w:rPr>
        <w:t xml:space="preserve"> bởi bên đi thuê như một tài sản được quyền sử dụ</w:t>
      </w:r>
      <w:r w:rsidR="005073B1">
        <w:rPr>
          <w:rFonts w:ascii="Times New Roman" w:hAnsi="Times New Roman" w:cs="Times New Roman"/>
          <w:sz w:val="24"/>
          <w:szCs w:val="24"/>
        </w:rPr>
        <w:t>ng phả</w:t>
      </w:r>
      <w:r>
        <w:rPr>
          <w:rFonts w:ascii="Times New Roman" w:hAnsi="Times New Roman" w:cs="Times New Roman"/>
          <w:sz w:val="24"/>
          <w:szCs w:val="24"/>
        </w:rPr>
        <w:t>n ánh dòng tiền dự ki</w:t>
      </w:r>
      <w:r w:rsidR="00104AC0">
        <w:rPr>
          <w:rFonts w:ascii="Times New Roman" w:hAnsi="Times New Roman" w:cs="Times New Roman"/>
          <w:sz w:val="24"/>
          <w:szCs w:val="24"/>
        </w:rPr>
        <w:t>ế</w:t>
      </w:r>
      <w:r>
        <w:rPr>
          <w:rFonts w:ascii="Times New Roman" w:hAnsi="Times New Roman" w:cs="Times New Roman"/>
          <w:sz w:val="24"/>
          <w:szCs w:val="24"/>
        </w:rPr>
        <w:t>n (bao gồm cả khoản thanh toán tiền thuê biến thiên mà dự ki</w:t>
      </w:r>
      <w:r w:rsidR="00104AC0">
        <w:rPr>
          <w:rFonts w:ascii="Times New Roman" w:hAnsi="Times New Roman" w:cs="Times New Roman"/>
          <w:sz w:val="24"/>
          <w:szCs w:val="24"/>
        </w:rPr>
        <w:t>ế</w:t>
      </w:r>
      <w:r>
        <w:rPr>
          <w:rFonts w:ascii="Times New Roman" w:hAnsi="Times New Roman" w:cs="Times New Roman"/>
          <w:sz w:val="24"/>
          <w:szCs w:val="24"/>
        </w:rPr>
        <w:t xml:space="preserve">n sẽ trở thành nợ phải trả). Theo đó, nếu việc định giá của một tài sản </w:t>
      </w:r>
      <w:r w:rsidR="00281521">
        <w:rPr>
          <w:rFonts w:ascii="Times New Roman" w:hAnsi="Times New Roman" w:cs="Times New Roman"/>
          <w:sz w:val="24"/>
          <w:szCs w:val="24"/>
        </w:rPr>
        <w:t xml:space="preserve">đã loại trừ toàn bộ các khoản tiền phải trả dự kiến, việc cộng lại phần nợ phải trả đã ghi nhận cho tiền thuê là cần thiết để thu được </w:t>
      </w:r>
      <w:r w:rsidR="00AA2158">
        <w:rPr>
          <w:rFonts w:ascii="Times New Roman" w:hAnsi="Times New Roman" w:cs="Times New Roman"/>
          <w:sz w:val="24"/>
          <w:szCs w:val="24"/>
        </w:rPr>
        <w:t>giá trị ghi sổ</w:t>
      </w:r>
      <w:r w:rsidR="00281521">
        <w:rPr>
          <w:rFonts w:ascii="Times New Roman" w:hAnsi="Times New Roman" w:cs="Times New Roman"/>
          <w:sz w:val="24"/>
          <w:szCs w:val="24"/>
        </w:rPr>
        <w:t xml:space="preserve"> của bất động sản đầu tư khi sử dụng mô hình giá trị hợp lý.</w:t>
      </w:r>
    </w:p>
    <w:p w:rsidR="00281521" w:rsidRDefault="004E049C"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[Đã xóa]</w:t>
      </w:r>
    </w:p>
    <w:p w:rsidR="004E049C" w:rsidRDefault="004E049C"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 xml:space="preserve">Trong một </w:t>
      </w:r>
      <w:r w:rsidR="00823BDC">
        <w:rPr>
          <w:rFonts w:ascii="Times New Roman" w:hAnsi="Times New Roman" w:cs="Times New Roman"/>
          <w:sz w:val="24"/>
          <w:szCs w:val="24"/>
        </w:rPr>
        <w:t>số trường hợp, đơn vị dự đoán giá trị hiện tại của các khoản phải trả liên quan đến bất động sản đầu tư (các khoản khác ngoài các khoản đã ghi nhận là nợ phải trả) sẽ vượt quá phần giá trị hiện tại của các khoản tiền sẽ nhậ</w:t>
      </w:r>
      <w:r w:rsidR="005073B1">
        <w:rPr>
          <w:rFonts w:ascii="Times New Roman" w:hAnsi="Times New Roman" w:cs="Times New Roman"/>
          <w:sz w:val="24"/>
          <w:szCs w:val="24"/>
        </w:rPr>
        <w:t>n được</w:t>
      </w:r>
      <w:r w:rsidR="00823BDC">
        <w:rPr>
          <w:rFonts w:ascii="Times New Roman" w:hAnsi="Times New Roman" w:cs="Times New Roman"/>
          <w:sz w:val="24"/>
          <w:szCs w:val="24"/>
        </w:rPr>
        <w:t xml:space="preserve"> liên quan. Đơn vị áp dụng IAS 37 </w:t>
      </w:r>
      <w:r w:rsidR="00A23A4D" w:rsidRPr="00A23A4D">
        <w:rPr>
          <w:rFonts w:ascii="Times New Roman" w:hAnsi="Times New Roman" w:cs="Times New Roman"/>
          <w:i/>
          <w:sz w:val="24"/>
          <w:szCs w:val="24"/>
        </w:rPr>
        <w:t>Các khoản dự phòng, tài sản và nợ tiềm tàng</w:t>
      </w:r>
      <w:r w:rsidR="005D169C">
        <w:rPr>
          <w:rFonts w:ascii="Times New Roman" w:hAnsi="Times New Roman" w:cs="Times New Roman"/>
          <w:sz w:val="24"/>
          <w:szCs w:val="24"/>
        </w:rPr>
        <w:t xml:space="preserve"> để quyết định có ghi nhận đây là khoản nợ phải trả hay không và, nếu ghi nhận, cách để xác đị</w:t>
      </w:r>
      <w:r w:rsidR="005073B1">
        <w:rPr>
          <w:rFonts w:ascii="Times New Roman" w:hAnsi="Times New Roman" w:cs="Times New Roman"/>
          <w:sz w:val="24"/>
          <w:szCs w:val="24"/>
        </w:rPr>
        <w:t>nh</w:t>
      </w:r>
      <w:r w:rsidR="005D169C">
        <w:rPr>
          <w:rFonts w:ascii="Times New Roman" w:hAnsi="Times New Roman" w:cs="Times New Roman"/>
          <w:sz w:val="24"/>
          <w:szCs w:val="24"/>
        </w:rPr>
        <w:t>.</w:t>
      </w:r>
    </w:p>
    <w:p w:rsidR="001705B2" w:rsidRDefault="001705B2" w:rsidP="0048656B">
      <w:pPr>
        <w:tabs>
          <w:tab w:val="left" w:pos="720"/>
        </w:tabs>
        <w:spacing w:after="120" w:line="240" w:lineRule="auto"/>
        <w:ind w:left="720" w:right="14" w:hanging="720"/>
        <w:jc w:val="both"/>
        <w:rPr>
          <w:rFonts w:ascii="Arial" w:hAnsi="Arial" w:cs="Arial"/>
          <w:b/>
          <w:sz w:val="28"/>
          <w:szCs w:val="24"/>
        </w:rPr>
      </w:pPr>
      <w:r w:rsidRPr="00D07E6E">
        <w:rPr>
          <w:rFonts w:ascii="Arial" w:hAnsi="Arial" w:cs="Arial"/>
          <w:b/>
          <w:sz w:val="28"/>
          <w:szCs w:val="24"/>
        </w:rPr>
        <w:tab/>
      </w:r>
      <w:r>
        <w:rPr>
          <w:rFonts w:ascii="Arial" w:hAnsi="Arial" w:cs="Arial"/>
          <w:b/>
          <w:sz w:val="28"/>
          <w:szCs w:val="24"/>
        </w:rPr>
        <w:t>Trường hợp không xác định được giá trị hợp lý một cách đáng tin cậy</w:t>
      </w:r>
    </w:p>
    <w:p w:rsidR="005435A0" w:rsidRDefault="00594639" w:rsidP="0048656B">
      <w:pPr>
        <w:tabs>
          <w:tab w:val="left" w:pos="720"/>
        </w:tabs>
        <w:spacing w:after="120" w:line="240" w:lineRule="auto"/>
        <w:ind w:left="720" w:right="14" w:hanging="720"/>
        <w:jc w:val="both"/>
        <w:rPr>
          <w:rFonts w:ascii="Times New Roman" w:hAnsi="Times New Roman" w:cs="Times New Roman"/>
          <w:b/>
          <w:sz w:val="24"/>
          <w:szCs w:val="24"/>
        </w:rPr>
      </w:pPr>
      <w:r w:rsidRPr="00DA6951">
        <w:rPr>
          <w:rFonts w:ascii="Times New Roman" w:hAnsi="Times New Roman" w:cs="Times New Roman"/>
          <w:b/>
          <w:sz w:val="24"/>
          <w:szCs w:val="24"/>
        </w:rPr>
        <w:t>53</w:t>
      </w:r>
      <w:r w:rsidRPr="00DA6951">
        <w:rPr>
          <w:rFonts w:ascii="Times New Roman" w:hAnsi="Times New Roman" w:cs="Times New Roman"/>
          <w:b/>
          <w:sz w:val="24"/>
          <w:szCs w:val="24"/>
        </w:rPr>
        <w:tab/>
      </w:r>
      <w:r w:rsidR="009F0D56" w:rsidRPr="00DA6951">
        <w:rPr>
          <w:rFonts w:ascii="Times New Roman" w:hAnsi="Times New Roman" w:cs="Times New Roman"/>
          <w:b/>
          <w:sz w:val="24"/>
          <w:szCs w:val="24"/>
        </w:rPr>
        <w:t>Có một giả định</w:t>
      </w:r>
      <w:r w:rsidR="00A71BE5">
        <w:rPr>
          <w:rFonts w:ascii="Times New Roman" w:hAnsi="Times New Roman" w:cs="Times New Roman"/>
          <w:b/>
          <w:sz w:val="24"/>
          <w:szCs w:val="24"/>
        </w:rPr>
        <w:t xml:space="preserve"> </w:t>
      </w:r>
      <w:r w:rsidR="009F0D56" w:rsidRPr="00DA6951">
        <w:rPr>
          <w:rFonts w:ascii="Times New Roman" w:hAnsi="Times New Roman" w:cs="Times New Roman"/>
          <w:b/>
          <w:sz w:val="24"/>
          <w:szCs w:val="24"/>
        </w:rPr>
        <w:t xml:space="preserve">bác bỏ về việc một đơn vị có thể xác định được giá trị hợp lý một cách đáng tin cậy của một bất động sản đầu tư trên cơ sở liên tục. Tuy nhiên, </w:t>
      </w:r>
      <w:r w:rsidR="00C92556" w:rsidRPr="00DA6951">
        <w:rPr>
          <w:rFonts w:ascii="Times New Roman" w:hAnsi="Times New Roman" w:cs="Times New Roman"/>
          <w:b/>
          <w:sz w:val="24"/>
          <w:szCs w:val="24"/>
        </w:rPr>
        <w:t xml:space="preserve">trong một số trường hợp ngoại lệ, có những bằng chứng rõ ràng </w:t>
      </w:r>
      <w:r w:rsidR="00B70EB8" w:rsidRPr="00DA6951">
        <w:rPr>
          <w:rFonts w:ascii="Times New Roman" w:hAnsi="Times New Roman" w:cs="Times New Roman"/>
          <w:b/>
          <w:sz w:val="24"/>
          <w:szCs w:val="24"/>
        </w:rPr>
        <w:t xml:space="preserve">thể hiện một đơn vị khi </w:t>
      </w:r>
      <w:r w:rsidR="00585A11">
        <w:rPr>
          <w:rFonts w:ascii="Times New Roman" w:hAnsi="Times New Roman" w:cs="Times New Roman"/>
          <w:b/>
          <w:sz w:val="24"/>
          <w:szCs w:val="24"/>
        </w:rPr>
        <w:t>bắt đầu</w:t>
      </w:r>
      <w:r w:rsidR="00B70EB8" w:rsidRPr="00DA6951">
        <w:rPr>
          <w:rFonts w:ascii="Times New Roman" w:hAnsi="Times New Roman" w:cs="Times New Roman"/>
          <w:b/>
          <w:sz w:val="24"/>
          <w:szCs w:val="24"/>
        </w:rPr>
        <w:t xml:space="preserve"> sở hữu một bất động sản đầu tư (hoặc khi một bất động sản sẵn có </w:t>
      </w:r>
      <w:r w:rsidR="00585A11">
        <w:rPr>
          <w:rFonts w:ascii="Times New Roman" w:hAnsi="Times New Roman" w:cs="Times New Roman"/>
          <w:b/>
          <w:sz w:val="24"/>
          <w:szCs w:val="24"/>
        </w:rPr>
        <w:t xml:space="preserve">lần đầu </w:t>
      </w:r>
      <w:r w:rsidR="00B70EB8" w:rsidRPr="00DA6951">
        <w:rPr>
          <w:rFonts w:ascii="Times New Roman" w:hAnsi="Times New Roman" w:cs="Times New Roman"/>
          <w:b/>
          <w:sz w:val="24"/>
          <w:szCs w:val="24"/>
        </w:rPr>
        <w:t xml:space="preserve">được chuyển thành bất động sản đầu tư sau khi thay đổi mục đích sử dụng), giá trị hợp lý của bất động sản đầu tư không để được xác định trên cơ sở liên tục. Điều này sẽ phát sinh khi, và chỉ khi, thị trường cho bất động sản tương tự không hoạt động (ví dụ: có rất ít giao dịch, báo giá không được cập nhật hoặc giá quan sát được của giao dịch thể hiện người bán bị ép buộc để bán) và không có phương pháp thay thế cho việc xác định giá trị hợp </w:t>
      </w:r>
      <w:r w:rsidR="00B70EB8" w:rsidRPr="00DA6951">
        <w:rPr>
          <w:rFonts w:ascii="Times New Roman" w:hAnsi="Times New Roman" w:cs="Times New Roman"/>
          <w:b/>
          <w:sz w:val="24"/>
          <w:szCs w:val="24"/>
        </w:rPr>
        <w:lastRenderedPageBreak/>
        <w:t xml:space="preserve">lý một cách đáng tin cậy (ví dụ: dựa trên dự đoán chiết khấu dòng tiền). </w:t>
      </w:r>
      <w:r w:rsidR="005435A0">
        <w:rPr>
          <w:rFonts w:ascii="Times New Roman" w:hAnsi="Times New Roman" w:cs="Times New Roman"/>
          <w:b/>
          <w:sz w:val="24"/>
          <w:szCs w:val="24"/>
        </w:rPr>
        <w:t xml:space="preserve">Nếu đơn vị xác định rằng giá trị hợp lý của một bất động sản đầu tư đang </w:t>
      </w:r>
      <w:r w:rsidR="00585A11">
        <w:rPr>
          <w:rFonts w:ascii="Times New Roman" w:hAnsi="Times New Roman" w:cs="Times New Roman"/>
          <w:b/>
          <w:sz w:val="24"/>
          <w:szCs w:val="24"/>
        </w:rPr>
        <w:t>trong quá trình xây dựng</w:t>
      </w:r>
      <w:r w:rsidR="005435A0">
        <w:rPr>
          <w:rFonts w:ascii="Times New Roman" w:hAnsi="Times New Roman" w:cs="Times New Roman"/>
          <w:b/>
          <w:sz w:val="24"/>
          <w:szCs w:val="24"/>
        </w:rPr>
        <w:t xml:space="preserve"> không thể được xác định một cách đáng tin cậy, nhưng dự đoán rằng giá trị hợp lý của bất động sản sẽ có thể được xác định một cách đáng tin cây khi quá trình </w:t>
      </w:r>
      <w:r w:rsidR="00DA7EED">
        <w:rPr>
          <w:rFonts w:ascii="Times New Roman" w:hAnsi="Times New Roman" w:cs="Times New Roman"/>
          <w:b/>
          <w:sz w:val="24"/>
          <w:szCs w:val="24"/>
        </w:rPr>
        <w:t>thi công</w:t>
      </w:r>
      <w:r w:rsidR="005435A0">
        <w:rPr>
          <w:rFonts w:ascii="Times New Roman" w:hAnsi="Times New Roman" w:cs="Times New Roman"/>
          <w:b/>
          <w:sz w:val="24"/>
          <w:szCs w:val="24"/>
        </w:rPr>
        <w:t xml:space="preserve"> hoàn thành, đơn vị sẽ ghi nhận bất động sản đầu </w:t>
      </w:r>
      <w:r w:rsidR="00585A11">
        <w:rPr>
          <w:rFonts w:ascii="Times New Roman" w:hAnsi="Times New Roman" w:cs="Times New Roman"/>
          <w:b/>
          <w:sz w:val="24"/>
          <w:szCs w:val="24"/>
        </w:rPr>
        <w:t xml:space="preserve">tư đang trong quá trình xây dựng </w:t>
      </w:r>
      <w:r w:rsidR="005435A0">
        <w:rPr>
          <w:rFonts w:ascii="Times New Roman" w:hAnsi="Times New Roman" w:cs="Times New Roman"/>
          <w:b/>
          <w:sz w:val="24"/>
          <w:szCs w:val="24"/>
        </w:rPr>
        <w:t xml:space="preserve">theo giá gốc </w:t>
      </w:r>
      <w:r w:rsidR="00585A11">
        <w:rPr>
          <w:rFonts w:ascii="Times New Roman" w:hAnsi="Times New Roman" w:cs="Times New Roman"/>
          <w:b/>
          <w:sz w:val="24"/>
          <w:szCs w:val="24"/>
        </w:rPr>
        <w:t xml:space="preserve">cho </w:t>
      </w:r>
      <w:r w:rsidR="005435A0">
        <w:rPr>
          <w:rFonts w:ascii="Times New Roman" w:hAnsi="Times New Roman" w:cs="Times New Roman"/>
          <w:b/>
          <w:sz w:val="24"/>
          <w:szCs w:val="24"/>
        </w:rPr>
        <w:t xml:space="preserve">đến khi giá trị hợp lý được xác định một cách đáng tin cậy hoặc quá trình </w:t>
      </w:r>
      <w:r w:rsidR="00DA7EED">
        <w:rPr>
          <w:rFonts w:ascii="Times New Roman" w:hAnsi="Times New Roman" w:cs="Times New Roman"/>
          <w:b/>
          <w:sz w:val="24"/>
          <w:szCs w:val="24"/>
        </w:rPr>
        <w:t>thi công</w:t>
      </w:r>
      <w:r w:rsidR="005435A0">
        <w:rPr>
          <w:rFonts w:ascii="Times New Roman" w:hAnsi="Times New Roman" w:cs="Times New Roman"/>
          <w:b/>
          <w:sz w:val="24"/>
          <w:szCs w:val="24"/>
        </w:rPr>
        <w:t xml:space="preserve"> hoàn thành (</w:t>
      </w:r>
      <w:r w:rsidR="00585A11">
        <w:rPr>
          <w:rFonts w:ascii="Times New Roman" w:hAnsi="Times New Roman" w:cs="Times New Roman"/>
          <w:b/>
          <w:sz w:val="24"/>
          <w:szCs w:val="24"/>
        </w:rPr>
        <w:t xml:space="preserve">tùy thuộc vào </w:t>
      </w:r>
      <w:r w:rsidR="00DA5C22">
        <w:rPr>
          <w:rFonts w:ascii="Times New Roman" w:hAnsi="Times New Roman" w:cs="Times New Roman"/>
          <w:b/>
          <w:sz w:val="24"/>
          <w:szCs w:val="24"/>
        </w:rPr>
        <w:t xml:space="preserve">thời điểm </w:t>
      </w:r>
      <w:r w:rsidR="005073B1">
        <w:rPr>
          <w:rFonts w:ascii="Times New Roman" w:hAnsi="Times New Roman" w:cs="Times New Roman"/>
          <w:b/>
          <w:sz w:val="24"/>
          <w:szCs w:val="24"/>
        </w:rPr>
        <w:t xml:space="preserve">nào </w:t>
      </w:r>
      <w:r w:rsidR="00DA5C22">
        <w:rPr>
          <w:rFonts w:ascii="Times New Roman" w:hAnsi="Times New Roman" w:cs="Times New Roman"/>
          <w:b/>
          <w:sz w:val="24"/>
          <w:szCs w:val="24"/>
        </w:rPr>
        <w:t xml:space="preserve">sớm hơn). Nếu một đơn vị quyết định </w:t>
      </w:r>
      <w:r w:rsidR="007B2594">
        <w:rPr>
          <w:rFonts w:ascii="Times New Roman" w:hAnsi="Times New Roman" w:cs="Times New Roman"/>
          <w:b/>
          <w:sz w:val="24"/>
          <w:szCs w:val="24"/>
        </w:rPr>
        <w:t xml:space="preserve">rằng </w:t>
      </w:r>
      <w:r w:rsidR="00DA5C22">
        <w:rPr>
          <w:rFonts w:ascii="Times New Roman" w:hAnsi="Times New Roman" w:cs="Times New Roman"/>
          <w:b/>
          <w:sz w:val="24"/>
          <w:szCs w:val="24"/>
        </w:rPr>
        <w:t xml:space="preserve">giá trị hợp lý của một bất động sản đầu tư (ngoài các bất động sản đầu tư </w:t>
      </w:r>
      <w:r w:rsidR="007B2594">
        <w:rPr>
          <w:rFonts w:ascii="Times New Roman" w:hAnsi="Times New Roman" w:cs="Times New Roman"/>
          <w:b/>
          <w:sz w:val="24"/>
          <w:szCs w:val="24"/>
        </w:rPr>
        <w:t>dang trong quá trình xây dựng</w:t>
      </w:r>
      <w:r w:rsidR="00DA5C22">
        <w:rPr>
          <w:rFonts w:ascii="Times New Roman" w:hAnsi="Times New Roman" w:cs="Times New Roman"/>
          <w:b/>
          <w:sz w:val="24"/>
          <w:szCs w:val="24"/>
        </w:rPr>
        <w:t xml:space="preserve">) không thể được xác định một cách đáng tin cậy trên cơ sở </w:t>
      </w:r>
      <w:r w:rsidR="00B274B3">
        <w:rPr>
          <w:rFonts w:ascii="Times New Roman" w:hAnsi="Times New Roman" w:cs="Times New Roman"/>
          <w:b/>
          <w:sz w:val="24"/>
          <w:szCs w:val="24"/>
        </w:rPr>
        <w:t xml:space="preserve">liên tục, đơn vị sẽ định giá bất động sản đầu tư </w:t>
      </w:r>
      <w:r w:rsidR="007B2594">
        <w:rPr>
          <w:rFonts w:ascii="Times New Roman" w:hAnsi="Times New Roman" w:cs="Times New Roman"/>
          <w:b/>
          <w:sz w:val="24"/>
          <w:szCs w:val="24"/>
        </w:rPr>
        <w:t>theo</w:t>
      </w:r>
      <w:r w:rsidR="00B274B3">
        <w:rPr>
          <w:rFonts w:ascii="Times New Roman" w:hAnsi="Times New Roman" w:cs="Times New Roman"/>
          <w:b/>
          <w:sz w:val="24"/>
          <w:szCs w:val="24"/>
        </w:rPr>
        <w:t xml:space="preserve"> mô hình giá gốc </w:t>
      </w:r>
      <w:r w:rsidR="007B2594">
        <w:rPr>
          <w:rFonts w:ascii="Times New Roman" w:hAnsi="Times New Roman" w:cs="Times New Roman"/>
          <w:b/>
          <w:sz w:val="24"/>
          <w:szCs w:val="24"/>
        </w:rPr>
        <w:t>hướng dẫn tại</w:t>
      </w:r>
      <w:r w:rsidR="00B274B3">
        <w:rPr>
          <w:rFonts w:ascii="Times New Roman" w:hAnsi="Times New Roman" w:cs="Times New Roman"/>
          <w:b/>
          <w:sz w:val="24"/>
          <w:szCs w:val="24"/>
        </w:rPr>
        <w:t xml:space="preserve"> IAS 16 cho bất động sản đầu tư được sở hữu hoặc theo IFRS 16 cho bất động sản đầu tư nắm giữ bởi bên đi thuê như một tài sản được quyền sử dụng. Giá trị còn lại củ</w:t>
      </w:r>
      <w:r w:rsidR="00277F4F">
        <w:rPr>
          <w:rFonts w:ascii="Times New Roman" w:hAnsi="Times New Roman" w:cs="Times New Roman"/>
          <w:b/>
          <w:sz w:val="24"/>
          <w:szCs w:val="24"/>
        </w:rPr>
        <w:t>a bất động sản đầu tư sẽ được coi là bằng không. Đơn vị sẽ áp dụng IAS 16 hoặc IFRS 16 đến khi thanh lý bất động sản đầu tư.</w:t>
      </w:r>
    </w:p>
    <w:p w:rsidR="00277F4F" w:rsidRDefault="00277F4F"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53A</w:t>
      </w:r>
      <w:r>
        <w:rPr>
          <w:rFonts w:ascii="Times New Roman" w:hAnsi="Times New Roman" w:cs="Times New Roman"/>
          <w:sz w:val="24"/>
          <w:szCs w:val="24"/>
        </w:rPr>
        <w:tab/>
      </w:r>
      <w:r w:rsidR="00BE43B1">
        <w:rPr>
          <w:rFonts w:ascii="Times New Roman" w:hAnsi="Times New Roman" w:cs="Times New Roman"/>
          <w:sz w:val="24"/>
          <w:szCs w:val="24"/>
        </w:rPr>
        <w:t>Một khi đơn vị có khả năng xác định một cách hợp lý của giá trị hợp lý</w:t>
      </w:r>
      <w:r w:rsidR="00606994">
        <w:rPr>
          <w:rFonts w:ascii="Times New Roman" w:hAnsi="Times New Roman" w:cs="Times New Roman"/>
          <w:sz w:val="24"/>
          <w:szCs w:val="24"/>
        </w:rPr>
        <w:t xml:space="preserve"> của một </w:t>
      </w:r>
      <w:r w:rsidR="00451146">
        <w:rPr>
          <w:rFonts w:ascii="Times New Roman" w:hAnsi="Times New Roman" w:cs="Times New Roman"/>
          <w:sz w:val="24"/>
          <w:szCs w:val="24"/>
        </w:rPr>
        <w:t>bất động sản đầu tư đang trong quá trình xây dựng</w:t>
      </w:r>
      <w:r w:rsidR="00606994">
        <w:rPr>
          <w:rFonts w:ascii="Times New Roman" w:hAnsi="Times New Roman" w:cs="Times New Roman"/>
          <w:sz w:val="24"/>
          <w:szCs w:val="24"/>
        </w:rPr>
        <w:t xml:space="preserve"> mà trước đó đang được ghi nhận theo giá gốc, đơn vị phải chuyển sang ghi nhận bất động sản theo giá trị hợp lý. Khi việc </w:t>
      </w:r>
      <w:r w:rsidR="00DA7EED">
        <w:rPr>
          <w:rFonts w:ascii="Times New Roman" w:hAnsi="Times New Roman" w:cs="Times New Roman"/>
          <w:sz w:val="24"/>
          <w:szCs w:val="24"/>
        </w:rPr>
        <w:t>thi công</w:t>
      </w:r>
      <w:r w:rsidR="00606994">
        <w:rPr>
          <w:rFonts w:ascii="Times New Roman" w:hAnsi="Times New Roman" w:cs="Times New Roman"/>
          <w:sz w:val="24"/>
          <w:szCs w:val="24"/>
        </w:rPr>
        <w:t xml:space="preserve"> của bất động sản đó hoàn thành, giá trị hợp lý được coi là có thể được xác định một cách đáng tin cậy. Nếu không thể xác định được giá trị hợp lý, theo đoạn 53, bất động sản sẽ được ghi nhận sử dụng mô hình giá gốc tuần theo IAS 16 </w:t>
      </w:r>
      <w:r w:rsidR="00606994" w:rsidRPr="00606994">
        <w:rPr>
          <w:rFonts w:ascii="Times New Roman" w:hAnsi="Times New Roman" w:cs="Times New Roman"/>
          <w:sz w:val="24"/>
          <w:szCs w:val="24"/>
        </w:rPr>
        <w:t>cho bất động sản đầu tư được sở hữu hoặc theo IFRS 16 cho bất động sản đầu tư nắm giữa bởi bên đi thuê như một tài sản được quyền sử dụng</w:t>
      </w:r>
      <w:r w:rsidR="0028346E">
        <w:rPr>
          <w:rFonts w:ascii="Times New Roman" w:hAnsi="Times New Roman" w:cs="Times New Roman"/>
          <w:sz w:val="24"/>
          <w:szCs w:val="24"/>
        </w:rPr>
        <w:t>.</w:t>
      </w:r>
    </w:p>
    <w:p w:rsidR="0028346E" w:rsidRDefault="0028346E"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53B</w:t>
      </w:r>
      <w:r>
        <w:rPr>
          <w:rFonts w:ascii="Times New Roman" w:hAnsi="Times New Roman" w:cs="Times New Roman"/>
          <w:sz w:val="24"/>
          <w:szCs w:val="24"/>
        </w:rPr>
        <w:tab/>
      </w:r>
      <w:r w:rsidR="008E686F">
        <w:rPr>
          <w:rFonts w:ascii="Times New Roman" w:hAnsi="Times New Roman" w:cs="Times New Roman"/>
          <w:sz w:val="24"/>
          <w:szCs w:val="24"/>
        </w:rPr>
        <w:t xml:space="preserve">Giả định rằng giá trị hợp lý của </w:t>
      </w:r>
      <w:r w:rsidR="00451146">
        <w:rPr>
          <w:rFonts w:ascii="Times New Roman" w:hAnsi="Times New Roman" w:cs="Times New Roman"/>
          <w:sz w:val="24"/>
          <w:szCs w:val="24"/>
        </w:rPr>
        <w:t>bất động sản đầu tư đang trong quá trình xây dựng</w:t>
      </w:r>
      <w:r w:rsidR="008E686F">
        <w:rPr>
          <w:rFonts w:ascii="Times New Roman" w:hAnsi="Times New Roman" w:cs="Times New Roman"/>
          <w:sz w:val="24"/>
          <w:szCs w:val="24"/>
        </w:rPr>
        <w:t xml:space="preserve"> có thể được xác định một cách đáng tin cây chỉ có thể bị phủ nhận tại thời điểm ghi nhận ban đầu. </w:t>
      </w:r>
      <w:r w:rsidR="005073B1">
        <w:rPr>
          <w:rFonts w:ascii="Times New Roman" w:hAnsi="Times New Roman" w:cs="Times New Roman"/>
          <w:sz w:val="24"/>
          <w:szCs w:val="24"/>
        </w:rPr>
        <w:t>Nếu đ</w:t>
      </w:r>
      <w:r w:rsidR="008E686F">
        <w:rPr>
          <w:rFonts w:ascii="Times New Roman" w:hAnsi="Times New Roman" w:cs="Times New Roman"/>
          <w:sz w:val="24"/>
          <w:szCs w:val="24"/>
        </w:rPr>
        <w:t xml:space="preserve">ơn vị đã xác định giá trị của một tài sản thuộc </w:t>
      </w:r>
      <w:r w:rsidR="00451146">
        <w:rPr>
          <w:rFonts w:ascii="Times New Roman" w:hAnsi="Times New Roman" w:cs="Times New Roman"/>
          <w:sz w:val="24"/>
          <w:szCs w:val="24"/>
        </w:rPr>
        <w:t>bất động sản đầu tư đang trong quá trình xây dựng</w:t>
      </w:r>
      <w:r w:rsidR="008E686F">
        <w:rPr>
          <w:rFonts w:ascii="Times New Roman" w:hAnsi="Times New Roman" w:cs="Times New Roman"/>
          <w:sz w:val="24"/>
          <w:szCs w:val="24"/>
        </w:rPr>
        <w:t xml:space="preserve"> theo giá trị hợp lý không thể kết luận giá trị hợ</w:t>
      </w:r>
      <w:r w:rsidR="005073B1">
        <w:rPr>
          <w:rFonts w:ascii="Times New Roman" w:hAnsi="Times New Roman" w:cs="Times New Roman"/>
          <w:sz w:val="24"/>
          <w:szCs w:val="24"/>
        </w:rPr>
        <w:t>p lý của</w:t>
      </w:r>
      <w:r w:rsidR="008E686F">
        <w:rPr>
          <w:rFonts w:ascii="Times New Roman" w:hAnsi="Times New Roman" w:cs="Times New Roman"/>
          <w:sz w:val="24"/>
          <w:szCs w:val="24"/>
        </w:rPr>
        <w:t xml:space="preserve"> bất động sản đầu tư hoàn thiện là không thể xác định một cách đáng tin cậy.</w:t>
      </w:r>
    </w:p>
    <w:p w:rsidR="008E686F" w:rsidRPr="00277F4F" w:rsidRDefault="008E686F"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009761E9">
        <w:rPr>
          <w:rFonts w:ascii="Times New Roman" w:hAnsi="Times New Roman" w:cs="Times New Roman"/>
          <w:sz w:val="24"/>
          <w:szCs w:val="24"/>
        </w:rPr>
        <w:t>Trong một số trường hợp ngoại lệ</w:t>
      </w:r>
      <w:r w:rsidR="00387ECA">
        <w:rPr>
          <w:rFonts w:ascii="Times New Roman" w:hAnsi="Times New Roman" w:cs="Times New Roman"/>
          <w:sz w:val="24"/>
          <w:szCs w:val="24"/>
        </w:rPr>
        <w:t xml:space="preserve"> mà đơn</w:t>
      </w:r>
      <w:r w:rsidR="0057675C">
        <w:rPr>
          <w:rFonts w:ascii="Times New Roman" w:hAnsi="Times New Roman" w:cs="Times New Roman"/>
          <w:sz w:val="24"/>
          <w:szCs w:val="24"/>
        </w:rPr>
        <w:t xml:space="preserve"> vị</w:t>
      </w:r>
      <w:r w:rsidR="00387ECA">
        <w:rPr>
          <w:rFonts w:ascii="Times New Roman" w:hAnsi="Times New Roman" w:cs="Times New Roman"/>
          <w:sz w:val="24"/>
          <w:szCs w:val="24"/>
        </w:rPr>
        <w:t xml:space="preserve"> bắt buộc, dựa trên các lí do tại đoạn 53, </w:t>
      </w:r>
      <w:r w:rsidR="00601F6E">
        <w:rPr>
          <w:rFonts w:ascii="Times New Roman" w:hAnsi="Times New Roman" w:cs="Times New Roman"/>
          <w:sz w:val="24"/>
          <w:szCs w:val="24"/>
        </w:rPr>
        <w:t xml:space="preserve">phải </w:t>
      </w:r>
      <w:r w:rsidR="00387ECA">
        <w:rPr>
          <w:rFonts w:ascii="Times New Roman" w:hAnsi="Times New Roman" w:cs="Times New Roman"/>
          <w:sz w:val="24"/>
          <w:szCs w:val="24"/>
        </w:rPr>
        <w:t xml:space="preserve">định giá bất động sản đầu tư sử dụng mô hình giá gốc theo IAS 16 hoặc IFRS 16, đơn vị </w:t>
      </w:r>
      <w:r w:rsidR="0057675C">
        <w:rPr>
          <w:rFonts w:ascii="Times New Roman" w:hAnsi="Times New Roman" w:cs="Times New Roman"/>
          <w:sz w:val="24"/>
          <w:szCs w:val="24"/>
        </w:rPr>
        <w:t>định giá</w:t>
      </w:r>
      <w:r w:rsidR="00387ECA">
        <w:rPr>
          <w:rFonts w:ascii="Times New Roman" w:hAnsi="Times New Roman" w:cs="Times New Roman"/>
          <w:sz w:val="24"/>
          <w:szCs w:val="24"/>
        </w:rPr>
        <w:t xml:space="preserve"> toàn bộ bất động sản đầu tư </w:t>
      </w:r>
      <w:r w:rsidR="00601F6E">
        <w:rPr>
          <w:rFonts w:ascii="Times New Roman" w:hAnsi="Times New Roman" w:cs="Times New Roman"/>
          <w:sz w:val="24"/>
          <w:szCs w:val="24"/>
        </w:rPr>
        <w:t xml:space="preserve">còn lại </w:t>
      </w:r>
      <w:r w:rsidR="00387ECA">
        <w:rPr>
          <w:rFonts w:ascii="Times New Roman" w:hAnsi="Times New Roman" w:cs="Times New Roman"/>
          <w:sz w:val="24"/>
          <w:szCs w:val="24"/>
        </w:rPr>
        <w:t xml:space="preserve">theo giá trị hợp lý, bao gồm cả </w:t>
      </w:r>
      <w:r w:rsidR="00451146">
        <w:rPr>
          <w:rFonts w:ascii="Times New Roman" w:hAnsi="Times New Roman" w:cs="Times New Roman"/>
          <w:sz w:val="24"/>
          <w:szCs w:val="24"/>
        </w:rPr>
        <w:t>bất động sản đầu tư đang trong quá trình xây dựng</w:t>
      </w:r>
      <w:r w:rsidR="00387ECA">
        <w:rPr>
          <w:rFonts w:ascii="Times New Roman" w:hAnsi="Times New Roman" w:cs="Times New Roman"/>
          <w:sz w:val="24"/>
          <w:szCs w:val="24"/>
        </w:rPr>
        <w:t xml:space="preserve">. Trong các trường </w:t>
      </w:r>
      <w:r w:rsidR="00595415">
        <w:rPr>
          <w:rFonts w:ascii="Times New Roman" w:hAnsi="Times New Roman" w:cs="Times New Roman"/>
          <w:sz w:val="24"/>
          <w:szCs w:val="24"/>
        </w:rPr>
        <w:t>hợp</w:t>
      </w:r>
      <w:r w:rsidR="00387ECA">
        <w:rPr>
          <w:rFonts w:ascii="Times New Roman" w:hAnsi="Times New Roman" w:cs="Times New Roman"/>
          <w:sz w:val="24"/>
          <w:szCs w:val="24"/>
        </w:rPr>
        <w:t xml:space="preserve"> này, mặc dù đơn vị có thể sử dụng mô hình giá gốc cho một bất động sản đầu tư, đơn vị sẽ tiếp tục ghi nhận từng bất động sản còn lại sử dụng mô hình giá hợp lý.</w:t>
      </w:r>
    </w:p>
    <w:p w:rsidR="00187B4A" w:rsidRPr="005073B1" w:rsidRDefault="0057675C" w:rsidP="0048656B">
      <w:pPr>
        <w:tabs>
          <w:tab w:val="left" w:pos="720"/>
        </w:tabs>
        <w:spacing w:after="120" w:line="240" w:lineRule="auto"/>
        <w:ind w:left="720" w:right="14" w:hanging="720"/>
        <w:jc w:val="both"/>
        <w:rPr>
          <w:rFonts w:ascii="Times New Roman" w:hAnsi="Times New Roman" w:cs="Times New Roman"/>
          <w:b/>
          <w:sz w:val="24"/>
          <w:szCs w:val="24"/>
        </w:rPr>
      </w:pPr>
      <w:r w:rsidRPr="005073B1">
        <w:rPr>
          <w:rFonts w:ascii="Times New Roman" w:hAnsi="Times New Roman" w:cs="Times New Roman"/>
          <w:b/>
          <w:sz w:val="24"/>
          <w:szCs w:val="24"/>
        </w:rPr>
        <w:t>55</w:t>
      </w:r>
      <w:r w:rsidRPr="005073B1">
        <w:rPr>
          <w:rFonts w:ascii="Times New Roman" w:hAnsi="Times New Roman" w:cs="Times New Roman"/>
          <w:b/>
          <w:sz w:val="24"/>
          <w:szCs w:val="24"/>
        </w:rPr>
        <w:tab/>
      </w:r>
      <w:r w:rsidR="007D560E" w:rsidRPr="005073B1">
        <w:rPr>
          <w:rFonts w:ascii="Times New Roman" w:hAnsi="Times New Roman" w:cs="Times New Roman"/>
          <w:b/>
          <w:sz w:val="24"/>
          <w:szCs w:val="24"/>
        </w:rPr>
        <w:t>Nếu một đơn vị trước đây đã định giá một bất động sản đầu tư theo giá trị hợp lý, đơn vị sẽ tiếp tục sử dụng giá trị hợp lý để xác định giá trị của bất động sản đến thời điểm thanh lý (hoặc đến khi bất động sản chuyển thành bất động sản chủ sở hữu sử dụng hoặc đơn vị bắt đầu phát triển bất động sản để bán trong một kỳ sản xuất kinh doanh thông thường) kể cả nếu giao dịch tương tự trên thị trường trở nên ít</w:t>
      </w:r>
      <w:r w:rsidR="005073B1">
        <w:rPr>
          <w:rFonts w:ascii="Times New Roman" w:hAnsi="Times New Roman" w:cs="Times New Roman"/>
          <w:b/>
          <w:sz w:val="24"/>
          <w:szCs w:val="24"/>
        </w:rPr>
        <w:t xml:space="preserve"> thường xuyên</w:t>
      </w:r>
      <w:r w:rsidR="007D560E" w:rsidRPr="005073B1">
        <w:rPr>
          <w:rFonts w:ascii="Times New Roman" w:hAnsi="Times New Roman" w:cs="Times New Roman"/>
          <w:b/>
          <w:sz w:val="24"/>
          <w:szCs w:val="24"/>
        </w:rPr>
        <w:t xml:space="preserve"> hơn hoặc giá thị trường trở nên ít phổ biến hơn.</w:t>
      </w:r>
    </w:p>
    <w:p w:rsidR="00E66884" w:rsidRDefault="00E66884" w:rsidP="0048656B">
      <w:pPr>
        <w:tabs>
          <w:tab w:val="left" w:pos="720"/>
        </w:tabs>
        <w:spacing w:after="120" w:line="240" w:lineRule="auto"/>
        <w:ind w:left="720" w:right="14" w:hanging="720"/>
        <w:jc w:val="both"/>
        <w:rPr>
          <w:rFonts w:ascii="Arial" w:hAnsi="Arial" w:cs="Arial"/>
          <w:b/>
          <w:sz w:val="28"/>
          <w:szCs w:val="24"/>
        </w:rPr>
      </w:pPr>
      <w:r w:rsidRPr="00D07E6E">
        <w:rPr>
          <w:rFonts w:ascii="Arial" w:hAnsi="Arial" w:cs="Arial"/>
          <w:b/>
          <w:sz w:val="28"/>
          <w:szCs w:val="24"/>
        </w:rPr>
        <w:tab/>
      </w:r>
      <w:r>
        <w:rPr>
          <w:rFonts w:ascii="Arial" w:hAnsi="Arial" w:cs="Arial"/>
          <w:b/>
          <w:sz w:val="28"/>
          <w:szCs w:val="24"/>
        </w:rPr>
        <w:t>Mô hình giá gốc</w:t>
      </w:r>
    </w:p>
    <w:p w:rsidR="00E66884" w:rsidRPr="00434703" w:rsidRDefault="00A76948" w:rsidP="0048656B">
      <w:pPr>
        <w:tabs>
          <w:tab w:val="left" w:pos="720"/>
        </w:tabs>
        <w:spacing w:after="120" w:line="240" w:lineRule="auto"/>
        <w:ind w:left="720" w:right="14" w:hanging="720"/>
        <w:jc w:val="both"/>
        <w:rPr>
          <w:rFonts w:ascii="Times New Roman" w:hAnsi="Times New Roman" w:cs="Times New Roman"/>
          <w:b/>
          <w:sz w:val="24"/>
          <w:szCs w:val="24"/>
        </w:rPr>
      </w:pPr>
      <w:r w:rsidRPr="00434703">
        <w:rPr>
          <w:rFonts w:ascii="Times New Roman" w:hAnsi="Times New Roman" w:cs="Times New Roman"/>
          <w:b/>
          <w:sz w:val="24"/>
          <w:szCs w:val="24"/>
        </w:rPr>
        <w:t>56</w:t>
      </w:r>
      <w:r w:rsidRPr="00434703">
        <w:rPr>
          <w:rFonts w:ascii="Times New Roman" w:hAnsi="Times New Roman" w:cs="Times New Roman"/>
          <w:b/>
          <w:sz w:val="24"/>
          <w:szCs w:val="24"/>
        </w:rPr>
        <w:tab/>
      </w:r>
      <w:r w:rsidR="00D13A3D" w:rsidRPr="00434703">
        <w:rPr>
          <w:rFonts w:ascii="Times New Roman" w:hAnsi="Times New Roman" w:cs="Times New Roman"/>
          <w:b/>
          <w:sz w:val="24"/>
          <w:szCs w:val="24"/>
        </w:rPr>
        <w:t>Sau khi ghi nhận ban đầu, đơn vị lựa chọn sử dụng mô hình giá gốc sẽ xác định giá trị của bất động sản đầu tư như sau:</w:t>
      </w:r>
    </w:p>
    <w:p w:rsidR="00D13A3D" w:rsidRPr="00434703" w:rsidRDefault="00D13A3D" w:rsidP="0048656B">
      <w:pPr>
        <w:tabs>
          <w:tab w:val="left" w:pos="1440"/>
        </w:tabs>
        <w:spacing w:after="120" w:line="240" w:lineRule="auto"/>
        <w:ind w:left="1440" w:right="14" w:hanging="720"/>
        <w:jc w:val="both"/>
        <w:rPr>
          <w:rFonts w:ascii="Times New Roman" w:hAnsi="Times New Roman" w:cs="Times New Roman"/>
          <w:b/>
          <w:sz w:val="24"/>
          <w:szCs w:val="24"/>
        </w:rPr>
      </w:pPr>
      <w:r w:rsidRPr="00434703">
        <w:rPr>
          <w:rFonts w:ascii="Times New Roman" w:hAnsi="Times New Roman" w:cs="Times New Roman"/>
          <w:b/>
          <w:sz w:val="24"/>
          <w:szCs w:val="24"/>
        </w:rPr>
        <w:lastRenderedPageBreak/>
        <w:t>(a)</w:t>
      </w:r>
      <w:r w:rsidRPr="00434703">
        <w:rPr>
          <w:rFonts w:ascii="Times New Roman" w:hAnsi="Times New Roman" w:cs="Times New Roman"/>
          <w:b/>
          <w:sz w:val="24"/>
          <w:szCs w:val="24"/>
        </w:rPr>
        <w:tab/>
        <w:t xml:space="preserve">theo IFRS 5 </w:t>
      </w:r>
      <w:r w:rsidRPr="00434703">
        <w:rPr>
          <w:rFonts w:ascii="Times New Roman" w:hAnsi="Times New Roman" w:cs="Times New Roman"/>
          <w:b/>
          <w:i/>
          <w:sz w:val="24"/>
          <w:szCs w:val="24"/>
        </w:rPr>
        <w:t xml:space="preserve">Tài sản cố định giữ để bán và hoạt động không </w:t>
      </w:r>
      <w:r w:rsidR="006C50F5">
        <w:rPr>
          <w:rFonts w:ascii="Times New Roman" w:hAnsi="Times New Roman" w:cs="Times New Roman"/>
          <w:b/>
          <w:i/>
          <w:sz w:val="24"/>
          <w:szCs w:val="24"/>
        </w:rPr>
        <w:t xml:space="preserve">liên </w:t>
      </w:r>
      <w:r w:rsidRPr="00434703">
        <w:rPr>
          <w:rFonts w:ascii="Times New Roman" w:hAnsi="Times New Roman" w:cs="Times New Roman"/>
          <w:b/>
          <w:i/>
          <w:sz w:val="24"/>
          <w:szCs w:val="24"/>
        </w:rPr>
        <w:t>tục</w:t>
      </w:r>
      <w:r w:rsidR="00060A7B" w:rsidRPr="00434703">
        <w:rPr>
          <w:rFonts w:ascii="Times New Roman" w:hAnsi="Times New Roman" w:cs="Times New Roman"/>
          <w:b/>
          <w:sz w:val="24"/>
          <w:szCs w:val="24"/>
        </w:rPr>
        <w:t xml:space="preserve"> nếu nó thỏa mãn điều kiện để được đánh giá là giữ để bán (hoặc bao gồm trong nhóm tài sản thanh lý được phân loại là giữ để bán);</w:t>
      </w:r>
    </w:p>
    <w:p w:rsidR="00A35412" w:rsidRPr="00434703" w:rsidRDefault="00060A7B" w:rsidP="0048656B">
      <w:pPr>
        <w:tabs>
          <w:tab w:val="left" w:pos="1440"/>
        </w:tabs>
        <w:spacing w:after="120" w:line="240" w:lineRule="auto"/>
        <w:ind w:left="1440" w:right="14" w:hanging="720"/>
        <w:jc w:val="both"/>
        <w:rPr>
          <w:rFonts w:ascii="Times New Roman" w:hAnsi="Times New Roman" w:cs="Times New Roman"/>
          <w:b/>
          <w:sz w:val="24"/>
          <w:szCs w:val="24"/>
        </w:rPr>
      </w:pPr>
      <w:r w:rsidRPr="00434703">
        <w:rPr>
          <w:rFonts w:ascii="Times New Roman" w:hAnsi="Times New Roman" w:cs="Times New Roman"/>
          <w:b/>
          <w:sz w:val="24"/>
          <w:szCs w:val="24"/>
        </w:rPr>
        <w:t>(b)</w:t>
      </w:r>
      <w:r w:rsidRPr="00434703">
        <w:rPr>
          <w:rFonts w:ascii="Times New Roman" w:hAnsi="Times New Roman" w:cs="Times New Roman"/>
          <w:b/>
          <w:sz w:val="24"/>
          <w:szCs w:val="24"/>
        </w:rPr>
        <w:tab/>
        <w:t>theo IFRS 16</w:t>
      </w:r>
      <w:r w:rsidR="0035369D" w:rsidRPr="00434703">
        <w:rPr>
          <w:rFonts w:ascii="Times New Roman" w:hAnsi="Times New Roman" w:cs="Times New Roman"/>
          <w:b/>
          <w:sz w:val="24"/>
          <w:szCs w:val="24"/>
        </w:rPr>
        <w:t xml:space="preserve"> nếu tài sản được nắm giữ bở</w:t>
      </w:r>
      <w:r w:rsidR="000F6641" w:rsidRPr="00434703">
        <w:rPr>
          <w:rFonts w:ascii="Times New Roman" w:hAnsi="Times New Roman" w:cs="Times New Roman"/>
          <w:b/>
          <w:sz w:val="24"/>
          <w:szCs w:val="24"/>
        </w:rPr>
        <w:t>i bên đi thuê như tài sản được quyền sử dụng</w:t>
      </w:r>
      <w:r w:rsidR="00A35412" w:rsidRPr="00434703">
        <w:rPr>
          <w:rFonts w:ascii="Times New Roman" w:hAnsi="Times New Roman" w:cs="Times New Roman"/>
          <w:b/>
          <w:sz w:val="24"/>
          <w:szCs w:val="24"/>
        </w:rPr>
        <w:t xml:space="preserve"> và không phải nắm giữ để bán theo IFRS 5; và</w:t>
      </w:r>
    </w:p>
    <w:p w:rsidR="00EC27DC" w:rsidRDefault="00A35412" w:rsidP="0048656B">
      <w:pPr>
        <w:tabs>
          <w:tab w:val="left" w:pos="1440"/>
        </w:tabs>
        <w:spacing w:after="120" w:line="240" w:lineRule="auto"/>
        <w:ind w:left="1440" w:right="14" w:hanging="720"/>
        <w:jc w:val="both"/>
        <w:rPr>
          <w:rFonts w:ascii="Times New Roman" w:hAnsi="Times New Roman" w:cs="Times New Roman"/>
          <w:b/>
          <w:sz w:val="24"/>
          <w:szCs w:val="24"/>
        </w:rPr>
      </w:pPr>
      <w:r w:rsidRPr="00434703">
        <w:rPr>
          <w:rFonts w:ascii="Times New Roman" w:hAnsi="Times New Roman" w:cs="Times New Roman"/>
          <w:b/>
          <w:sz w:val="24"/>
          <w:szCs w:val="24"/>
        </w:rPr>
        <w:t>(c)</w:t>
      </w:r>
      <w:r w:rsidRPr="00434703">
        <w:rPr>
          <w:rFonts w:ascii="Times New Roman" w:hAnsi="Times New Roman" w:cs="Times New Roman"/>
          <w:b/>
          <w:sz w:val="24"/>
          <w:szCs w:val="24"/>
        </w:rPr>
        <w:tab/>
      </w:r>
      <w:r w:rsidR="006B021F" w:rsidRPr="00434703">
        <w:rPr>
          <w:rFonts w:ascii="Times New Roman" w:hAnsi="Times New Roman" w:cs="Times New Roman"/>
          <w:b/>
          <w:sz w:val="24"/>
          <w:szCs w:val="24"/>
        </w:rPr>
        <w:t>theo các yêu cầu của IAS 16 cho mô hình giá gốc trong các trường hợp khác.</w:t>
      </w:r>
    </w:p>
    <w:p w:rsidR="006B021F" w:rsidRPr="006B021F" w:rsidRDefault="00EC27DC" w:rsidP="006C50F5">
      <w:pPr>
        <w:pBdr>
          <w:bottom w:val="single" w:sz="4" w:space="1" w:color="auto"/>
        </w:pBdr>
        <w:jc w:val="both"/>
        <w:rPr>
          <w:rFonts w:ascii="Arial" w:hAnsi="Arial" w:cs="Arial"/>
          <w:b/>
          <w:sz w:val="28"/>
          <w:szCs w:val="24"/>
        </w:rPr>
      </w:pPr>
      <w:r>
        <w:rPr>
          <w:rFonts w:ascii="Times New Roman" w:hAnsi="Times New Roman" w:cs="Times New Roman"/>
          <w:b/>
          <w:sz w:val="24"/>
          <w:szCs w:val="24"/>
        </w:rPr>
        <w:br w:type="page"/>
      </w:r>
      <w:r w:rsidR="006B021F" w:rsidRPr="006B021F">
        <w:rPr>
          <w:rFonts w:ascii="Arial" w:hAnsi="Arial" w:cs="Arial"/>
          <w:b/>
          <w:sz w:val="28"/>
          <w:szCs w:val="24"/>
        </w:rPr>
        <w:lastRenderedPageBreak/>
        <w:t>Chuyển đổi</w:t>
      </w:r>
    </w:p>
    <w:p w:rsidR="00060A7B" w:rsidRPr="006217EB" w:rsidRDefault="006B021F" w:rsidP="0048656B">
      <w:pPr>
        <w:tabs>
          <w:tab w:val="left" w:pos="720"/>
        </w:tabs>
        <w:spacing w:after="120" w:line="240" w:lineRule="auto"/>
        <w:ind w:left="720" w:right="14" w:hanging="720"/>
        <w:jc w:val="both"/>
        <w:rPr>
          <w:rFonts w:ascii="Times New Roman" w:hAnsi="Times New Roman" w:cs="Times New Roman"/>
          <w:b/>
          <w:sz w:val="24"/>
          <w:szCs w:val="24"/>
        </w:rPr>
      </w:pPr>
      <w:r w:rsidRPr="006217EB">
        <w:rPr>
          <w:rFonts w:ascii="Times New Roman" w:hAnsi="Times New Roman" w:cs="Times New Roman"/>
          <w:b/>
          <w:sz w:val="24"/>
          <w:szCs w:val="24"/>
        </w:rPr>
        <w:t>57</w:t>
      </w:r>
      <w:r w:rsidRPr="006217EB">
        <w:rPr>
          <w:rFonts w:ascii="Times New Roman" w:hAnsi="Times New Roman" w:cs="Times New Roman"/>
          <w:b/>
          <w:sz w:val="24"/>
          <w:szCs w:val="24"/>
        </w:rPr>
        <w:tab/>
      </w:r>
      <w:r w:rsidR="005073B1">
        <w:rPr>
          <w:rFonts w:ascii="Times New Roman" w:hAnsi="Times New Roman" w:cs="Times New Roman"/>
          <w:b/>
          <w:sz w:val="24"/>
          <w:szCs w:val="24"/>
        </w:rPr>
        <w:t>Đ</w:t>
      </w:r>
      <w:r w:rsidR="00434703" w:rsidRPr="006217EB">
        <w:rPr>
          <w:rFonts w:ascii="Times New Roman" w:hAnsi="Times New Roman" w:cs="Times New Roman"/>
          <w:b/>
          <w:sz w:val="24"/>
          <w:szCs w:val="24"/>
        </w:rPr>
        <w:t>ơn vị chuyển đổi một bất độ</w:t>
      </w:r>
      <w:r w:rsidR="005073B1">
        <w:rPr>
          <w:rFonts w:ascii="Times New Roman" w:hAnsi="Times New Roman" w:cs="Times New Roman"/>
          <w:b/>
          <w:sz w:val="24"/>
          <w:szCs w:val="24"/>
        </w:rPr>
        <w:t>ng</w:t>
      </w:r>
      <w:r w:rsidR="00434703" w:rsidRPr="006217EB">
        <w:rPr>
          <w:rFonts w:ascii="Times New Roman" w:hAnsi="Times New Roman" w:cs="Times New Roman"/>
          <w:b/>
          <w:sz w:val="24"/>
          <w:szCs w:val="24"/>
        </w:rPr>
        <w:t xml:space="preserve"> sản thành, hoặc từ, bất động sản đầu tư khi, và chỉ khi, có sự thay đổi về cách sử dụng. </w:t>
      </w:r>
      <w:r w:rsidR="005073B1">
        <w:rPr>
          <w:rFonts w:ascii="Times New Roman" w:hAnsi="Times New Roman" w:cs="Times New Roman"/>
          <w:b/>
          <w:sz w:val="24"/>
          <w:szCs w:val="24"/>
        </w:rPr>
        <w:t>T</w:t>
      </w:r>
      <w:r w:rsidR="00434703" w:rsidRPr="006217EB">
        <w:rPr>
          <w:rFonts w:ascii="Times New Roman" w:hAnsi="Times New Roman" w:cs="Times New Roman"/>
          <w:b/>
          <w:sz w:val="24"/>
          <w:szCs w:val="24"/>
        </w:rPr>
        <w:t>hay đổi về cách sử dụng phát sinh khi bất động sản thỏa mãn, hoặc không thỏa mãn, các định nghĩ</w:t>
      </w:r>
      <w:r w:rsidR="005073B1">
        <w:rPr>
          <w:rFonts w:ascii="Times New Roman" w:hAnsi="Times New Roman" w:cs="Times New Roman"/>
          <w:b/>
          <w:sz w:val="24"/>
          <w:szCs w:val="24"/>
        </w:rPr>
        <w:t>a</w:t>
      </w:r>
      <w:r w:rsidR="00434703" w:rsidRPr="006217EB">
        <w:rPr>
          <w:rFonts w:ascii="Times New Roman" w:hAnsi="Times New Roman" w:cs="Times New Roman"/>
          <w:b/>
          <w:sz w:val="24"/>
          <w:szCs w:val="24"/>
        </w:rPr>
        <w:t xml:space="preserve"> về bất động sản đầu tư và có bằng chứng về sự thay đổi trong cách sử dụng. </w:t>
      </w:r>
      <w:r w:rsidR="002303B2" w:rsidRPr="006217EB">
        <w:rPr>
          <w:rFonts w:ascii="Times New Roman" w:hAnsi="Times New Roman" w:cs="Times New Roman"/>
          <w:b/>
          <w:sz w:val="24"/>
          <w:szCs w:val="24"/>
        </w:rPr>
        <w:t>Khi đánh giá độc lập, việc thay đổi mục đích sử dụng bất động của ban quan trị đơn vị không cung cấp bằng chứng cho việc thay đổi cách sử dụng. Ví dụ về bằng chứng cho việc thay đổi cách sử dụng bao gồm:</w:t>
      </w:r>
    </w:p>
    <w:p w:rsidR="002303B2" w:rsidRDefault="002303B2"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 xml:space="preserve">chủ sở hữu bắt đầu sử dụng, hoặc bắt đầu phát triển bất động sản với định hướng để chủ sở hữu sử dụng, chuyển đổi từ bất động sản đầu tư thành </w:t>
      </w:r>
      <w:r w:rsidR="006C50F5">
        <w:rPr>
          <w:rFonts w:ascii="Times New Roman" w:hAnsi="Times New Roman" w:cs="Times New Roman"/>
          <w:b/>
          <w:sz w:val="24"/>
          <w:szCs w:val="24"/>
        </w:rPr>
        <w:t xml:space="preserve">bất động sản </w:t>
      </w:r>
      <w:r>
        <w:rPr>
          <w:rFonts w:ascii="Times New Roman" w:hAnsi="Times New Roman" w:cs="Times New Roman"/>
          <w:b/>
          <w:sz w:val="24"/>
          <w:szCs w:val="24"/>
        </w:rPr>
        <w:t>chủ sở hữu sử dụng;</w:t>
      </w:r>
    </w:p>
    <w:p w:rsidR="002303B2" w:rsidRDefault="002303B2"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việc bắt đầu phát triển bất động sản với mục đích để bán,</w:t>
      </w:r>
      <w:r w:rsidR="006217EB">
        <w:rPr>
          <w:rFonts w:ascii="Times New Roman" w:hAnsi="Times New Roman" w:cs="Times New Roman"/>
          <w:b/>
          <w:sz w:val="24"/>
          <w:szCs w:val="24"/>
        </w:rPr>
        <w:t xml:space="preserve"> </w:t>
      </w:r>
      <w:r>
        <w:rPr>
          <w:rFonts w:ascii="Times New Roman" w:hAnsi="Times New Roman" w:cs="Times New Roman"/>
          <w:b/>
          <w:sz w:val="24"/>
          <w:szCs w:val="24"/>
        </w:rPr>
        <w:t>chuyển từ bất động sản đầu tư thành hàng tồn kho;</w:t>
      </w:r>
    </w:p>
    <w:p w:rsidR="002303B2" w:rsidRDefault="002303B2"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kết thúc việc chủ sở hữu sử dụng, chuyển từ bất động sản chủ sở hữu sử dụng sang bất động sản đầu tư;</w:t>
      </w:r>
    </w:p>
    <w:p w:rsidR="002303B2" w:rsidRDefault="002303B2"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006217EB">
        <w:rPr>
          <w:rFonts w:ascii="Times New Roman" w:hAnsi="Times New Roman" w:cs="Times New Roman"/>
          <w:b/>
          <w:sz w:val="24"/>
          <w:szCs w:val="24"/>
        </w:rPr>
        <w:t>bắt đầu việc cho một bên khác thuê hoạt động, chuyển từ hàng tồn kho sang bất động sản đầu tư.</w:t>
      </w:r>
    </w:p>
    <w:p w:rsidR="006217EB" w:rsidRDefault="006217EB"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t>[Đã xóa]</w:t>
      </w:r>
    </w:p>
    <w:p w:rsidR="00836D77" w:rsidRDefault="00836D77" w:rsidP="0048656B">
      <w:pPr>
        <w:tabs>
          <w:tab w:val="left" w:pos="720"/>
        </w:tabs>
        <w:spacing w:after="120" w:line="240" w:lineRule="auto"/>
        <w:ind w:left="720" w:right="14" w:hanging="720"/>
        <w:jc w:val="both"/>
        <w:rPr>
          <w:rFonts w:ascii="Times New Roman" w:hAnsi="Times New Roman" w:cs="Times New Roman"/>
          <w:sz w:val="24"/>
          <w:szCs w:val="24"/>
        </w:rPr>
      </w:pPr>
      <w:r w:rsidRPr="00836D77">
        <w:rPr>
          <w:rFonts w:ascii="Times New Roman" w:hAnsi="Times New Roman" w:cs="Times New Roman"/>
          <w:sz w:val="24"/>
          <w:szCs w:val="24"/>
        </w:rPr>
        <w:t>58</w:t>
      </w:r>
      <w:r>
        <w:rPr>
          <w:rFonts w:ascii="Times New Roman" w:hAnsi="Times New Roman" w:cs="Times New Roman"/>
          <w:sz w:val="24"/>
          <w:szCs w:val="24"/>
        </w:rPr>
        <w:tab/>
        <w:t xml:space="preserve">Khi một đơn vị quyết định thanh lý một bất động sản đầu tư mà không phát triển/thay đổi, đơn vị tiếp tục ghi nhận bất động sản là bất động sản đầu tư đến thời điểm xóa khỏi sổ (loại trừ khỏi </w:t>
      </w:r>
      <w:r w:rsidR="007E6E4C">
        <w:rPr>
          <w:rFonts w:ascii="Times New Roman" w:hAnsi="Times New Roman" w:cs="Times New Roman"/>
          <w:sz w:val="24"/>
          <w:szCs w:val="24"/>
        </w:rPr>
        <w:t>báo cáo tình hình tài chính</w:t>
      </w:r>
      <w:r>
        <w:rPr>
          <w:rFonts w:ascii="Times New Roman" w:hAnsi="Times New Roman" w:cs="Times New Roman"/>
          <w:sz w:val="24"/>
          <w:szCs w:val="24"/>
        </w:rPr>
        <w:t xml:space="preserve">) và không phân loại lại thành hàng tồn kho. </w:t>
      </w:r>
      <w:r w:rsidR="0003355C">
        <w:rPr>
          <w:rFonts w:ascii="Times New Roman" w:hAnsi="Times New Roman" w:cs="Times New Roman"/>
          <w:sz w:val="24"/>
          <w:szCs w:val="24"/>
        </w:rPr>
        <w:t>Tương tự, nếu đơn vị bắt đầu tái phát triển một bất động sản đầu tư hiện hữu để tiếp tục sử dụng là một bất động sản đầu tư trong tương lai, bất động sản vẫn sẽ được ghi nhận là bất động sản đầu tư và không bị phân loại lại thành bất động sản chủ sở hữu sử dụng trong quá trình tái phát triển.</w:t>
      </w:r>
    </w:p>
    <w:p w:rsidR="0003355C" w:rsidRDefault="0003355C"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r>
      <w:r w:rsidR="00294F91">
        <w:rPr>
          <w:rFonts w:ascii="Times New Roman" w:hAnsi="Times New Roman" w:cs="Times New Roman"/>
          <w:sz w:val="24"/>
          <w:szCs w:val="24"/>
        </w:rPr>
        <w:t xml:space="preserve">Các đoạn từ 60 đến 65 áp dụng cho việc ghi nhận và định giá phát sinh khi đơn vị sử dụng mô hình giá trị hợp lý cho bất động sản đầu tư. </w:t>
      </w:r>
      <w:r w:rsidR="00BA01CF">
        <w:rPr>
          <w:rFonts w:ascii="Times New Roman" w:hAnsi="Times New Roman" w:cs="Times New Roman"/>
          <w:sz w:val="24"/>
          <w:szCs w:val="24"/>
        </w:rPr>
        <w:t xml:space="preserve">Khi một đơn vị sử dụng mô hình giá gốc, </w:t>
      </w:r>
      <w:r w:rsidR="000C1A6B">
        <w:rPr>
          <w:rFonts w:ascii="Times New Roman" w:hAnsi="Times New Roman" w:cs="Times New Roman"/>
          <w:sz w:val="24"/>
          <w:szCs w:val="24"/>
        </w:rPr>
        <w:t xml:space="preserve">việc chuyển giữa bất động sản đầu tư, bất động sản chủ sở hữu sử dụng và hàng tồn kho không </w:t>
      </w:r>
      <w:r w:rsidR="00C8182C">
        <w:rPr>
          <w:rFonts w:ascii="Times New Roman" w:hAnsi="Times New Roman" w:cs="Times New Roman"/>
          <w:sz w:val="24"/>
          <w:szCs w:val="24"/>
        </w:rPr>
        <w:t xml:space="preserve">làm </w:t>
      </w:r>
      <w:r w:rsidR="000C1A6B">
        <w:rPr>
          <w:rFonts w:ascii="Times New Roman" w:hAnsi="Times New Roman" w:cs="Times New Roman"/>
          <w:sz w:val="24"/>
          <w:szCs w:val="24"/>
        </w:rPr>
        <w:t xml:space="preserve">thay đổi </w:t>
      </w:r>
      <w:r w:rsidR="00AA2158">
        <w:rPr>
          <w:rFonts w:ascii="Times New Roman" w:hAnsi="Times New Roman" w:cs="Times New Roman"/>
          <w:sz w:val="24"/>
          <w:szCs w:val="24"/>
        </w:rPr>
        <w:t>giá trị ghi sổ</w:t>
      </w:r>
      <w:r w:rsidR="000C1A6B">
        <w:rPr>
          <w:rFonts w:ascii="Times New Roman" w:hAnsi="Times New Roman" w:cs="Times New Roman"/>
          <w:sz w:val="24"/>
          <w:szCs w:val="24"/>
        </w:rPr>
        <w:t xml:space="preserve"> của bất động sản được chuyển đổi và chúng không làm thay đổi </w:t>
      </w:r>
      <w:r w:rsidR="005073B1">
        <w:rPr>
          <w:rFonts w:ascii="Times New Roman" w:hAnsi="Times New Roman" w:cs="Times New Roman"/>
          <w:sz w:val="24"/>
          <w:szCs w:val="24"/>
        </w:rPr>
        <w:t>nguyên giá</w:t>
      </w:r>
      <w:r w:rsidR="000C1A6B">
        <w:rPr>
          <w:rFonts w:ascii="Times New Roman" w:hAnsi="Times New Roman" w:cs="Times New Roman"/>
          <w:sz w:val="24"/>
          <w:szCs w:val="24"/>
        </w:rPr>
        <w:t xml:space="preserve"> của bất động sản cho mục đích định giá hoặc công bố thông tin.</w:t>
      </w:r>
    </w:p>
    <w:p w:rsidR="00910B19" w:rsidRDefault="00910B19" w:rsidP="0048656B">
      <w:pPr>
        <w:tabs>
          <w:tab w:val="left" w:pos="720"/>
        </w:tabs>
        <w:spacing w:after="120" w:line="240" w:lineRule="auto"/>
        <w:ind w:left="720" w:right="14" w:hanging="720"/>
        <w:jc w:val="both"/>
        <w:rPr>
          <w:rFonts w:ascii="Times New Roman" w:hAnsi="Times New Roman" w:cs="Times New Roman"/>
          <w:b/>
          <w:sz w:val="24"/>
          <w:szCs w:val="24"/>
        </w:rPr>
      </w:pPr>
      <w:r w:rsidRPr="00FE294E">
        <w:rPr>
          <w:rFonts w:ascii="Times New Roman" w:hAnsi="Times New Roman" w:cs="Times New Roman"/>
          <w:b/>
          <w:sz w:val="24"/>
          <w:szCs w:val="24"/>
        </w:rPr>
        <w:t>60</w:t>
      </w:r>
      <w:r w:rsidRPr="00FE294E">
        <w:rPr>
          <w:rFonts w:ascii="Times New Roman" w:hAnsi="Times New Roman" w:cs="Times New Roman"/>
          <w:b/>
          <w:sz w:val="24"/>
          <w:szCs w:val="24"/>
        </w:rPr>
        <w:tab/>
        <w:t xml:space="preserve">Để chuyển đồi từ bất động sản đầu tư đang được ghi nhận ở giá trị hợp lý thành bất động sản chủ sở hữu sử dụng hoặc hàng tồn kho, giá trị ấn định của bất động sản để ghi nhận sau </w:t>
      </w:r>
      <w:r w:rsidR="006C50F5">
        <w:rPr>
          <w:rFonts w:ascii="Times New Roman" w:hAnsi="Times New Roman" w:cs="Times New Roman"/>
          <w:b/>
          <w:sz w:val="24"/>
          <w:szCs w:val="24"/>
        </w:rPr>
        <w:t xml:space="preserve">đó </w:t>
      </w:r>
      <w:r w:rsidRPr="00FE294E">
        <w:rPr>
          <w:rFonts w:ascii="Times New Roman" w:hAnsi="Times New Roman" w:cs="Times New Roman"/>
          <w:b/>
          <w:sz w:val="24"/>
          <w:szCs w:val="24"/>
        </w:rPr>
        <w:t>tuân thủ theo IAS 16, IFRS 16 hoặc IAS 2 là giá trị hợp lý của nó tại thời điểm thay đổi cách sử dụng.</w:t>
      </w:r>
    </w:p>
    <w:p w:rsidR="00FE294E" w:rsidRDefault="00FE294E" w:rsidP="0048656B">
      <w:pPr>
        <w:tabs>
          <w:tab w:val="left" w:pos="720"/>
        </w:tabs>
        <w:spacing w:after="120" w:line="240" w:lineRule="auto"/>
        <w:ind w:left="720" w:right="14" w:hanging="720"/>
        <w:jc w:val="both"/>
        <w:rPr>
          <w:rFonts w:ascii="Times New Roman" w:hAnsi="Times New Roman" w:cs="Times New Roman"/>
          <w:b/>
          <w:sz w:val="24"/>
          <w:szCs w:val="24"/>
        </w:rPr>
      </w:pPr>
      <w:r>
        <w:rPr>
          <w:rFonts w:ascii="Times New Roman" w:hAnsi="Times New Roman" w:cs="Times New Roman"/>
          <w:b/>
          <w:sz w:val="24"/>
          <w:szCs w:val="24"/>
        </w:rPr>
        <w:t>61</w:t>
      </w:r>
      <w:r>
        <w:rPr>
          <w:rFonts w:ascii="Times New Roman" w:hAnsi="Times New Roman" w:cs="Times New Roman"/>
          <w:b/>
          <w:sz w:val="24"/>
          <w:szCs w:val="24"/>
        </w:rPr>
        <w:tab/>
      </w:r>
      <w:r w:rsidR="00C165D9">
        <w:rPr>
          <w:rFonts w:ascii="Times New Roman" w:hAnsi="Times New Roman" w:cs="Times New Roman"/>
          <w:b/>
          <w:sz w:val="24"/>
          <w:szCs w:val="24"/>
        </w:rPr>
        <w:t>Nếu một bất động sản chủ sở hữu sử dụng chuyển thành bất động sản đầu tư</w:t>
      </w:r>
      <w:r w:rsidR="00A50E5D">
        <w:rPr>
          <w:rFonts w:ascii="Times New Roman" w:hAnsi="Times New Roman" w:cs="Times New Roman"/>
          <w:b/>
          <w:sz w:val="24"/>
          <w:szCs w:val="24"/>
        </w:rPr>
        <w:t>, nó</w:t>
      </w:r>
      <w:r w:rsidR="00C165D9">
        <w:rPr>
          <w:rFonts w:ascii="Times New Roman" w:hAnsi="Times New Roman" w:cs="Times New Roman"/>
          <w:b/>
          <w:sz w:val="24"/>
          <w:szCs w:val="24"/>
        </w:rPr>
        <w:t xml:space="preserve"> sẽ được ghi nhận </w:t>
      </w:r>
      <w:r w:rsidR="008B2F77">
        <w:rPr>
          <w:rFonts w:ascii="Times New Roman" w:hAnsi="Times New Roman" w:cs="Times New Roman"/>
          <w:b/>
          <w:sz w:val="24"/>
          <w:szCs w:val="24"/>
        </w:rPr>
        <w:t>theo</w:t>
      </w:r>
      <w:r w:rsidR="00C165D9">
        <w:rPr>
          <w:rFonts w:ascii="Times New Roman" w:hAnsi="Times New Roman" w:cs="Times New Roman"/>
          <w:b/>
          <w:sz w:val="24"/>
          <w:szCs w:val="24"/>
        </w:rPr>
        <w:t xml:space="preserve"> giá trị hợp lý, đơn vị áp dụng IAS 16 cho bất động sản đầu tư được sở hữu hoặc IFRS 16 cho bất động sản đầu tư nắm giữ bởi bên đi thuê như một tài sản được quyền sử dụng</w:t>
      </w:r>
      <w:r w:rsidR="00202EC2">
        <w:rPr>
          <w:rFonts w:ascii="Times New Roman" w:hAnsi="Times New Roman" w:cs="Times New Roman"/>
          <w:b/>
          <w:sz w:val="24"/>
          <w:szCs w:val="24"/>
        </w:rPr>
        <w:t xml:space="preserve"> tại thời điểm thay đổi cách sử dụng. Đơn vị sẽ ghi nhận các chênh lệch giữa </w:t>
      </w:r>
      <w:r w:rsidR="00AA2158">
        <w:rPr>
          <w:rFonts w:ascii="Times New Roman" w:hAnsi="Times New Roman" w:cs="Times New Roman"/>
          <w:b/>
          <w:sz w:val="24"/>
          <w:szCs w:val="24"/>
        </w:rPr>
        <w:t>giá trị ghi sổ</w:t>
      </w:r>
      <w:r w:rsidR="00202EC2">
        <w:rPr>
          <w:rFonts w:ascii="Times New Roman" w:hAnsi="Times New Roman" w:cs="Times New Roman"/>
          <w:b/>
          <w:sz w:val="24"/>
          <w:szCs w:val="24"/>
        </w:rPr>
        <w:t xml:space="preserve"> của bất động sản theo IAS 16 hoặc IFRS 16 với giá trị hợp lý của nó tại thời điểm chuyển đổi cách sử dụng </w:t>
      </w:r>
      <w:r w:rsidR="00A50E5D">
        <w:rPr>
          <w:rFonts w:ascii="Times New Roman" w:hAnsi="Times New Roman" w:cs="Times New Roman"/>
          <w:b/>
          <w:sz w:val="24"/>
          <w:szCs w:val="24"/>
        </w:rPr>
        <w:t>như</w:t>
      </w:r>
      <w:r w:rsidR="00202EC2">
        <w:rPr>
          <w:rFonts w:ascii="Times New Roman" w:hAnsi="Times New Roman" w:cs="Times New Roman"/>
          <w:b/>
          <w:sz w:val="24"/>
          <w:szCs w:val="24"/>
        </w:rPr>
        <w:t xml:space="preserve"> cách ghi nhận khi đánh giá lại giá trị theo IAS 16.</w:t>
      </w:r>
    </w:p>
    <w:p w:rsidR="009B71AB" w:rsidRDefault="009B71AB" w:rsidP="0048656B">
      <w:pPr>
        <w:tabs>
          <w:tab w:val="left" w:pos="720"/>
        </w:tabs>
        <w:spacing w:after="120" w:line="240" w:lineRule="auto"/>
        <w:ind w:left="720" w:right="14" w:hanging="720"/>
        <w:jc w:val="both"/>
        <w:rPr>
          <w:rFonts w:ascii="Times New Roman" w:hAnsi="Times New Roman" w:cs="Times New Roman"/>
          <w:b/>
          <w:sz w:val="24"/>
          <w:szCs w:val="24"/>
        </w:rPr>
      </w:pPr>
    </w:p>
    <w:p w:rsidR="009B71AB" w:rsidRPr="009B71AB" w:rsidRDefault="009B71AB" w:rsidP="0048656B">
      <w:pPr>
        <w:tabs>
          <w:tab w:val="left" w:pos="720"/>
        </w:tabs>
        <w:spacing w:after="120" w:line="240" w:lineRule="auto"/>
        <w:ind w:left="720" w:right="14" w:hanging="720"/>
        <w:jc w:val="both"/>
        <w:rPr>
          <w:rFonts w:ascii="Times New Roman" w:hAnsi="Times New Roman" w:cs="Times New Roman"/>
          <w:sz w:val="24"/>
          <w:szCs w:val="24"/>
        </w:rPr>
      </w:pPr>
      <w:r w:rsidRPr="009B71AB">
        <w:rPr>
          <w:rFonts w:ascii="Times New Roman" w:hAnsi="Times New Roman" w:cs="Times New Roman"/>
          <w:sz w:val="24"/>
          <w:szCs w:val="24"/>
        </w:rPr>
        <w:lastRenderedPageBreak/>
        <w:t>62</w:t>
      </w:r>
      <w:r>
        <w:rPr>
          <w:rFonts w:ascii="Times New Roman" w:hAnsi="Times New Roman" w:cs="Times New Roman"/>
          <w:sz w:val="24"/>
          <w:szCs w:val="24"/>
        </w:rPr>
        <w:tab/>
      </w:r>
      <w:r w:rsidR="0017064A">
        <w:rPr>
          <w:rFonts w:ascii="Times New Roman" w:hAnsi="Times New Roman" w:cs="Times New Roman"/>
          <w:sz w:val="24"/>
          <w:szCs w:val="24"/>
        </w:rPr>
        <w:t xml:space="preserve">Đơn vị </w:t>
      </w:r>
      <w:r w:rsidR="00A50E5D">
        <w:rPr>
          <w:rFonts w:ascii="Times New Roman" w:hAnsi="Times New Roman" w:cs="Times New Roman"/>
          <w:sz w:val="24"/>
          <w:szCs w:val="24"/>
        </w:rPr>
        <w:t xml:space="preserve">thực hiện </w:t>
      </w:r>
      <w:r w:rsidR="0017064A">
        <w:rPr>
          <w:rFonts w:ascii="Times New Roman" w:hAnsi="Times New Roman" w:cs="Times New Roman"/>
          <w:sz w:val="24"/>
          <w:szCs w:val="24"/>
        </w:rPr>
        <w:t xml:space="preserve">khấu hao </w:t>
      </w:r>
      <w:r w:rsidR="00A50E5D">
        <w:rPr>
          <w:rFonts w:ascii="Times New Roman" w:hAnsi="Times New Roman" w:cs="Times New Roman"/>
          <w:sz w:val="24"/>
          <w:szCs w:val="24"/>
        </w:rPr>
        <w:t>đối với</w:t>
      </w:r>
      <w:r w:rsidR="0017064A">
        <w:rPr>
          <w:rFonts w:ascii="Times New Roman" w:hAnsi="Times New Roman" w:cs="Times New Roman"/>
          <w:sz w:val="24"/>
          <w:szCs w:val="24"/>
        </w:rPr>
        <w:t xml:space="preserve"> bất động sản (hoặc tài sản có quyền sử dụng) và ghi nhận bất kỳ </w:t>
      </w:r>
      <w:r w:rsidR="00A50E5D">
        <w:rPr>
          <w:rFonts w:ascii="Times New Roman" w:hAnsi="Times New Roman" w:cs="Times New Roman"/>
          <w:sz w:val="24"/>
          <w:szCs w:val="24"/>
        </w:rPr>
        <w:t xml:space="preserve">khoản </w:t>
      </w:r>
      <w:r w:rsidR="0017064A">
        <w:rPr>
          <w:rFonts w:ascii="Times New Roman" w:hAnsi="Times New Roman" w:cs="Times New Roman"/>
          <w:sz w:val="24"/>
          <w:szCs w:val="24"/>
        </w:rPr>
        <w:t xml:space="preserve">lỗ do </w:t>
      </w:r>
      <w:r w:rsidR="00A50E5D">
        <w:rPr>
          <w:rFonts w:ascii="Times New Roman" w:hAnsi="Times New Roman" w:cs="Times New Roman"/>
          <w:sz w:val="24"/>
          <w:szCs w:val="24"/>
        </w:rPr>
        <w:t xml:space="preserve">suy </w:t>
      </w:r>
      <w:r w:rsidR="0017064A">
        <w:rPr>
          <w:rFonts w:ascii="Times New Roman" w:hAnsi="Times New Roman" w:cs="Times New Roman"/>
          <w:sz w:val="24"/>
          <w:szCs w:val="24"/>
        </w:rPr>
        <w:t xml:space="preserve">giảm giá trị tài sản </w:t>
      </w:r>
      <w:r w:rsidR="00A50E5D">
        <w:rPr>
          <w:rFonts w:ascii="Times New Roman" w:hAnsi="Times New Roman" w:cs="Times New Roman"/>
          <w:sz w:val="24"/>
          <w:szCs w:val="24"/>
        </w:rPr>
        <w:t xml:space="preserve">nào </w:t>
      </w:r>
      <w:r w:rsidR="0017064A">
        <w:rPr>
          <w:rFonts w:ascii="Times New Roman" w:hAnsi="Times New Roman" w:cs="Times New Roman"/>
          <w:sz w:val="24"/>
          <w:szCs w:val="24"/>
        </w:rPr>
        <w:t xml:space="preserve">phát sinh </w:t>
      </w:r>
      <w:r w:rsidR="005D54E2">
        <w:rPr>
          <w:rFonts w:ascii="Times New Roman" w:hAnsi="Times New Roman" w:cs="Times New Roman"/>
          <w:sz w:val="24"/>
          <w:szCs w:val="24"/>
        </w:rPr>
        <w:t>đ</w:t>
      </w:r>
      <w:r w:rsidR="00A50E5D">
        <w:rPr>
          <w:rFonts w:ascii="Times New Roman" w:hAnsi="Times New Roman" w:cs="Times New Roman"/>
          <w:sz w:val="24"/>
          <w:szCs w:val="24"/>
        </w:rPr>
        <w:t>ế</w:t>
      </w:r>
      <w:r w:rsidR="005D54E2">
        <w:rPr>
          <w:rFonts w:ascii="Times New Roman" w:hAnsi="Times New Roman" w:cs="Times New Roman"/>
          <w:sz w:val="24"/>
          <w:szCs w:val="24"/>
        </w:rPr>
        <w:t>n tời điểm chuyển đổi từ bất động sản chủ sở hữu sử dụng thành bất động sản ghi nhận</w:t>
      </w:r>
      <w:r w:rsidR="0017064A">
        <w:rPr>
          <w:rFonts w:ascii="Times New Roman" w:hAnsi="Times New Roman" w:cs="Times New Roman"/>
          <w:sz w:val="24"/>
          <w:szCs w:val="24"/>
        </w:rPr>
        <w:t xml:space="preserve"> tại giá trị hợp lý. Đơn vị sẽ ghi nhận bất kỳ sự chênh lệch nào giữa giá trị </w:t>
      </w:r>
      <w:r w:rsidR="00A50E5D">
        <w:rPr>
          <w:rFonts w:ascii="Times New Roman" w:hAnsi="Times New Roman" w:cs="Times New Roman"/>
          <w:sz w:val="24"/>
          <w:szCs w:val="24"/>
        </w:rPr>
        <w:t xml:space="preserve">ghi </w:t>
      </w:r>
      <w:r w:rsidR="0017064A">
        <w:rPr>
          <w:rFonts w:ascii="Times New Roman" w:hAnsi="Times New Roman" w:cs="Times New Roman"/>
          <w:sz w:val="24"/>
          <w:szCs w:val="24"/>
        </w:rPr>
        <w:t>sổ của bất động sản th</w:t>
      </w:r>
      <w:r w:rsidR="005D54E2">
        <w:rPr>
          <w:rFonts w:ascii="Times New Roman" w:hAnsi="Times New Roman" w:cs="Times New Roman"/>
          <w:sz w:val="24"/>
          <w:szCs w:val="24"/>
        </w:rPr>
        <w:t>e</w:t>
      </w:r>
      <w:r w:rsidR="0017064A">
        <w:rPr>
          <w:rFonts w:ascii="Times New Roman" w:hAnsi="Times New Roman" w:cs="Times New Roman"/>
          <w:sz w:val="24"/>
          <w:szCs w:val="24"/>
        </w:rPr>
        <w:t>o IAS 16 hoặc IFRS 16 và giá trị hợp lý của nó tại thời điểm nêu trên theo phương pháp ghi nhận đánh giá lại giá trị tài sản theo IAS 16. Nói cách khác:</w:t>
      </w:r>
    </w:p>
    <w:p w:rsidR="00700EED" w:rsidRDefault="00700EED"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bất kỳ sự giảm giá trong giá trị ghi sổ của bất động sản phát sinh sẽ được ghi nhận vào báo cáo kết quả kinh doanh. Tuy nhiên, trong trường hợp sự giảm giá này được bù trừ vào khoản thặng dư do đánh giá lại bất đ</w:t>
      </w:r>
      <w:r w:rsidR="00A50E5D">
        <w:rPr>
          <w:rFonts w:ascii="Times New Roman" w:hAnsi="Times New Roman" w:cs="Times New Roman"/>
          <w:sz w:val="24"/>
          <w:szCs w:val="24"/>
        </w:rPr>
        <w:t>ộ</w:t>
      </w:r>
      <w:r>
        <w:rPr>
          <w:rFonts w:ascii="Times New Roman" w:hAnsi="Times New Roman" w:cs="Times New Roman"/>
          <w:sz w:val="24"/>
          <w:szCs w:val="24"/>
        </w:rPr>
        <w:t>ng sản, khoản giảm giá sẽ được ghi nhận vào báo cáo thu nhập toàn diện và làm giảm phần thặng dư do đánh giá lại tài sản của đơn vị.</w:t>
      </w:r>
    </w:p>
    <w:p w:rsidR="00700EED" w:rsidRDefault="00700EED"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1E1538">
        <w:rPr>
          <w:rFonts w:ascii="Times New Roman" w:hAnsi="Times New Roman" w:cs="Times New Roman"/>
          <w:sz w:val="24"/>
          <w:szCs w:val="24"/>
        </w:rPr>
        <w:t xml:space="preserve">bất kỳ khoản thặng dư nào phát sinh </w:t>
      </w:r>
      <w:r w:rsidR="00FB5691">
        <w:rPr>
          <w:rFonts w:ascii="Times New Roman" w:hAnsi="Times New Roman" w:cs="Times New Roman"/>
          <w:sz w:val="24"/>
          <w:szCs w:val="24"/>
        </w:rPr>
        <w:t xml:space="preserve">trên giá trị </w:t>
      </w:r>
      <w:r w:rsidR="00A50E5D">
        <w:rPr>
          <w:rFonts w:ascii="Times New Roman" w:hAnsi="Times New Roman" w:cs="Times New Roman"/>
          <w:sz w:val="24"/>
          <w:szCs w:val="24"/>
        </w:rPr>
        <w:t xml:space="preserve">xử lý </w:t>
      </w:r>
      <w:r w:rsidR="00FB5691">
        <w:rPr>
          <w:rFonts w:ascii="Times New Roman" w:hAnsi="Times New Roman" w:cs="Times New Roman"/>
          <w:sz w:val="24"/>
          <w:szCs w:val="24"/>
        </w:rPr>
        <w:t>được ghi nhận như sau:</w:t>
      </w:r>
    </w:p>
    <w:p w:rsidR="00FB5691" w:rsidRDefault="00FB5691" w:rsidP="0048656B">
      <w:pPr>
        <w:tabs>
          <w:tab w:val="left" w:pos="2160"/>
        </w:tabs>
        <w:spacing w:after="120" w:line="240" w:lineRule="auto"/>
        <w:ind w:left="2160" w:right="14"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trường hợp phần thặng dư được sử dụng để bù trừ </w:t>
      </w:r>
      <w:r w:rsidR="00C766EC">
        <w:rPr>
          <w:rFonts w:ascii="Times New Roman" w:hAnsi="Times New Roman" w:cs="Times New Roman"/>
          <w:sz w:val="24"/>
          <w:szCs w:val="24"/>
        </w:rPr>
        <w:t xml:space="preserve">vào lỗ do giảm giá trị của bất động sản, phần thặng dư sẽ được ghi nhận vào báo cáo kết quả kinh doanh. </w:t>
      </w:r>
      <w:r w:rsidR="005D54E2">
        <w:rPr>
          <w:rFonts w:ascii="Times New Roman" w:hAnsi="Times New Roman" w:cs="Times New Roman"/>
          <w:sz w:val="24"/>
          <w:szCs w:val="24"/>
        </w:rPr>
        <w:t>T</w:t>
      </w:r>
      <w:r w:rsidR="00C766EC">
        <w:rPr>
          <w:rFonts w:ascii="Times New Roman" w:hAnsi="Times New Roman" w:cs="Times New Roman"/>
          <w:sz w:val="24"/>
          <w:szCs w:val="24"/>
        </w:rPr>
        <w:t xml:space="preserve">hặng dư được ghi nhận không được vượt quá giá trị cần thiết để </w:t>
      </w:r>
      <w:r w:rsidR="006115DE">
        <w:rPr>
          <w:rFonts w:ascii="Times New Roman" w:hAnsi="Times New Roman" w:cs="Times New Roman"/>
          <w:sz w:val="24"/>
          <w:szCs w:val="24"/>
        </w:rPr>
        <w:t xml:space="preserve">khôi phục lại giá trị ghi sổ </w:t>
      </w:r>
      <w:r w:rsidR="006F2725">
        <w:rPr>
          <w:rFonts w:ascii="Times New Roman" w:hAnsi="Times New Roman" w:cs="Times New Roman"/>
          <w:sz w:val="24"/>
          <w:szCs w:val="24"/>
        </w:rPr>
        <w:t xml:space="preserve">của bất động sản </w:t>
      </w:r>
      <w:r w:rsidR="006115DE">
        <w:rPr>
          <w:rFonts w:ascii="Times New Roman" w:hAnsi="Times New Roman" w:cs="Times New Roman"/>
          <w:sz w:val="24"/>
          <w:szCs w:val="24"/>
        </w:rPr>
        <w:t xml:space="preserve">về với giá trị ban đầu (không gồm khấu hao) khi không có </w:t>
      </w:r>
      <w:r w:rsidR="006F2725">
        <w:rPr>
          <w:rFonts w:ascii="Times New Roman" w:hAnsi="Times New Roman" w:cs="Times New Roman"/>
          <w:sz w:val="24"/>
          <w:szCs w:val="24"/>
        </w:rPr>
        <w:t xml:space="preserve">phần </w:t>
      </w:r>
      <w:r w:rsidR="006115DE">
        <w:rPr>
          <w:rFonts w:ascii="Times New Roman" w:hAnsi="Times New Roman" w:cs="Times New Roman"/>
          <w:sz w:val="24"/>
          <w:szCs w:val="24"/>
        </w:rPr>
        <w:t>lỗ do giảm giá trị nào được ghi nhận.</w:t>
      </w:r>
    </w:p>
    <w:p w:rsidR="006F2725" w:rsidRDefault="006F2725" w:rsidP="0048656B">
      <w:pPr>
        <w:tabs>
          <w:tab w:val="left" w:pos="2160"/>
        </w:tabs>
        <w:spacing w:after="120" w:line="240" w:lineRule="auto"/>
        <w:ind w:left="2160" w:right="14" w:hanging="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D54FF9">
        <w:rPr>
          <w:rFonts w:ascii="Times New Roman" w:hAnsi="Times New Roman" w:cs="Times New Roman"/>
          <w:sz w:val="24"/>
          <w:szCs w:val="24"/>
        </w:rPr>
        <w:t xml:space="preserve">phần còn lại của thặng dư được ghi nhận vào báo cáo thu nhập toàn diện khác và làm tăng phần thặng dư do đánh giá lại tài sản của đơn vị. Khi thanh lý bất động sản đầu tư, phần thặng dư do đánh giá lại tài sản có thể được chuyển sang </w:t>
      </w:r>
      <w:r w:rsidR="00A64689">
        <w:rPr>
          <w:rFonts w:ascii="Times New Roman" w:hAnsi="Times New Roman" w:cs="Times New Roman"/>
          <w:sz w:val="24"/>
          <w:szCs w:val="24"/>
        </w:rPr>
        <w:t>lợi nhuận giữ lại. Việc chuyển từ thặng dư do đánh giá lại sang lợi nhuận giữ lại không được thực hiện trên báo cáo kết quả kinh doanh.</w:t>
      </w:r>
    </w:p>
    <w:p w:rsidR="00A64689" w:rsidRPr="00CE4DBB" w:rsidRDefault="00A64689" w:rsidP="0048656B">
      <w:pPr>
        <w:tabs>
          <w:tab w:val="left" w:pos="720"/>
        </w:tabs>
        <w:spacing w:after="120" w:line="240" w:lineRule="auto"/>
        <w:ind w:left="720" w:right="14" w:hanging="720"/>
        <w:jc w:val="both"/>
        <w:rPr>
          <w:rFonts w:ascii="Times New Roman" w:hAnsi="Times New Roman" w:cs="Times New Roman"/>
          <w:b/>
          <w:sz w:val="24"/>
          <w:szCs w:val="24"/>
        </w:rPr>
      </w:pPr>
      <w:r w:rsidRPr="00CE4DBB">
        <w:rPr>
          <w:rFonts w:ascii="Times New Roman" w:hAnsi="Times New Roman" w:cs="Times New Roman"/>
          <w:b/>
          <w:sz w:val="24"/>
          <w:szCs w:val="24"/>
        </w:rPr>
        <w:t>63</w:t>
      </w:r>
      <w:r w:rsidRPr="00CE4DBB">
        <w:rPr>
          <w:rFonts w:ascii="Times New Roman" w:hAnsi="Times New Roman" w:cs="Times New Roman"/>
          <w:b/>
          <w:sz w:val="24"/>
          <w:szCs w:val="24"/>
        </w:rPr>
        <w:tab/>
      </w:r>
      <w:r w:rsidR="00C013E8" w:rsidRPr="00CE4DBB">
        <w:rPr>
          <w:rFonts w:ascii="Times New Roman" w:hAnsi="Times New Roman" w:cs="Times New Roman"/>
          <w:b/>
          <w:sz w:val="24"/>
          <w:szCs w:val="24"/>
        </w:rPr>
        <w:t xml:space="preserve">Khi chuyển đổi từ hàng tồn kho sang bất động sản đầu tư mà sẽ được ghi nhận tại giá trị hợp lý, bất kỳ chênh lệch nào giữa giá trị hợp lý của bất động sản </w:t>
      </w:r>
      <w:r w:rsidR="00400F51" w:rsidRPr="00CE4DBB">
        <w:rPr>
          <w:rFonts w:ascii="Times New Roman" w:hAnsi="Times New Roman" w:cs="Times New Roman"/>
          <w:b/>
          <w:sz w:val="24"/>
          <w:szCs w:val="24"/>
        </w:rPr>
        <w:t xml:space="preserve">tại thời điểm chuyển đổi </w:t>
      </w:r>
      <w:r w:rsidR="00C013E8" w:rsidRPr="00CE4DBB">
        <w:rPr>
          <w:rFonts w:ascii="Times New Roman" w:hAnsi="Times New Roman" w:cs="Times New Roman"/>
          <w:b/>
          <w:sz w:val="24"/>
          <w:szCs w:val="24"/>
        </w:rPr>
        <w:t xml:space="preserve">và giá trị ghi sổ </w:t>
      </w:r>
      <w:r w:rsidR="00400F51">
        <w:rPr>
          <w:rFonts w:ascii="Times New Roman" w:hAnsi="Times New Roman" w:cs="Times New Roman"/>
          <w:b/>
          <w:sz w:val="24"/>
          <w:szCs w:val="24"/>
        </w:rPr>
        <w:t>trước đó</w:t>
      </w:r>
      <w:r w:rsidR="00C013E8" w:rsidRPr="00CE4DBB">
        <w:rPr>
          <w:rFonts w:ascii="Times New Roman" w:hAnsi="Times New Roman" w:cs="Times New Roman"/>
          <w:b/>
          <w:sz w:val="24"/>
          <w:szCs w:val="24"/>
        </w:rPr>
        <w:t xml:space="preserve"> sẽ được ghi nhận vào báo cáo kết quả kinh doanh.</w:t>
      </w:r>
    </w:p>
    <w:p w:rsidR="00C013E8" w:rsidRDefault="00C013E8"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 xml:space="preserve">Phương pháp ghi nhận việc chuyển đổi từ hàng tồn kho sang bất động sản đầu tư </w:t>
      </w:r>
      <w:r w:rsidR="00C65532">
        <w:rPr>
          <w:rFonts w:ascii="Times New Roman" w:hAnsi="Times New Roman" w:cs="Times New Roman"/>
          <w:sz w:val="24"/>
          <w:szCs w:val="24"/>
        </w:rPr>
        <w:t xml:space="preserve">sẽ được </w:t>
      </w:r>
      <w:r>
        <w:rPr>
          <w:rFonts w:ascii="Times New Roman" w:hAnsi="Times New Roman" w:cs="Times New Roman"/>
          <w:sz w:val="24"/>
          <w:szCs w:val="24"/>
        </w:rPr>
        <w:t>ghi nhận tại giá trị hợp lý thống nhất với phương pháp ghi nhận của việc bán hàng tồn kho.</w:t>
      </w:r>
    </w:p>
    <w:p w:rsidR="00C013E8" w:rsidRDefault="00C013E8" w:rsidP="0048656B">
      <w:pPr>
        <w:tabs>
          <w:tab w:val="left" w:pos="720"/>
        </w:tabs>
        <w:spacing w:after="120" w:line="240" w:lineRule="auto"/>
        <w:ind w:left="720" w:right="14" w:hanging="720"/>
        <w:jc w:val="both"/>
        <w:rPr>
          <w:rFonts w:ascii="Times New Roman" w:hAnsi="Times New Roman" w:cs="Times New Roman"/>
          <w:b/>
          <w:sz w:val="24"/>
          <w:szCs w:val="24"/>
        </w:rPr>
      </w:pPr>
      <w:r w:rsidRPr="00131492">
        <w:rPr>
          <w:rFonts w:ascii="Times New Roman" w:hAnsi="Times New Roman" w:cs="Times New Roman"/>
          <w:b/>
          <w:sz w:val="24"/>
          <w:szCs w:val="24"/>
        </w:rPr>
        <w:t>65</w:t>
      </w:r>
      <w:r w:rsidRPr="00131492">
        <w:rPr>
          <w:rFonts w:ascii="Times New Roman" w:hAnsi="Times New Roman" w:cs="Times New Roman"/>
          <w:b/>
          <w:sz w:val="24"/>
          <w:szCs w:val="24"/>
        </w:rPr>
        <w:tab/>
      </w:r>
      <w:r w:rsidR="00CE4DBB" w:rsidRPr="00131492">
        <w:rPr>
          <w:rFonts w:ascii="Times New Roman" w:hAnsi="Times New Roman" w:cs="Times New Roman"/>
          <w:b/>
          <w:sz w:val="24"/>
          <w:szCs w:val="24"/>
        </w:rPr>
        <w:t xml:space="preserve">Khi đơn vị hoàn thành việc </w:t>
      </w:r>
      <w:r w:rsidR="00DA7EED">
        <w:rPr>
          <w:rFonts w:ascii="Times New Roman" w:hAnsi="Times New Roman" w:cs="Times New Roman"/>
          <w:b/>
          <w:sz w:val="24"/>
          <w:szCs w:val="24"/>
        </w:rPr>
        <w:t>thi công</w:t>
      </w:r>
      <w:r w:rsidR="00CE4DBB" w:rsidRPr="00131492">
        <w:rPr>
          <w:rFonts w:ascii="Times New Roman" w:hAnsi="Times New Roman" w:cs="Times New Roman"/>
          <w:b/>
          <w:sz w:val="24"/>
          <w:szCs w:val="24"/>
        </w:rPr>
        <w:t xml:space="preserve"> hoặc </w:t>
      </w:r>
      <w:r w:rsidR="00F2230B" w:rsidRPr="00131492">
        <w:rPr>
          <w:rFonts w:ascii="Times New Roman" w:hAnsi="Times New Roman" w:cs="Times New Roman"/>
          <w:b/>
          <w:sz w:val="24"/>
          <w:szCs w:val="24"/>
        </w:rPr>
        <w:t xml:space="preserve">phát </w:t>
      </w:r>
      <w:r w:rsidR="00400F51" w:rsidRPr="00131492">
        <w:rPr>
          <w:rFonts w:ascii="Times New Roman" w:hAnsi="Times New Roman" w:cs="Times New Roman"/>
          <w:b/>
          <w:sz w:val="24"/>
          <w:szCs w:val="24"/>
        </w:rPr>
        <w:t xml:space="preserve">triển một bất động sản đầu tư tự </w:t>
      </w:r>
      <w:r w:rsidR="00C65532">
        <w:rPr>
          <w:rFonts w:ascii="Times New Roman" w:hAnsi="Times New Roman" w:cs="Times New Roman"/>
          <w:b/>
          <w:sz w:val="24"/>
          <w:szCs w:val="24"/>
        </w:rPr>
        <w:t>xây dựng</w:t>
      </w:r>
      <w:r w:rsidR="00400F51" w:rsidRPr="00131492">
        <w:rPr>
          <w:rFonts w:ascii="Times New Roman" w:hAnsi="Times New Roman" w:cs="Times New Roman"/>
          <w:b/>
          <w:sz w:val="24"/>
          <w:szCs w:val="24"/>
        </w:rPr>
        <w:t xml:space="preserve"> mà sẽ được ghi nhận tại giá trị hợp lý, các chênh lệch giữa giá trị hợp lý của bất động sản tại ngày hoàn thành và giá trị ghi sổ trước đó của nó sẽ được ghi nhận vào báo cáo </w:t>
      </w:r>
      <w:r w:rsidR="00131492" w:rsidRPr="00131492">
        <w:rPr>
          <w:rFonts w:ascii="Times New Roman" w:hAnsi="Times New Roman" w:cs="Times New Roman"/>
          <w:b/>
          <w:sz w:val="24"/>
          <w:szCs w:val="24"/>
        </w:rPr>
        <w:t>kết quả kinh doanh.</w:t>
      </w:r>
    </w:p>
    <w:p w:rsidR="0034791D" w:rsidRPr="0034791D" w:rsidRDefault="0034791D" w:rsidP="0048656B">
      <w:pPr>
        <w:pBdr>
          <w:bottom w:val="single" w:sz="6" w:space="1" w:color="auto"/>
        </w:pBdr>
        <w:spacing w:before="200" w:after="120" w:line="240" w:lineRule="auto"/>
        <w:ind w:right="14"/>
        <w:jc w:val="both"/>
        <w:rPr>
          <w:rFonts w:ascii="Arial" w:hAnsi="Arial" w:cs="Arial"/>
          <w:b/>
          <w:sz w:val="28"/>
          <w:szCs w:val="24"/>
        </w:rPr>
      </w:pPr>
      <w:r w:rsidRPr="0034791D">
        <w:rPr>
          <w:rFonts w:ascii="Arial" w:hAnsi="Arial" w:cs="Arial"/>
          <w:b/>
          <w:sz w:val="28"/>
          <w:szCs w:val="24"/>
        </w:rPr>
        <w:t>Thanh lý</w:t>
      </w:r>
    </w:p>
    <w:p w:rsidR="00AE170C" w:rsidRDefault="0075506E"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b/>
          <w:sz w:val="24"/>
          <w:szCs w:val="24"/>
        </w:rPr>
        <w:t>66</w:t>
      </w:r>
      <w:r>
        <w:rPr>
          <w:rFonts w:ascii="Times New Roman" w:hAnsi="Times New Roman" w:cs="Times New Roman"/>
          <w:b/>
          <w:sz w:val="24"/>
          <w:szCs w:val="24"/>
        </w:rPr>
        <w:tab/>
        <w:t xml:space="preserve">Một bất động sản đầu tư sẽ bị dừng ghi nhận (loại trừ khỏi </w:t>
      </w:r>
      <w:r w:rsidR="007E6E4C">
        <w:rPr>
          <w:rFonts w:ascii="Times New Roman" w:hAnsi="Times New Roman" w:cs="Times New Roman"/>
          <w:b/>
          <w:sz w:val="24"/>
          <w:szCs w:val="24"/>
        </w:rPr>
        <w:t>báo cáo tình hình tài chính</w:t>
      </w:r>
      <w:r>
        <w:rPr>
          <w:rFonts w:ascii="Times New Roman" w:hAnsi="Times New Roman" w:cs="Times New Roman"/>
          <w:b/>
          <w:sz w:val="24"/>
          <w:szCs w:val="24"/>
        </w:rPr>
        <w:t xml:space="preserve">) khi bị thanh lý hoặc khi một bất động sản đầu tư </w:t>
      </w:r>
      <w:r w:rsidR="00AE170C">
        <w:rPr>
          <w:rFonts w:ascii="Times New Roman" w:hAnsi="Times New Roman" w:cs="Times New Roman"/>
          <w:b/>
          <w:sz w:val="24"/>
          <w:szCs w:val="24"/>
        </w:rPr>
        <w:t>bị dừng sử dụng vĩnh viễ</w:t>
      </w:r>
      <w:r w:rsidR="00D40FE5">
        <w:rPr>
          <w:rFonts w:ascii="Times New Roman" w:hAnsi="Times New Roman" w:cs="Times New Roman"/>
          <w:b/>
          <w:sz w:val="24"/>
          <w:szCs w:val="24"/>
        </w:rPr>
        <w:t>n và không còn</w:t>
      </w:r>
      <w:r w:rsidR="00AE170C">
        <w:rPr>
          <w:rFonts w:ascii="Times New Roman" w:hAnsi="Times New Roman" w:cs="Times New Roman"/>
          <w:b/>
          <w:sz w:val="24"/>
          <w:szCs w:val="24"/>
        </w:rPr>
        <w:t xml:space="preserve"> lợi ích kinh tế trong tương lai nào được </w:t>
      </w:r>
      <w:r w:rsidR="00D40FE5">
        <w:rPr>
          <w:rFonts w:ascii="Times New Roman" w:hAnsi="Times New Roman" w:cs="Times New Roman"/>
          <w:b/>
          <w:sz w:val="24"/>
          <w:szCs w:val="24"/>
        </w:rPr>
        <w:t>kỳ vọng</w:t>
      </w:r>
      <w:r w:rsidR="00AE170C">
        <w:rPr>
          <w:rFonts w:ascii="Times New Roman" w:hAnsi="Times New Roman" w:cs="Times New Roman"/>
          <w:b/>
          <w:sz w:val="24"/>
          <w:szCs w:val="24"/>
        </w:rPr>
        <w:t xml:space="preserve"> từ việc thanh lý này.</w:t>
      </w:r>
    </w:p>
    <w:p w:rsidR="00F005F9" w:rsidRDefault="00AE170C"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lastRenderedPageBreak/>
        <w:t>67</w:t>
      </w:r>
      <w:r>
        <w:rPr>
          <w:rFonts w:ascii="Times New Roman" w:hAnsi="Times New Roman" w:cs="Times New Roman"/>
          <w:sz w:val="24"/>
          <w:szCs w:val="24"/>
        </w:rPr>
        <w:tab/>
      </w:r>
      <w:r w:rsidR="000876C4">
        <w:rPr>
          <w:rFonts w:ascii="Times New Roman" w:hAnsi="Times New Roman" w:cs="Times New Roman"/>
          <w:sz w:val="24"/>
          <w:szCs w:val="24"/>
        </w:rPr>
        <w:t xml:space="preserve">Việc thanh lý của bất động sản đầu tư có thể được thực hiện thông qua việc bán hoặc bằng việc tham gia vào một giao dịch cho thuê tài chính. Ngày thanh </w:t>
      </w:r>
      <w:r w:rsidR="004063E2">
        <w:rPr>
          <w:rFonts w:ascii="Times New Roman" w:hAnsi="Times New Roman" w:cs="Times New Roman"/>
          <w:sz w:val="24"/>
          <w:szCs w:val="24"/>
        </w:rPr>
        <w:t>lý của một bất động sản đầu tư bị bán là ngày mà bên mua có được quyền kiểm soát bất động sản đầ</w:t>
      </w:r>
      <w:r w:rsidR="006C29B0">
        <w:rPr>
          <w:rFonts w:ascii="Times New Roman" w:hAnsi="Times New Roman" w:cs="Times New Roman"/>
          <w:sz w:val="24"/>
          <w:szCs w:val="24"/>
        </w:rPr>
        <w:t xml:space="preserve">u tư theo quy định </w:t>
      </w:r>
      <w:r w:rsidR="00F005F9">
        <w:rPr>
          <w:rFonts w:ascii="Times New Roman" w:hAnsi="Times New Roman" w:cs="Times New Roman"/>
          <w:sz w:val="24"/>
          <w:szCs w:val="24"/>
        </w:rPr>
        <w:t xml:space="preserve">của IFRS 15 </w:t>
      </w:r>
      <w:r w:rsidR="00B31F2C">
        <w:rPr>
          <w:rFonts w:ascii="Times New Roman" w:hAnsi="Times New Roman" w:cs="Times New Roman"/>
          <w:sz w:val="24"/>
          <w:szCs w:val="24"/>
        </w:rPr>
        <w:t>về việc</w:t>
      </w:r>
      <w:r w:rsidR="006C29B0">
        <w:rPr>
          <w:rFonts w:ascii="Times New Roman" w:hAnsi="Times New Roman" w:cs="Times New Roman"/>
          <w:sz w:val="24"/>
          <w:szCs w:val="24"/>
        </w:rPr>
        <w:t xml:space="preserve"> xác định </w:t>
      </w:r>
      <w:r w:rsidR="00F005F9">
        <w:rPr>
          <w:rFonts w:ascii="Times New Roman" w:hAnsi="Times New Roman" w:cs="Times New Roman"/>
          <w:sz w:val="24"/>
          <w:szCs w:val="24"/>
        </w:rPr>
        <w:t xml:space="preserve">việc hoàn thành </w:t>
      </w:r>
      <w:r w:rsidR="006C29B0">
        <w:rPr>
          <w:rFonts w:ascii="Times New Roman" w:hAnsi="Times New Roman" w:cs="Times New Roman"/>
          <w:sz w:val="24"/>
          <w:szCs w:val="24"/>
        </w:rPr>
        <w:t>nghĩa vụ</w:t>
      </w:r>
      <w:r w:rsidR="00F005F9">
        <w:rPr>
          <w:rFonts w:ascii="Times New Roman" w:hAnsi="Times New Roman" w:cs="Times New Roman"/>
          <w:sz w:val="24"/>
          <w:szCs w:val="24"/>
        </w:rPr>
        <w:t>. IFRS 16 áp dụng với việc thanh lý trong trường hợ</w:t>
      </w:r>
      <w:r w:rsidR="00194BF9">
        <w:rPr>
          <w:rFonts w:ascii="Times New Roman" w:hAnsi="Times New Roman" w:cs="Times New Roman"/>
          <w:sz w:val="24"/>
          <w:szCs w:val="24"/>
        </w:rPr>
        <w:t xml:space="preserve">p </w:t>
      </w:r>
      <w:r w:rsidR="007B0C43">
        <w:rPr>
          <w:rFonts w:ascii="Times New Roman" w:hAnsi="Times New Roman" w:cs="Times New Roman"/>
          <w:sz w:val="24"/>
          <w:szCs w:val="24"/>
        </w:rPr>
        <w:t>thực hiện</w:t>
      </w:r>
      <w:r w:rsidR="00F005F9">
        <w:rPr>
          <w:rFonts w:ascii="Times New Roman" w:hAnsi="Times New Roman" w:cs="Times New Roman"/>
          <w:sz w:val="24"/>
          <w:szCs w:val="24"/>
        </w:rPr>
        <w:t xml:space="preserve"> giao dịch cho thuê tài chính và trường hợp bán và thuê lại.</w:t>
      </w:r>
    </w:p>
    <w:p w:rsidR="00AE170C" w:rsidRDefault="00F005F9"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213F6C">
        <w:rPr>
          <w:rFonts w:ascii="Times New Roman" w:hAnsi="Times New Roman" w:cs="Times New Roman"/>
          <w:sz w:val="24"/>
          <w:szCs w:val="24"/>
        </w:rPr>
        <w:t xml:space="preserve">Nếu, khi áp dụng nguyên tắc ghi nhận tại đoạn 16, một đơn vị ghi nhận vào giá trị </w:t>
      </w:r>
      <w:r w:rsidR="00F04D46">
        <w:rPr>
          <w:rFonts w:ascii="Times New Roman" w:hAnsi="Times New Roman" w:cs="Times New Roman"/>
          <w:sz w:val="24"/>
          <w:szCs w:val="24"/>
        </w:rPr>
        <w:t>ghi sổ</w:t>
      </w:r>
      <w:r w:rsidR="00213F6C">
        <w:rPr>
          <w:rFonts w:ascii="Times New Roman" w:hAnsi="Times New Roman" w:cs="Times New Roman"/>
          <w:sz w:val="24"/>
          <w:szCs w:val="24"/>
        </w:rPr>
        <w:t xml:space="preserve"> của một tài sản phần chi phí để thay thế một phần của bất động sản đầu tư, đơn vị phải dừng ghi nhận phần giá trị </w:t>
      </w:r>
      <w:r w:rsidR="00B97975">
        <w:rPr>
          <w:rFonts w:ascii="Times New Roman" w:hAnsi="Times New Roman" w:cs="Times New Roman"/>
          <w:sz w:val="24"/>
          <w:szCs w:val="24"/>
        </w:rPr>
        <w:t>ghi sổ</w:t>
      </w:r>
      <w:r w:rsidR="00213F6C">
        <w:rPr>
          <w:rFonts w:ascii="Times New Roman" w:hAnsi="Times New Roman" w:cs="Times New Roman"/>
          <w:sz w:val="24"/>
          <w:szCs w:val="24"/>
        </w:rPr>
        <w:t xml:space="preserve"> ứng với phần </w:t>
      </w:r>
      <w:r w:rsidR="00B97975">
        <w:rPr>
          <w:rFonts w:ascii="Times New Roman" w:hAnsi="Times New Roman" w:cs="Times New Roman"/>
          <w:sz w:val="24"/>
          <w:szCs w:val="24"/>
        </w:rPr>
        <w:t xml:space="preserve">tài sản bị </w:t>
      </w:r>
      <w:r w:rsidR="00213F6C">
        <w:rPr>
          <w:rFonts w:ascii="Times New Roman" w:hAnsi="Times New Roman" w:cs="Times New Roman"/>
          <w:sz w:val="24"/>
          <w:szCs w:val="24"/>
        </w:rPr>
        <w:t>thay thế</w:t>
      </w:r>
      <w:r w:rsidR="001A77BF">
        <w:rPr>
          <w:rFonts w:ascii="Times New Roman" w:hAnsi="Times New Roman" w:cs="Times New Roman"/>
          <w:sz w:val="24"/>
          <w:szCs w:val="24"/>
        </w:rPr>
        <w:t xml:space="preserve"> đó. Trường hợp bất động sản đầu tư </w:t>
      </w:r>
      <w:r w:rsidR="00132F52">
        <w:rPr>
          <w:rFonts w:ascii="Times New Roman" w:hAnsi="Times New Roman" w:cs="Times New Roman"/>
          <w:sz w:val="24"/>
          <w:szCs w:val="24"/>
        </w:rPr>
        <w:t>được kế toán theo</w:t>
      </w:r>
      <w:r w:rsidR="001A77BF">
        <w:rPr>
          <w:rFonts w:ascii="Times New Roman" w:hAnsi="Times New Roman" w:cs="Times New Roman"/>
          <w:sz w:val="24"/>
          <w:szCs w:val="24"/>
        </w:rPr>
        <w:t xml:space="preserve"> mô hình giá gốc, phần được thay thế có thể không được khấu hao một cách riêng biệt. Nếu đơn vị không thể xác định được giá trị </w:t>
      </w:r>
      <w:r w:rsidR="00132F52">
        <w:rPr>
          <w:rFonts w:ascii="Times New Roman" w:hAnsi="Times New Roman" w:cs="Times New Roman"/>
          <w:sz w:val="24"/>
          <w:szCs w:val="24"/>
        </w:rPr>
        <w:t>ghi sổ</w:t>
      </w:r>
      <w:r w:rsidR="001A77BF">
        <w:rPr>
          <w:rFonts w:ascii="Times New Roman" w:hAnsi="Times New Roman" w:cs="Times New Roman"/>
          <w:sz w:val="24"/>
          <w:szCs w:val="24"/>
        </w:rPr>
        <w:t xml:space="preserve"> của bộ phận được thay thế, đơn vị có thể sử dụng chi phí thay thế </w:t>
      </w:r>
      <w:r w:rsidR="00F3041F">
        <w:rPr>
          <w:rFonts w:ascii="Times New Roman" w:hAnsi="Times New Roman" w:cs="Times New Roman"/>
          <w:sz w:val="24"/>
          <w:szCs w:val="24"/>
        </w:rPr>
        <w:t xml:space="preserve">như là một ước tính cho giá trị </w:t>
      </w:r>
      <w:r w:rsidR="00132F52">
        <w:rPr>
          <w:rFonts w:ascii="Times New Roman" w:hAnsi="Times New Roman" w:cs="Times New Roman"/>
          <w:sz w:val="24"/>
          <w:szCs w:val="24"/>
        </w:rPr>
        <w:t>ghi sổ</w:t>
      </w:r>
      <w:r w:rsidR="00F3041F">
        <w:rPr>
          <w:rFonts w:ascii="Times New Roman" w:hAnsi="Times New Roman" w:cs="Times New Roman"/>
          <w:sz w:val="24"/>
          <w:szCs w:val="24"/>
        </w:rPr>
        <w:t xml:space="preserve"> của phần được thay thế tại thời điểm nó được mua hoặc được </w:t>
      </w:r>
      <w:r w:rsidR="00132F52">
        <w:rPr>
          <w:rFonts w:ascii="Times New Roman" w:hAnsi="Times New Roman" w:cs="Times New Roman"/>
          <w:sz w:val="24"/>
          <w:szCs w:val="24"/>
        </w:rPr>
        <w:t>xây dựng</w:t>
      </w:r>
      <w:r w:rsidR="00F3041F">
        <w:rPr>
          <w:rFonts w:ascii="Times New Roman" w:hAnsi="Times New Roman" w:cs="Times New Roman"/>
          <w:sz w:val="24"/>
          <w:szCs w:val="24"/>
        </w:rPr>
        <w:t xml:space="preserve">. </w:t>
      </w:r>
      <w:r w:rsidR="006940DE">
        <w:rPr>
          <w:rFonts w:ascii="Times New Roman" w:hAnsi="Times New Roman" w:cs="Times New Roman"/>
          <w:sz w:val="24"/>
          <w:szCs w:val="24"/>
        </w:rPr>
        <w:t xml:space="preserve">Theo mô hình giá trị hợp lý, giá trị hợp lý của bất động sản đầu từ có thể đã phản ánh giá trị của phần bị thay thế </w:t>
      </w:r>
      <w:r w:rsidR="00194BF9">
        <w:rPr>
          <w:rFonts w:ascii="Times New Roman" w:hAnsi="Times New Roman" w:cs="Times New Roman"/>
          <w:sz w:val="24"/>
          <w:szCs w:val="24"/>
        </w:rPr>
        <w:t>đã bị</w:t>
      </w:r>
      <w:r w:rsidR="006940DE">
        <w:rPr>
          <w:rFonts w:ascii="Times New Roman" w:hAnsi="Times New Roman" w:cs="Times New Roman"/>
          <w:sz w:val="24"/>
          <w:szCs w:val="24"/>
        </w:rPr>
        <w:t xml:space="preserve"> suy giảm giá trị. </w:t>
      </w:r>
      <w:r w:rsidR="00132F52">
        <w:rPr>
          <w:rFonts w:ascii="Times New Roman" w:hAnsi="Times New Roman" w:cs="Times New Roman"/>
          <w:sz w:val="24"/>
          <w:szCs w:val="24"/>
        </w:rPr>
        <w:t>Trong</w:t>
      </w:r>
      <w:r w:rsidR="006940DE">
        <w:rPr>
          <w:rFonts w:ascii="Times New Roman" w:hAnsi="Times New Roman" w:cs="Times New Roman"/>
          <w:sz w:val="24"/>
          <w:szCs w:val="24"/>
        </w:rPr>
        <w:t xml:space="preserve"> các trường hợp khác, việc phân tách được giá trị suy giảm </w:t>
      </w:r>
      <w:r w:rsidR="009309A8">
        <w:rPr>
          <w:rFonts w:ascii="Times New Roman" w:hAnsi="Times New Roman" w:cs="Times New Roman"/>
          <w:sz w:val="24"/>
          <w:szCs w:val="24"/>
        </w:rPr>
        <w:t>tương ứng với phần bị thay thế là rất khó. Một biện pháp để giảm giá trị hợp lý</w:t>
      </w:r>
      <w:r w:rsidR="006B33D5">
        <w:rPr>
          <w:rFonts w:ascii="Times New Roman" w:hAnsi="Times New Roman" w:cs="Times New Roman"/>
          <w:sz w:val="24"/>
          <w:szCs w:val="24"/>
        </w:rPr>
        <w:t xml:space="preserve"> của </w:t>
      </w:r>
      <w:r w:rsidR="007531BD">
        <w:rPr>
          <w:rFonts w:ascii="Times New Roman" w:hAnsi="Times New Roman" w:cs="Times New Roman"/>
          <w:sz w:val="24"/>
          <w:szCs w:val="24"/>
        </w:rPr>
        <w:t xml:space="preserve">phần </w:t>
      </w:r>
      <w:r w:rsidR="006B33D5">
        <w:rPr>
          <w:rFonts w:ascii="Times New Roman" w:hAnsi="Times New Roman" w:cs="Times New Roman"/>
          <w:sz w:val="24"/>
          <w:szCs w:val="24"/>
        </w:rPr>
        <w:t>bất động sản</w:t>
      </w:r>
      <w:r w:rsidR="009309A8">
        <w:rPr>
          <w:rFonts w:ascii="Times New Roman" w:hAnsi="Times New Roman" w:cs="Times New Roman"/>
          <w:sz w:val="24"/>
          <w:szCs w:val="24"/>
        </w:rPr>
        <w:t xml:space="preserve"> bị thay thế, khi khó có thể </w:t>
      </w:r>
      <w:r w:rsidR="006B33D5">
        <w:rPr>
          <w:rFonts w:ascii="Times New Roman" w:hAnsi="Times New Roman" w:cs="Times New Roman"/>
          <w:sz w:val="24"/>
          <w:szCs w:val="24"/>
        </w:rPr>
        <w:t xml:space="preserve">xác định được giá trị của phần bị thay thế, là đưa phần chi phí thay thế vào giá trị ghi sổ của tài sản và sau đó đánh giá lại giá trị hợp lý, </w:t>
      </w:r>
      <w:r w:rsidR="00006B70">
        <w:rPr>
          <w:rFonts w:ascii="Times New Roman" w:hAnsi="Times New Roman" w:cs="Times New Roman"/>
          <w:sz w:val="24"/>
          <w:szCs w:val="24"/>
        </w:rPr>
        <w:t xml:space="preserve">do </w:t>
      </w:r>
      <w:r w:rsidR="00194BF9">
        <w:rPr>
          <w:rFonts w:ascii="Times New Roman" w:hAnsi="Times New Roman" w:cs="Times New Roman"/>
          <w:sz w:val="24"/>
          <w:szCs w:val="24"/>
        </w:rPr>
        <w:t xml:space="preserve">theo quy định, </w:t>
      </w:r>
      <w:r w:rsidR="00006B70">
        <w:rPr>
          <w:rFonts w:ascii="Times New Roman" w:hAnsi="Times New Roman" w:cs="Times New Roman"/>
          <w:sz w:val="24"/>
          <w:szCs w:val="24"/>
        </w:rPr>
        <w:t xml:space="preserve">khi đánh giá lại giá trị hợp lý các khoản </w:t>
      </w:r>
      <w:r w:rsidR="003A6FD7">
        <w:rPr>
          <w:rFonts w:ascii="Times New Roman" w:hAnsi="Times New Roman" w:cs="Times New Roman"/>
          <w:sz w:val="24"/>
          <w:szCs w:val="24"/>
        </w:rPr>
        <w:t>tăng thêm</w:t>
      </w:r>
      <w:r w:rsidR="00006B70">
        <w:rPr>
          <w:rFonts w:ascii="Times New Roman" w:hAnsi="Times New Roman" w:cs="Times New Roman"/>
          <w:sz w:val="24"/>
          <w:szCs w:val="24"/>
        </w:rPr>
        <w:t xml:space="preserve"> không gồm các phần thay thế.</w:t>
      </w:r>
    </w:p>
    <w:p w:rsidR="00006B70" w:rsidRPr="00A02C73" w:rsidRDefault="00006B70" w:rsidP="0048656B">
      <w:pPr>
        <w:tabs>
          <w:tab w:val="left" w:pos="720"/>
        </w:tabs>
        <w:spacing w:after="120" w:line="240" w:lineRule="auto"/>
        <w:ind w:left="720" w:right="14" w:hanging="720"/>
        <w:jc w:val="both"/>
        <w:rPr>
          <w:rFonts w:ascii="Times New Roman" w:hAnsi="Times New Roman" w:cs="Times New Roman"/>
          <w:b/>
          <w:sz w:val="24"/>
          <w:szCs w:val="24"/>
        </w:rPr>
      </w:pPr>
      <w:r w:rsidRPr="00A02C73">
        <w:rPr>
          <w:rFonts w:ascii="Times New Roman" w:hAnsi="Times New Roman" w:cs="Times New Roman"/>
          <w:b/>
          <w:sz w:val="24"/>
          <w:szCs w:val="24"/>
        </w:rPr>
        <w:t>69</w:t>
      </w:r>
      <w:r w:rsidRPr="00A02C73">
        <w:rPr>
          <w:rFonts w:ascii="Times New Roman" w:hAnsi="Times New Roman" w:cs="Times New Roman"/>
          <w:b/>
          <w:sz w:val="24"/>
          <w:szCs w:val="24"/>
        </w:rPr>
        <w:tab/>
      </w:r>
      <w:r w:rsidR="006E2073" w:rsidRPr="00A02C73">
        <w:rPr>
          <w:rFonts w:ascii="Times New Roman" w:hAnsi="Times New Roman" w:cs="Times New Roman"/>
          <w:b/>
          <w:sz w:val="24"/>
          <w:szCs w:val="24"/>
        </w:rPr>
        <w:t>Thu nhập hay lỗ phát sinh từ việc dừng sử dụng hay thanh lý một bất động sản đầu từ sẽ được xác định bằng khoản chênh lệch giữa phần thu về</w:t>
      </w:r>
      <w:r w:rsidR="0067414A">
        <w:rPr>
          <w:rFonts w:ascii="Times New Roman" w:hAnsi="Times New Roman" w:cs="Times New Roman"/>
          <w:b/>
          <w:sz w:val="24"/>
          <w:szCs w:val="24"/>
        </w:rPr>
        <w:t xml:space="preserve"> thuần</w:t>
      </w:r>
      <w:r w:rsidR="006E2073" w:rsidRPr="00A02C73">
        <w:rPr>
          <w:rFonts w:ascii="Times New Roman" w:hAnsi="Times New Roman" w:cs="Times New Roman"/>
          <w:b/>
          <w:sz w:val="24"/>
          <w:szCs w:val="24"/>
        </w:rPr>
        <w:t xml:space="preserve"> từ hoạt động thanh lý và giá trị ghi sổ của tài sản, khoản này sẽ được ghi nhận vào báo cáo kết quả kinh doanh </w:t>
      </w:r>
      <w:r w:rsidR="00A02C73" w:rsidRPr="00A02C73">
        <w:rPr>
          <w:rFonts w:ascii="Times New Roman" w:hAnsi="Times New Roman" w:cs="Times New Roman"/>
          <w:b/>
          <w:sz w:val="24"/>
          <w:szCs w:val="24"/>
        </w:rPr>
        <w:t xml:space="preserve">trong kỳ mà việc dừng sử dụng hoặc thanh lý diễn ra </w:t>
      </w:r>
      <w:r w:rsidR="006E2073" w:rsidRPr="00A02C73">
        <w:rPr>
          <w:rFonts w:ascii="Times New Roman" w:hAnsi="Times New Roman" w:cs="Times New Roman"/>
          <w:b/>
          <w:sz w:val="24"/>
          <w:szCs w:val="24"/>
        </w:rPr>
        <w:t xml:space="preserve">(trừ khi IFRS 16 có yêu cầu </w:t>
      </w:r>
      <w:r w:rsidR="00A02C73" w:rsidRPr="00A02C73">
        <w:rPr>
          <w:rFonts w:ascii="Times New Roman" w:hAnsi="Times New Roman" w:cs="Times New Roman"/>
          <w:b/>
          <w:sz w:val="24"/>
          <w:szCs w:val="24"/>
        </w:rPr>
        <w:t>chi tiết cho hoạt động bán và cho thuê lại).</w:t>
      </w:r>
    </w:p>
    <w:p w:rsidR="00A02C73" w:rsidRDefault="00A02C73" w:rsidP="0048656B">
      <w:pPr>
        <w:tabs>
          <w:tab w:val="left" w:pos="720"/>
        </w:tabs>
        <w:spacing w:after="120" w:line="240" w:lineRule="auto"/>
        <w:ind w:left="720" w:right="14" w:hanging="720"/>
        <w:jc w:val="both"/>
        <w:rPr>
          <w:rFonts w:ascii="Times New Roman" w:hAnsi="Times New Roman" w:cs="Times New Roman"/>
          <w:sz w:val="24"/>
          <w:szCs w:val="24"/>
        </w:rPr>
      </w:pPr>
      <w:r w:rsidRPr="00A02C73">
        <w:rPr>
          <w:rFonts w:ascii="Times New Roman" w:hAnsi="Times New Roman" w:cs="Times New Roman"/>
          <w:sz w:val="24"/>
          <w:szCs w:val="24"/>
        </w:rPr>
        <w:t>70</w:t>
      </w:r>
      <w:r w:rsidRPr="00A02C73">
        <w:rPr>
          <w:rFonts w:ascii="Times New Roman" w:hAnsi="Times New Roman" w:cs="Times New Roman"/>
          <w:sz w:val="24"/>
          <w:szCs w:val="24"/>
        </w:rPr>
        <w:tab/>
      </w:r>
      <w:r w:rsidR="0046564A">
        <w:rPr>
          <w:rFonts w:ascii="Times New Roman" w:hAnsi="Times New Roman" w:cs="Times New Roman"/>
          <w:sz w:val="24"/>
          <w:szCs w:val="24"/>
        </w:rPr>
        <w:t xml:space="preserve">Giá trị khoản tiền bao gồm trong thu nhập hay lỗ phát sinh từ việc dừng ghi nhận của một bất động sản đầu tư được xác định theo quy định về xác định giá giao dịch tại các đoạn từ 47 tới 72 của IFRS 15. </w:t>
      </w:r>
      <w:r w:rsidR="008A71D3">
        <w:rPr>
          <w:rFonts w:ascii="Times New Roman" w:hAnsi="Times New Roman" w:cs="Times New Roman"/>
          <w:sz w:val="24"/>
          <w:szCs w:val="24"/>
        </w:rPr>
        <w:t>Việc thay đổi về giá trị của khoản tiền nêu trên sau thời điểm xác định giá trị sẽ được ghi nhận theo các quy định về thay đổi trong giá giao dịch của IFRS 15.</w:t>
      </w:r>
    </w:p>
    <w:p w:rsidR="008A71D3" w:rsidRDefault="00B67589"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Đơn vị áp dụng IAS 37 hoặc các Chuẩn mực khác, nếu phù hợp, cho các khoản nợ phải trả mà đơn vị vẫn nắm giữ sau khi thanh lý một bất động sản đầu tư.</w:t>
      </w:r>
    </w:p>
    <w:p w:rsidR="00B67589" w:rsidRDefault="00B67589" w:rsidP="0048656B">
      <w:pPr>
        <w:tabs>
          <w:tab w:val="left" w:pos="720"/>
        </w:tabs>
        <w:spacing w:after="120" w:line="240" w:lineRule="auto"/>
        <w:ind w:left="720" w:right="14" w:hanging="720"/>
        <w:jc w:val="both"/>
        <w:rPr>
          <w:rFonts w:ascii="Times New Roman" w:hAnsi="Times New Roman" w:cs="Times New Roman"/>
          <w:b/>
          <w:sz w:val="24"/>
          <w:szCs w:val="24"/>
        </w:rPr>
      </w:pPr>
      <w:r w:rsidRPr="00C929F2">
        <w:rPr>
          <w:rFonts w:ascii="Times New Roman" w:hAnsi="Times New Roman" w:cs="Times New Roman"/>
          <w:b/>
          <w:sz w:val="24"/>
          <w:szCs w:val="24"/>
        </w:rPr>
        <w:t>72</w:t>
      </w:r>
      <w:r w:rsidRPr="00C929F2">
        <w:rPr>
          <w:rFonts w:ascii="Times New Roman" w:hAnsi="Times New Roman" w:cs="Times New Roman"/>
          <w:b/>
          <w:sz w:val="24"/>
          <w:szCs w:val="24"/>
        </w:rPr>
        <w:tab/>
      </w:r>
      <w:r w:rsidR="00C929F2" w:rsidRPr="00C929F2">
        <w:rPr>
          <w:rFonts w:ascii="Times New Roman" w:hAnsi="Times New Roman" w:cs="Times New Roman"/>
          <w:b/>
          <w:sz w:val="24"/>
          <w:szCs w:val="24"/>
        </w:rPr>
        <w:t xml:space="preserve">Tiền đền bù từ bên thứ ba cho bất động sản đầu tư bị suy giảm giá trị, </w:t>
      </w:r>
      <w:r w:rsidR="007531BD">
        <w:rPr>
          <w:rFonts w:ascii="Times New Roman" w:hAnsi="Times New Roman" w:cs="Times New Roman"/>
          <w:b/>
          <w:sz w:val="24"/>
          <w:szCs w:val="24"/>
        </w:rPr>
        <w:t xml:space="preserve">sự </w:t>
      </w:r>
      <w:r w:rsidR="00C929F2" w:rsidRPr="00C929F2">
        <w:rPr>
          <w:rFonts w:ascii="Times New Roman" w:hAnsi="Times New Roman" w:cs="Times New Roman"/>
          <w:b/>
          <w:sz w:val="24"/>
          <w:szCs w:val="24"/>
        </w:rPr>
        <w:t>mất mát hoặc phải từ bỏ sẽ được ghi nhận vào báo cáo kết quả kinh doanh khi khoản tiền này trở thành khoản phải thu.</w:t>
      </w:r>
    </w:p>
    <w:p w:rsidR="00C929F2" w:rsidRDefault="00C929F2"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D836E1">
        <w:rPr>
          <w:rFonts w:ascii="Times New Roman" w:hAnsi="Times New Roman" w:cs="Times New Roman"/>
          <w:sz w:val="24"/>
          <w:szCs w:val="24"/>
        </w:rPr>
        <w:t xml:space="preserve">Khoản suy giảm giá trị hoặc lỗ phát sinh từ bất động sản đầu tư, các khoản thu về liên quan hoặc chi trả tiền đền bù từ bên thứ ba và bất kỳ việc mua hoặc </w:t>
      </w:r>
      <w:r w:rsidR="00D933C1">
        <w:rPr>
          <w:rFonts w:ascii="Times New Roman" w:hAnsi="Times New Roman" w:cs="Times New Roman"/>
          <w:sz w:val="24"/>
          <w:szCs w:val="24"/>
        </w:rPr>
        <w:t>xây dựng</w:t>
      </w:r>
      <w:r w:rsidR="00D836E1">
        <w:rPr>
          <w:rFonts w:ascii="Times New Roman" w:hAnsi="Times New Roman" w:cs="Times New Roman"/>
          <w:sz w:val="24"/>
          <w:szCs w:val="24"/>
        </w:rPr>
        <w:t xml:space="preserve"> một tài sản để thay thế là một sự kiện kinh tế riêng biệt và sẽ được ghi nhận riêng biệt như sau:</w:t>
      </w:r>
    </w:p>
    <w:p w:rsidR="00D836E1" w:rsidRDefault="00D836E1"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suy giảm giá trị của bất động sản đầu tư được ghi nhận theo IAS 36;</w:t>
      </w:r>
    </w:p>
    <w:p w:rsidR="00D836E1" w:rsidRDefault="00D836E1"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việc dừng sử dụng hoặc thanh lý bất động sản đầu tư được ghi nhận theo các đoạn từ 66 tới 71 của Chuẩn mực này;</w:t>
      </w:r>
    </w:p>
    <w:p w:rsidR="00D836E1" w:rsidRDefault="00D836E1"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t>tiền đền bù từ bên thứ ba</w:t>
      </w:r>
      <w:r w:rsidR="00D933C1">
        <w:rPr>
          <w:rFonts w:ascii="Times New Roman" w:hAnsi="Times New Roman" w:cs="Times New Roman"/>
          <w:sz w:val="24"/>
          <w:szCs w:val="24"/>
        </w:rPr>
        <w:t xml:space="preserve"> </w:t>
      </w:r>
      <w:r>
        <w:rPr>
          <w:rFonts w:ascii="Times New Roman" w:hAnsi="Times New Roman" w:cs="Times New Roman"/>
          <w:sz w:val="24"/>
          <w:szCs w:val="24"/>
        </w:rPr>
        <w:t xml:space="preserve">cho bất động sản đầu tư </w:t>
      </w:r>
      <w:r w:rsidRPr="00D836E1">
        <w:rPr>
          <w:rFonts w:ascii="Times New Roman" w:hAnsi="Times New Roman" w:cs="Times New Roman"/>
          <w:sz w:val="24"/>
          <w:szCs w:val="24"/>
        </w:rPr>
        <w:t xml:space="preserve">bị suy giảm giá trị, mất mát hoặc </w:t>
      </w:r>
      <w:r w:rsidR="00D933C1">
        <w:rPr>
          <w:rFonts w:ascii="Times New Roman" w:hAnsi="Times New Roman" w:cs="Times New Roman"/>
          <w:sz w:val="24"/>
          <w:szCs w:val="24"/>
        </w:rPr>
        <w:t xml:space="preserve">lợi ích </w:t>
      </w:r>
      <w:r w:rsidRPr="00D836E1">
        <w:rPr>
          <w:rFonts w:ascii="Times New Roman" w:hAnsi="Times New Roman" w:cs="Times New Roman"/>
          <w:sz w:val="24"/>
          <w:szCs w:val="24"/>
        </w:rPr>
        <w:t>phải từ bỏ sẽ được ghi nhận vào báo cáo kết quả kinh doanh khi khoản tiền này trở thành khoản phải thu</w:t>
      </w:r>
      <w:r>
        <w:rPr>
          <w:rFonts w:ascii="Times New Roman" w:hAnsi="Times New Roman" w:cs="Times New Roman"/>
          <w:sz w:val="24"/>
          <w:szCs w:val="24"/>
        </w:rPr>
        <w:t>; và</w:t>
      </w:r>
    </w:p>
    <w:p w:rsidR="00D836E1" w:rsidRDefault="00D836E1" w:rsidP="0048656B">
      <w:pPr>
        <w:tabs>
          <w:tab w:val="left" w:pos="1440"/>
        </w:tabs>
        <w:spacing w:after="120" w:line="240" w:lineRule="auto"/>
        <w:ind w:left="1440" w:right="14"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chi phí để khôi phục, mua mới hoặc </w:t>
      </w:r>
      <w:r w:rsidR="00D933C1">
        <w:rPr>
          <w:rFonts w:ascii="Times New Roman" w:hAnsi="Times New Roman" w:cs="Times New Roman"/>
          <w:sz w:val="24"/>
          <w:szCs w:val="24"/>
        </w:rPr>
        <w:t>xây dựng</w:t>
      </w:r>
      <w:r>
        <w:rPr>
          <w:rFonts w:ascii="Times New Roman" w:hAnsi="Times New Roman" w:cs="Times New Roman"/>
          <w:sz w:val="24"/>
          <w:szCs w:val="24"/>
        </w:rPr>
        <w:t xml:space="preserve"> phần thay thế cho bất động sản đầu tư được xác định theo các đoạn từ 20 đến 29 của Chuẩn mực này.</w:t>
      </w:r>
    </w:p>
    <w:p w:rsidR="00D836E1" w:rsidRPr="00D97B42" w:rsidRDefault="00D836E1" w:rsidP="0048656B">
      <w:pPr>
        <w:pBdr>
          <w:bottom w:val="single" w:sz="6" w:space="1" w:color="auto"/>
        </w:pBdr>
        <w:spacing w:before="200" w:after="120" w:line="240" w:lineRule="auto"/>
        <w:ind w:right="14"/>
        <w:jc w:val="both"/>
        <w:rPr>
          <w:rFonts w:ascii="Arial" w:hAnsi="Arial" w:cs="Arial"/>
          <w:b/>
          <w:sz w:val="28"/>
          <w:szCs w:val="24"/>
        </w:rPr>
      </w:pPr>
      <w:r w:rsidRPr="00D97B42">
        <w:rPr>
          <w:rFonts w:ascii="Arial" w:hAnsi="Arial" w:cs="Arial"/>
          <w:b/>
          <w:sz w:val="28"/>
          <w:szCs w:val="24"/>
        </w:rPr>
        <w:t>Công bố thông tin</w:t>
      </w:r>
    </w:p>
    <w:p w:rsidR="00D836E1" w:rsidRDefault="00663C13" w:rsidP="0048656B">
      <w:pPr>
        <w:tabs>
          <w:tab w:val="left" w:pos="720"/>
        </w:tabs>
        <w:spacing w:after="120" w:line="240" w:lineRule="auto"/>
        <w:ind w:left="720" w:right="14" w:hanging="720"/>
        <w:jc w:val="both"/>
        <w:rPr>
          <w:rFonts w:ascii="Arial" w:hAnsi="Arial" w:cs="Arial"/>
          <w:b/>
          <w:sz w:val="28"/>
          <w:szCs w:val="24"/>
        </w:rPr>
      </w:pPr>
      <w:r>
        <w:rPr>
          <w:rFonts w:ascii="Arial" w:hAnsi="Arial" w:cs="Arial"/>
          <w:b/>
          <w:sz w:val="28"/>
          <w:szCs w:val="24"/>
        </w:rPr>
        <w:tab/>
      </w:r>
      <w:r w:rsidRPr="00663C13">
        <w:rPr>
          <w:rFonts w:ascii="Arial" w:hAnsi="Arial" w:cs="Arial"/>
          <w:b/>
          <w:sz w:val="28"/>
          <w:szCs w:val="24"/>
        </w:rPr>
        <w:t>Mô hình giá trị hợp lý và mô hình giá gốc</w:t>
      </w:r>
    </w:p>
    <w:p w:rsidR="00663C13" w:rsidRDefault="00663C13" w:rsidP="0048656B">
      <w:pPr>
        <w:tabs>
          <w:tab w:val="left" w:pos="720"/>
        </w:tabs>
        <w:spacing w:after="120" w:line="240" w:lineRule="auto"/>
        <w:ind w:left="720" w:right="14" w:hanging="720"/>
        <w:jc w:val="both"/>
        <w:rPr>
          <w:rFonts w:ascii="Times New Roman" w:hAnsi="Times New Roman" w:cs="Times New Roman"/>
          <w:sz w:val="24"/>
          <w:szCs w:val="24"/>
        </w:rPr>
      </w:pPr>
      <w:r w:rsidRPr="00663C13">
        <w:rPr>
          <w:rFonts w:ascii="Times New Roman" w:hAnsi="Times New Roman" w:cs="Times New Roman"/>
          <w:sz w:val="24"/>
          <w:szCs w:val="24"/>
        </w:rPr>
        <w:t>74</w:t>
      </w:r>
      <w:r w:rsidRPr="00663C13">
        <w:rPr>
          <w:rFonts w:ascii="Times New Roman" w:hAnsi="Times New Roman" w:cs="Times New Roman"/>
          <w:sz w:val="24"/>
          <w:szCs w:val="24"/>
        </w:rPr>
        <w:tab/>
      </w:r>
      <w:r>
        <w:rPr>
          <w:rFonts w:ascii="Times New Roman" w:hAnsi="Times New Roman" w:cs="Times New Roman"/>
          <w:sz w:val="24"/>
          <w:szCs w:val="24"/>
        </w:rPr>
        <w:t xml:space="preserve">Việc công bố thông tin dưới đây áp dụng bổ sung cho các quy định tại IFRS 16. Theo IFRS 16, chủ sở hữu của bất động sản đầu tư phải </w:t>
      </w:r>
      <w:r w:rsidR="007A56BA">
        <w:rPr>
          <w:rFonts w:ascii="Times New Roman" w:hAnsi="Times New Roman" w:cs="Times New Roman"/>
          <w:sz w:val="24"/>
          <w:szCs w:val="24"/>
        </w:rPr>
        <w:t>công bố thông tin của bên cho thuê về những giao dịch thuê mà đơn vị đã tham gia. Bên đi thuê nắm giữ bất động sản đầu tư như một tài sản được quyền sử dụng phải công bố thông tin của bên đi thuê theo quy định của IFRS 16 và</w:t>
      </w:r>
      <w:r w:rsidR="0067414A">
        <w:rPr>
          <w:rFonts w:ascii="Times New Roman" w:hAnsi="Times New Roman" w:cs="Times New Roman"/>
          <w:sz w:val="24"/>
          <w:szCs w:val="24"/>
        </w:rPr>
        <w:t xml:space="preserve"> của</w:t>
      </w:r>
      <w:r w:rsidR="007A56BA">
        <w:rPr>
          <w:rFonts w:ascii="Times New Roman" w:hAnsi="Times New Roman" w:cs="Times New Roman"/>
          <w:sz w:val="24"/>
          <w:szCs w:val="24"/>
        </w:rPr>
        <w:t xml:space="preserve"> bên cho thuê theo quy định của IFRS 16 cho bất kỳ </w:t>
      </w:r>
      <w:r w:rsidR="002E2069">
        <w:rPr>
          <w:rFonts w:ascii="Times New Roman" w:hAnsi="Times New Roman" w:cs="Times New Roman"/>
          <w:sz w:val="24"/>
          <w:szCs w:val="24"/>
        </w:rPr>
        <w:t>giao dịch cho thuê hoạt động nào mà đơn vị đã tham gia.</w:t>
      </w:r>
    </w:p>
    <w:p w:rsidR="002E2069" w:rsidRPr="00A63D04" w:rsidRDefault="002E2069" w:rsidP="0048656B">
      <w:pPr>
        <w:tabs>
          <w:tab w:val="left" w:pos="720"/>
        </w:tabs>
        <w:spacing w:after="120" w:line="240" w:lineRule="auto"/>
        <w:ind w:left="720" w:right="14" w:hanging="720"/>
        <w:jc w:val="both"/>
        <w:rPr>
          <w:rFonts w:ascii="Times New Roman" w:hAnsi="Times New Roman" w:cs="Times New Roman"/>
          <w:b/>
          <w:sz w:val="24"/>
          <w:szCs w:val="24"/>
        </w:rPr>
      </w:pPr>
      <w:r w:rsidRPr="00A63D04">
        <w:rPr>
          <w:rFonts w:ascii="Times New Roman" w:hAnsi="Times New Roman" w:cs="Times New Roman"/>
          <w:b/>
          <w:sz w:val="24"/>
          <w:szCs w:val="24"/>
        </w:rPr>
        <w:t>75</w:t>
      </w:r>
      <w:r w:rsidRPr="00A63D04">
        <w:rPr>
          <w:rFonts w:ascii="Times New Roman" w:hAnsi="Times New Roman" w:cs="Times New Roman"/>
          <w:b/>
          <w:sz w:val="24"/>
          <w:szCs w:val="24"/>
        </w:rPr>
        <w:tab/>
        <w:t>Đơn vị phải công bố thông tin về:</w:t>
      </w:r>
    </w:p>
    <w:p w:rsidR="00E10B2F" w:rsidRPr="00A63D04" w:rsidRDefault="002E2069" w:rsidP="0048656B">
      <w:pPr>
        <w:tabs>
          <w:tab w:val="left" w:pos="1440"/>
        </w:tabs>
        <w:spacing w:after="120" w:line="240" w:lineRule="auto"/>
        <w:ind w:left="1440" w:right="14" w:hanging="720"/>
        <w:jc w:val="both"/>
        <w:rPr>
          <w:rFonts w:ascii="Times New Roman" w:hAnsi="Times New Roman" w:cs="Times New Roman"/>
          <w:b/>
          <w:sz w:val="24"/>
          <w:szCs w:val="24"/>
        </w:rPr>
      </w:pPr>
      <w:r w:rsidRPr="00A63D04">
        <w:rPr>
          <w:rFonts w:ascii="Times New Roman" w:hAnsi="Times New Roman" w:cs="Times New Roman"/>
          <w:b/>
          <w:sz w:val="24"/>
          <w:szCs w:val="24"/>
        </w:rPr>
        <w:t>(a)</w:t>
      </w:r>
      <w:r w:rsidRPr="00A63D04">
        <w:rPr>
          <w:rFonts w:ascii="Times New Roman" w:hAnsi="Times New Roman" w:cs="Times New Roman"/>
          <w:b/>
          <w:sz w:val="24"/>
          <w:szCs w:val="24"/>
        </w:rPr>
        <w:tab/>
      </w:r>
      <w:r w:rsidR="00E10B2F" w:rsidRPr="00A63D04">
        <w:rPr>
          <w:rFonts w:ascii="Times New Roman" w:hAnsi="Times New Roman" w:cs="Times New Roman"/>
          <w:b/>
          <w:sz w:val="24"/>
          <w:szCs w:val="24"/>
        </w:rPr>
        <w:t>sự lựa chọn áp dụng mô hình giá trị hợp lý hoặc mô hình giá gốc.</w:t>
      </w:r>
    </w:p>
    <w:p w:rsidR="00507324" w:rsidRPr="00A63D04" w:rsidRDefault="00E10B2F" w:rsidP="0048656B">
      <w:pPr>
        <w:tabs>
          <w:tab w:val="left" w:pos="1440"/>
        </w:tabs>
        <w:spacing w:after="120" w:line="240" w:lineRule="auto"/>
        <w:ind w:left="1440" w:right="14" w:hanging="720"/>
        <w:jc w:val="both"/>
        <w:rPr>
          <w:rFonts w:ascii="Times New Roman" w:hAnsi="Times New Roman" w:cs="Times New Roman"/>
          <w:b/>
          <w:sz w:val="24"/>
          <w:szCs w:val="24"/>
        </w:rPr>
      </w:pPr>
      <w:r w:rsidRPr="00A63D04">
        <w:rPr>
          <w:rFonts w:ascii="Times New Roman" w:hAnsi="Times New Roman" w:cs="Times New Roman"/>
          <w:b/>
          <w:sz w:val="24"/>
          <w:szCs w:val="24"/>
        </w:rPr>
        <w:t>(b)</w:t>
      </w:r>
      <w:r w:rsidRPr="00A63D04">
        <w:rPr>
          <w:rFonts w:ascii="Times New Roman" w:hAnsi="Times New Roman" w:cs="Times New Roman"/>
          <w:b/>
          <w:sz w:val="24"/>
          <w:szCs w:val="24"/>
        </w:rPr>
        <w:tab/>
      </w:r>
      <w:r w:rsidR="00507324" w:rsidRPr="00A63D04">
        <w:rPr>
          <w:rFonts w:ascii="Times New Roman" w:hAnsi="Times New Roman" w:cs="Times New Roman"/>
          <w:b/>
          <w:sz w:val="24"/>
          <w:szCs w:val="24"/>
        </w:rPr>
        <w:t>[Đã xóa]</w:t>
      </w:r>
    </w:p>
    <w:p w:rsidR="002E2069" w:rsidRPr="00A63D04" w:rsidRDefault="00507324" w:rsidP="0048656B">
      <w:pPr>
        <w:tabs>
          <w:tab w:val="left" w:pos="1440"/>
        </w:tabs>
        <w:spacing w:after="120" w:line="240" w:lineRule="auto"/>
        <w:ind w:left="1440" w:right="14" w:hanging="720"/>
        <w:jc w:val="both"/>
        <w:rPr>
          <w:rFonts w:ascii="Times New Roman" w:hAnsi="Times New Roman" w:cs="Times New Roman"/>
          <w:b/>
          <w:sz w:val="24"/>
          <w:szCs w:val="24"/>
        </w:rPr>
      </w:pPr>
      <w:r w:rsidRPr="00A63D04">
        <w:rPr>
          <w:rFonts w:ascii="Times New Roman" w:hAnsi="Times New Roman" w:cs="Times New Roman"/>
          <w:b/>
          <w:sz w:val="24"/>
          <w:szCs w:val="24"/>
        </w:rPr>
        <w:t>(c)</w:t>
      </w:r>
      <w:r w:rsidRPr="00A63D04">
        <w:rPr>
          <w:rFonts w:ascii="Times New Roman" w:hAnsi="Times New Roman" w:cs="Times New Roman"/>
          <w:b/>
          <w:sz w:val="24"/>
          <w:szCs w:val="24"/>
        </w:rPr>
        <w:tab/>
      </w:r>
      <w:r w:rsidR="00FA7C6E" w:rsidRPr="00A63D04">
        <w:rPr>
          <w:rFonts w:ascii="Times New Roman" w:hAnsi="Times New Roman" w:cs="Times New Roman"/>
          <w:b/>
          <w:sz w:val="24"/>
          <w:szCs w:val="24"/>
        </w:rPr>
        <w:t>trong trường hợp khó phân loại tài sản (</w:t>
      </w:r>
      <w:r w:rsidR="00D933C1">
        <w:rPr>
          <w:rFonts w:ascii="Times New Roman" w:hAnsi="Times New Roman" w:cs="Times New Roman"/>
          <w:b/>
          <w:sz w:val="24"/>
          <w:szCs w:val="24"/>
        </w:rPr>
        <w:t>xem</w:t>
      </w:r>
      <w:r w:rsidR="00FA7C6E" w:rsidRPr="00A63D04">
        <w:rPr>
          <w:rFonts w:ascii="Times New Roman" w:hAnsi="Times New Roman" w:cs="Times New Roman"/>
          <w:b/>
          <w:sz w:val="24"/>
          <w:szCs w:val="24"/>
        </w:rPr>
        <w:t xml:space="preserve"> đoạn 14), các tiêu chuẩn đơn vị sử dụng để phân biệt bất động sản đầu tư với bất động sản chủ sở hữu sử dụng và với bất động sản nắm giữ để bán trong một kỳ kinh doanh thông thường.</w:t>
      </w:r>
    </w:p>
    <w:p w:rsidR="00FA7C6E" w:rsidRPr="00A63D04" w:rsidRDefault="00FA7C6E" w:rsidP="0048656B">
      <w:pPr>
        <w:tabs>
          <w:tab w:val="left" w:pos="1440"/>
        </w:tabs>
        <w:spacing w:after="120" w:line="240" w:lineRule="auto"/>
        <w:ind w:left="1440" w:right="14" w:hanging="720"/>
        <w:jc w:val="both"/>
        <w:rPr>
          <w:rFonts w:ascii="Times New Roman" w:hAnsi="Times New Roman" w:cs="Times New Roman"/>
          <w:b/>
          <w:sz w:val="24"/>
          <w:szCs w:val="24"/>
        </w:rPr>
      </w:pPr>
      <w:r w:rsidRPr="00A63D04">
        <w:rPr>
          <w:rFonts w:ascii="Times New Roman" w:hAnsi="Times New Roman" w:cs="Times New Roman"/>
          <w:b/>
          <w:sz w:val="24"/>
          <w:szCs w:val="24"/>
        </w:rPr>
        <w:t>(d)</w:t>
      </w:r>
      <w:r w:rsidRPr="00A63D04">
        <w:rPr>
          <w:rFonts w:ascii="Times New Roman" w:hAnsi="Times New Roman" w:cs="Times New Roman"/>
          <w:b/>
          <w:sz w:val="24"/>
          <w:szCs w:val="24"/>
        </w:rPr>
        <w:tab/>
        <w:t>[Đã xóa]</w:t>
      </w:r>
    </w:p>
    <w:p w:rsidR="00FA7C6E" w:rsidRPr="00A63D04" w:rsidRDefault="00FA7C6E" w:rsidP="0048656B">
      <w:pPr>
        <w:tabs>
          <w:tab w:val="left" w:pos="1440"/>
        </w:tabs>
        <w:spacing w:after="120" w:line="240" w:lineRule="auto"/>
        <w:ind w:left="1440" w:right="14" w:hanging="720"/>
        <w:jc w:val="both"/>
        <w:rPr>
          <w:rFonts w:ascii="Times New Roman" w:hAnsi="Times New Roman" w:cs="Times New Roman"/>
          <w:b/>
          <w:sz w:val="24"/>
          <w:szCs w:val="24"/>
        </w:rPr>
      </w:pPr>
      <w:r w:rsidRPr="00A63D04">
        <w:rPr>
          <w:rFonts w:ascii="Times New Roman" w:hAnsi="Times New Roman" w:cs="Times New Roman"/>
          <w:b/>
          <w:sz w:val="24"/>
          <w:szCs w:val="24"/>
        </w:rPr>
        <w:t>(e)</w:t>
      </w:r>
      <w:r w:rsidRPr="00A63D04">
        <w:rPr>
          <w:rFonts w:ascii="Times New Roman" w:hAnsi="Times New Roman" w:cs="Times New Roman"/>
          <w:b/>
          <w:sz w:val="24"/>
          <w:szCs w:val="24"/>
        </w:rPr>
        <w:tab/>
      </w:r>
      <w:r w:rsidR="00AB03B7" w:rsidRPr="00A63D04">
        <w:rPr>
          <w:rFonts w:ascii="Times New Roman" w:hAnsi="Times New Roman" w:cs="Times New Roman"/>
          <w:b/>
          <w:sz w:val="24"/>
          <w:szCs w:val="24"/>
        </w:rPr>
        <w:t xml:space="preserve">phần giá trị hợp lý của bất động sản đầu tư (theo như định giá hoặc công bố trong báo cáo tài chính) được xác định bởi một bên định giá độc lập, bên định giá độc lập phải </w:t>
      </w:r>
      <w:r w:rsidR="00F83A3E">
        <w:rPr>
          <w:rFonts w:ascii="Times New Roman" w:hAnsi="Times New Roman" w:cs="Times New Roman"/>
          <w:b/>
          <w:sz w:val="24"/>
          <w:szCs w:val="24"/>
        </w:rPr>
        <w:t>có</w:t>
      </w:r>
      <w:r w:rsidR="00AB03B7" w:rsidRPr="00A63D04">
        <w:rPr>
          <w:rFonts w:ascii="Times New Roman" w:hAnsi="Times New Roman" w:cs="Times New Roman"/>
          <w:b/>
          <w:sz w:val="24"/>
          <w:szCs w:val="24"/>
        </w:rPr>
        <w:t xml:space="preserve"> chứng chỉ nghề nghiệp </w:t>
      </w:r>
      <w:r w:rsidR="007D1FFC" w:rsidRPr="00A63D04">
        <w:rPr>
          <w:rFonts w:ascii="Times New Roman" w:hAnsi="Times New Roman" w:cs="Times New Roman"/>
          <w:b/>
          <w:sz w:val="24"/>
          <w:szCs w:val="24"/>
        </w:rPr>
        <w:t>được công nhận</w:t>
      </w:r>
      <w:r w:rsidR="007D1FFC">
        <w:rPr>
          <w:rFonts w:ascii="Times New Roman" w:hAnsi="Times New Roman" w:cs="Times New Roman"/>
          <w:b/>
          <w:sz w:val="24"/>
          <w:szCs w:val="24"/>
        </w:rPr>
        <w:t xml:space="preserve">, </w:t>
      </w:r>
      <w:r w:rsidR="007D1FFC" w:rsidRPr="00A63D04">
        <w:rPr>
          <w:rFonts w:ascii="Times New Roman" w:hAnsi="Times New Roman" w:cs="Times New Roman"/>
          <w:b/>
          <w:sz w:val="24"/>
          <w:szCs w:val="24"/>
        </w:rPr>
        <w:t xml:space="preserve">có </w:t>
      </w:r>
      <w:r w:rsidR="007D1FFC">
        <w:rPr>
          <w:rFonts w:ascii="Times New Roman" w:hAnsi="Times New Roman" w:cs="Times New Roman"/>
          <w:b/>
          <w:sz w:val="24"/>
          <w:szCs w:val="24"/>
        </w:rPr>
        <w:t xml:space="preserve">đủ năng năng lực chuyên môn </w:t>
      </w:r>
      <w:r w:rsidR="007D1FFC" w:rsidRPr="00A63D04">
        <w:rPr>
          <w:rFonts w:ascii="Times New Roman" w:hAnsi="Times New Roman" w:cs="Times New Roman"/>
          <w:b/>
          <w:sz w:val="24"/>
          <w:szCs w:val="24"/>
        </w:rPr>
        <w:t xml:space="preserve">liên quan </w:t>
      </w:r>
      <w:r w:rsidR="00AB03B7" w:rsidRPr="00A63D04">
        <w:rPr>
          <w:rFonts w:ascii="Times New Roman" w:hAnsi="Times New Roman" w:cs="Times New Roman"/>
          <w:b/>
          <w:sz w:val="24"/>
          <w:szCs w:val="24"/>
        </w:rPr>
        <w:t xml:space="preserve">và có những kinh nghiệm gần đây về khu vực địa lý và loại bất động sản đầu tư được định giá. Nếu </w:t>
      </w:r>
      <w:r w:rsidR="00C628BA" w:rsidRPr="00A63D04">
        <w:rPr>
          <w:rFonts w:ascii="Times New Roman" w:hAnsi="Times New Roman" w:cs="Times New Roman"/>
          <w:b/>
          <w:sz w:val="24"/>
          <w:szCs w:val="24"/>
        </w:rPr>
        <w:t>việc</w:t>
      </w:r>
      <w:r w:rsidR="00AB03B7" w:rsidRPr="00A63D04">
        <w:rPr>
          <w:rFonts w:ascii="Times New Roman" w:hAnsi="Times New Roman" w:cs="Times New Roman"/>
          <w:b/>
          <w:sz w:val="24"/>
          <w:szCs w:val="24"/>
        </w:rPr>
        <w:t xml:space="preserve"> định giá nêu trên </w:t>
      </w:r>
      <w:r w:rsidR="00C628BA" w:rsidRPr="00A63D04">
        <w:rPr>
          <w:rFonts w:ascii="Times New Roman" w:hAnsi="Times New Roman" w:cs="Times New Roman"/>
          <w:b/>
          <w:sz w:val="24"/>
          <w:szCs w:val="24"/>
        </w:rPr>
        <w:t xml:space="preserve">không </w:t>
      </w:r>
      <w:r w:rsidR="00AB03B7" w:rsidRPr="00A63D04">
        <w:rPr>
          <w:rFonts w:ascii="Times New Roman" w:hAnsi="Times New Roman" w:cs="Times New Roman"/>
          <w:b/>
          <w:sz w:val="24"/>
          <w:szCs w:val="24"/>
        </w:rPr>
        <w:t>được thực hiện, việc này</w:t>
      </w:r>
      <w:r w:rsidR="00C628BA" w:rsidRPr="00A63D04">
        <w:rPr>
          <w:rFonts w:ascii="Times New Roman" w:hAnsi="Times New Roman" w:cs="Times New Roman"/>
          <w:b/>
          <w:sz w:val="24"/>
          <w:szCs w:val="24"/>
        </w:rPr>
        <w:t xml:space="preserve"> </w:t>
      </w:r>
      <w:r w:rsidR="00AB03B7" w:rsidRPr="00A63D04">
        <w:rPr>
          <w:rFonts w:ascii="Times New Roman" w:hAnsi="Times New Roman" w:cs="Times New Roman"/>
          <w:b/>
          <w:sz w:val="24"/>
          <w:szCs w:val="24"/>
        </w:rPr>
        <w:t>cũng cần được công bố.</w:t>
      </w:r>
    </w:p>
    <w:p w:rsidR="00C628BA" w:rsidRPr="00A63D04" w:rsidRDefault="00C628BA" w:rsidP="0048656B">
      <w:pPr>
        <w:tabs>
          <w:tab w:val="left" w:pos="1440"/>
        </w:tabs>
        <w:spacing w:after="120" w:line="240" w:lineRule="auto"/>
        <w:ind w:left="1440" w:right="14" w:hanging="720"/>
        <w:jc w:val="both"/>
        <w:rPr>
          <w:rFonts w:ascii="Times New Roman" w:hAnsi="Times New Roman" w:cs="Times New Roman"/>
          <w:b/>
          <w:sz w:val="24"/>
          <w:szCs w:val="24"/>
        </w:rPr>
      </w:pPr>
      <w:r w:rsidRPr="00A63D04">
        <w:rPr>
          <w:rFonts w:ascii="Times New Roman" w:hAnsi="Times New Roman" w:cs="Times New Roman"/>
          <w:b/>
          <w:sz w:val="24"/>
          <w:szCs w:val="24"/>
        </w:rPr>
        <w:t>(f)</w:t>
      </w:r>
      <w:r w:rsidRPr="00A63D04">
        <w:rPr>
          <w:rFonts w:ascii="Times New Roman" w:hAnsi="Times New Roman" w:cs="Times New Roman"/>
          <w:b/>
          <w:sz w:val="24"/>
          <w:szCs w:val="24"/>
        </w:rPr>
        <w:tab/>
        <w:t>phần giá trị được ghi nhận vào báo cáo kết quả kinh doanh cho:</w:t>
      </w:r>
    </w:p>
    <w:p w:rsidR="00C628BA" w:rsidRPr="00A63D04" w:rsidRDefault="00C628BA" w:rsidP="0048656B">
      <w:pPr>
        <w:tabs>
          <w:tab w:val="left" w:pos="2160"/>
        </w:tabs>
        <w:spacing w:after="120" w:line="240" w:lineRule="auto"/>
        <w:ind w:left="2160" w:right="14" w:hanging="720"/>
        <w:jc w:val="both"/>
        <w:rPr>
          <w:rFonts w:ascii="Times New Roman" w:hAnsi="Times New Roman" w:cs="Times New Roman"/>
          <w:b/>
          <w:sz w:val="24"/>
          <w:szCs w:val="24"/>
        </w:rPr>
      </w:pPr>
      <w:r w:rsidRPr="00A63D04">
        <w:rPr>
          <w:rFonts w:ascii="Times New Roman" w:hAnsi="Times New Roman" w:cs="Times New Roman"/>
          <w:b/>
          <w:sz w:val="24"/>
          <w:szCs w:val="24"/>
        </w:rPr>
        <w:t>(i)</w:t>
      </w:r>
      <w:r w:rsidRPr="00A63D04">
        <w:rPr>
          <w:rFonts w:ascii="Times New Roman" w:hAnsi="Times New Roman" w:cs="Times New Roman"/>
          <w:b/>
          <w:sz w:val="24"/>
          <w:szCs w:val="24"/>
        </w:rPr>
        <w:tab/>
        <w:t>thu nhập từ tiền cho thuê của bất động sản đầu tư;</w:t>
      </w:r>
    </w:p>
    <w:p w:rsidR="00C628BA" w:rsidRPr="00A63D04" w:rsidRDefault="00C628BA" w:rsidP="0048656B">
      <w:pPr>
        <w:tabs>
          <w:tab w:val="left" w:pos="2160"/>
        </w:tabs>
        <w:spacing w:after="120" w:line="240" w:lineRule="auto"/>
        <w:ind w:left="2160" w:right="14" w:hanging="720"/>
        <w:jc w:val="both"/>
        <w:rPr>
          <w:rFonts w:ascii="Times New Roman" w:hAnsi="Times New Roman" w:cs="Times New Roman"/>
          <w:b/>
          <w:sz w:val="24"/>
          <w:szCs w:val="24"/>
        </w:rPr>
      </w:pPr>
      <w:r w:rsidRPr="00A63D04">
        <w:rPr>
          <w:rFonts w:ascii="Times New Roman" w:hAnsi="Times New Roman" w:cs="Times New Roman"/>
          <w:b/>
          <w:sz w:val="24"/>
          <w:szCs w:val="24"/>
        </w:rPr>
        <w:t>(ii)</w:t>
      </w:r>
      <w:r w:rsidRPr="00A63D04">
        <w:rPr>
          <w:rFonts w:ascii="Times New Roman" w:hAnsi="Times New Roman" w:cs="Times New Roman"/>
          <w:b/>
          <w:sz w:val="24"/>
          <w:szCs w:val="24"/>
        </w:rPr>
        <w:tab/>
        <w:t>chi phí hoạt động phát</w:t>
      </w:r>
      <w:r w:rsidR="00891EF6">
        <w:rPr>
          <w:rFonts w:ascii="Times New Roman" w:hAnsi="Times New Roman" w:cs="Times New Roman"/>
          <w:b/>
          <w:sz w:val="24"/>
          <w:szCs w:val="24"/>
        </w:rPr>
        <w:t xml:space="preserve"> sinh</w:t>
      </w:r>
      <w:r w:rsidRPr="00A63D04">
        <w:rPr>
          <w:rFonts w:ascii="Times New Roman" w:hAnsi="Times New Roman" w:cs="Times New Roman"/>
          <w:b/>
          <w:sz w:val="24"/>
          <w:szCs w:val="24"/>
        </w:rPr>
        <w:t xml:space="preserve"> (bao gồm cả sửa chữa và bảo trì) liên quan trực tiếp tới bất động sản </w:t>
      </w:r>
      <w:r w:rsidR="00B70821" w:rsidRPr="00A63D04">
        <w:rPr>
          <w:rFonts w:ascii="Times New Roman" w:hAnsi="Times New Roman" w:cs="Times New Roman"/>
          <w:b/>
          <w:sz w:val="24"/>
          <w:szCs w:val="24"/>
        </w:rPr>
        <w:t>đầu tư</w:t>
      </w:r>
      <w:r w:rsidRPr="00A63D04">
        <w:rPr>
          <w:rFonts w:ascii="Times New Roman" w:hAnsi="Times New Roman" w:cs="Times New Roman"/>
          <w:b/>
          <w:sz w:val="24"/>
          <w:szCs w:val="24"/>
        </w:rPr>
        <w:t xml:space="preserve"> có </w:t>
      </w:r>
      <w:r w:rsidR="00891EF6">
        <w:rPr>
          <w:rFonts w:ascii="Times New Roman" w:hAnsi="Times New Roman" w:cs="Times New Roman"/>
          <w:b/>
          <w:sz w:val="24"/>
          <w:szCs w:val="24"/>
        </w:rPr>
        <w:t>tạo ra</w:t>
      </w:r>
      <w:r w:rsidRPr="00A63D04">
        <w:rPr>
          <w:rFonts w:ascii="Times New Roman" w:hAnsi="Times New Roman" w:cs="Times New Roman"/>
          <w:b/>
          <w:sz w:val="24"/>
          <w:szCs w:val="24"/>
        </w:rPr>
        <w:t xml:space="preserve"> thu nhập từ tiền cho thuê trong kỳ;</w:t>
      </w:r>
    </w:p>
    <w:p w:rsidR="00B70821" w:rsidRPr="00A63D04" w:rsidRDefault="00C628BA" w:rsidP="0048656B">
      <w:pPr>
        <w:tabs>
          <w:tab w:val="left" w:pos="2160"/>
        </w:tabs>
        <w:spacing w:after="120" w:line="240" w:lineRule="auto"/>
        <w:ind w:left="2160" w:right="14" w:hanging="720"/>
        <w:jc w:val="both"/>
        <w:rPr>
          <w:rFonts w:ascii="Times New Roman" w:hAnsi="Times New Roman" w:cs="Times New Roman"/>
          <w:b/>
          <w:sz w:val="24"/>
          <w:szCs w:val="24"/>
        </w:rPr>
      </w:pPr>
      <w:r w:rsidRPr="00A63D04">
        <w:rPr>
          <w:rFonts w:ascii="Times New Roman" w:hAnsi="Times New Roman" w:cs="Times New Roman"/>
          <w:b/>
          <w:sz w:val="24"/>
          <w:szCs w:val="24"/>
        </w:rPr>
        <w:t>(iii)</w:t>
      </w:r>
      <w:r w:rsidRPr="00A63D04">
        <w:rPr>
          <w:rFonts w:ascii="Times New Roman" w:hAnsi="Times New Roman" w:cs="Times New Roman"/>
          <w:b/>
          <w:sz w:val="24"/>
          <w:szCs w:val="24"/>
        </w:rPr>
        <w:tab/>
      </w:r>
      <w:r w:rsidR="00B70821" w:rsidRPr="00A63D04">
        <w:rPr>
          <w:rFonts w:ascii="Times New Roman" w:hAnsi="Times New Roman" w:cs="Times New Roman"/>
          <w:b/>
          <w:sz w:val="24"/>
          <w:szCs w:val="24"/>
        </w:rPr>
        <w:t xml:space="preserve">chi phí hoạt động phát </w:t>
      </w:r>
      <w:r w:rsidR="00891EF6">
        <w:rPr>
          <w:rFonts w:ascii="Times New Roman" w:hAnsi="Times New Roman" w:cs="Times New Roman"/>
          <w:b/>
          <w:sz w:val="24"/>
          <w:szCs w:val="24"/>
        </w:rPr>
        <w:t xml:space="preserve">sinh </w:t>
      </w:r>
      <w:r w:rsidR="00B70821" w:rsidRPr="00A63D04">
        <w:rPr>
          <w:rFonts w:ascii="Times New Roman" w:hAnsi="Times New Roman" w:cs="Times New Roman"/>
          <w:b/>
          <w:sz w:val="24"/>
          <w:szCs w:val="24"/>
        </w:rPr>
        <w:t xml:space="preserve">(bao gồm cả sửa chữa và bảo trì) liên quan trực tiếp tới bất động sản đầu tư không </w:t>
      </w:r>
      <w:r w:rsidR="00891EF6">
        <w:rPr>
          <w:rFonts w:ascii="Times New Roman" w:hAnsi="Times New Roman" w:cs="Times New Roman"/>
          <w:b/>
          <w:sz w:val="24"/>
          <w:szCs w:val="24"/>
        </w:rPr>
        <w:t>tạo ra</w:t>
      </w:r>
      <w:r w:rsidR="00B70821" w:rsidRPr="00A63D04">
        <w:rPr>
          <w:rFonts w:ascii="Times New Roman" w:hAnsi="Times New Roman" w:cs="Times New Roman"/>
          <w:b/>
          <w:sz w:val="24"/>
          <w:szCs w:val="24"/>
        </w:rPr>
        <w:t xml:space="preserve"> thu nhập từ tiền cho thuê trong kỳ;</w:t>
      </w:r>
    </w:p>
    <w:p w:rsidR="00B70821" w:rsidRPr="00A63D04" w:rsidRDefault="00A56926" w:rsidP="0048656B">
      <w:pPr>
        <w:tabs>
          <w:tab w:val="left" w:pos="2160"/>
        </w:tabs>
        <w:spacing w:after="120" w:line="240" w:lineRule="auto"/>
        <w:ind w:left="2160" w:right="14" w:hanging="720"/>
        <w:jc w:val="both"/>
        <w:rPr>
          <w:rFonts w:ascii="Times New Roman" w:hAnsi="Times New Roman" w:cs="Times New Roman"/>
          <w:b/>
          <w:sz w:val="24"/>
          <w:szCs w:val="24"/>
        </w:rPr>
      </w:pPr>
      <w:r w:rsidRPr="00A63D04">
        <w:rPr>
          <w:rFonts w:ascii="Times New Roman" w:hAnsi="Times New Roman" w:cs="Times New Roman"/>
          <w:b/>
          <w:sz w:val="24"/>
          <w:szCs w:val="24"/>
        </w:rPr>
        <w:t>(iv)</w:t>
      </w:r>
      <w:r w:rsidRPr="00A63D04">
        <w:rPr>
          <w:rFonts w:ascii="Times New Roman" w:hAnsi="Times New Roman" w:cs="Times New Roman"/>
          <w:b/>
          <w:sz w:val="24"/>
          <w:szCs w:val="24"/>
        </w:rPr>
        <w:tab/>
      </w:r>
      <w:r w:rsidR="00073FDF" w:rsidRPr="00A63D04">
        <w:rPr>
          <w:rFonts w:ascii="Times New Roman" w:hAnsi="Times New Roman" w:cs="Times New Roman"/>
          <w:b/>
          <w:sz w:val="24"/>
          <w:szCs w:val="24"/>
        </w:rPr>
        <w:t>giá trị lũy kế của ph</w:t>
      </w:r>
      <w:r w:rsidR="008A6F5F">
        <w:rPr>
          <w:rFonts w:ascii="Times New Roman" w:hAnsi="Times New Roman" w:cs="Times New Roman"/>
          <w:b/>
          <w:sz w:val="24"/>
          <w:szCs w:val="24"/>
        </w:rPr>
        <w:t>ầ</w:t>
      </w:r>
      <w:r w:rsidR="00073FDF" w:rsidRPr="00A63D04">
        <w:rPr>
          <w:rFonts w:ascii="Times New Roman" w:hAnsi="Times New Roman" w:cs="Times New Roman"/>
          <w:b/>
          <w:sz w:val="24"/>
          <w:szCs w:val="24"/>
        </w:rPr>
        <w:t>n thay đổi trong giá t</w:t>
      </w:r>
      <w:r w:rsidR="008A6F5F">
        <w:rPr>
          <w:rFonts w:ascii="Times New Roman" w:hAnsi="Times New Roman" w:cs="Times New Roman"/>
          <w:b/>
          <w:sz w:val="24"/>
          <w:szCs w:val="24"/>
        </w:rPr>
        <w:t>r</w:t>
      </w:r>
      <w:r w:rsidR="00073FDF" w:rsidRPr="00A63D04">
        <w:rPr>
          <w:rFonts w:ascii="Times New Roman" w:hAnsi="Times New Roman" w:cs="Times New Roman"/>
          <w:b/>
          <w:sz w:val="24"/>
          <w:szCs w:val="24"/>
        </w:rPr>
        <w:t>ị hợp lý được ghi nhận trong báo cáo kết quả kinh doanh phát sinh từ việc bán bất động sản đầu tư từ một nhóm tài sản áp dụng mô hình giá gốc vào một nhóm tài sản áp dụng mô hình giá trị hợp lý (tham khảo đoạn 32C).</w:t>
      </w:r>
    </w:p>
    <w:p w:rsidR="00073FDF" w:rsidRPr="00A63D04" w:rsidRDefault="00DB7B81" w:rsidP="0048656B">
      <w:pPr>
        <w:tabs>
          <w:tab w:val="left" w:pos="1440"/>
        </w:tabs>
        <w:spacing w:after="120" w:line="240" w:lineRule="auto"/>
        <w:ind w:left="1440" w:right="14" w:hanging="720"/>
        <w:jc w:val="both"/>
        <w:rPr>
          <w:rFonts w:ascii="Times New Roman" w:hAnsi="Times New Roman" w:cs="Times New Roman"/>
          <w:b/>
          <w:sz w:val="24"/>
          <w:szCs w:val="24"/>
        </w:rPr>
      </w:pPr>
      <w:r w:rsidRPr="00A63D04">
        <w:rPr>
          <w:rFonts w:ascii="Times New Roman" w:hAnsi="Times New Roman" w:cs="Times New Roman"/>
          <w:b/>
          <w:sz w:val="24"/>
          <w:szCs w:val="24"/>
        </w:rPr>
        <w:lastRenderedPageBreak/>
        <w:t>(g)</w:t>
      </w:r>
      <w:r w:rsidRPr="00A63D04">
        <w:rPr>
          <w:rFonts w:ascii="Times New Roman" w:hAnsi="Times New Roman" w:cs="Times New Roman"/>
          <w:b/>
          <w:sz w:val="24"/>
          <w:szCs w:val="24"/>
        </w:rPr>
        <w:tab/>
      </w:r>
      <w:r w:rsidR="00A34A0D" w:rsidRPr="00A63D04">
        <w:rPr>
          <w:rFonts w:ascii="Times New Roman" w:hAnsi="Times New Roman" w:cs="Times New Roman"/>
          <w:b/>
          <w:sz w:val="24"/>
          <w:szCs w:val="24"/>
        </w:rPr>
        <w:t>sự tồn tại và phần giá trị bị giới hạn trong quá trình ghi nhận giá trị bất động sản đầu tư hoặc thu nhập được chi trả và thu nhập từ thanh lý.</w:t>
      </w:r>
    </w:p>
    <w:p w:rsidR="00A34A0D" w:rsidRPr="00A63D04" w:rsidRDefault="00A34A0D" w:rsidP="0048656B">
      <w:pPr>
        <w:tabs>
          <w:tab w:val="left" w:pos="1440"/>
        </w:tabs>
        <w:spacing w:after="120" w:line="240" w:lineRule="auto"/>
        <w:ind w:left="1440" w:right="14" w:hanging="720"/>
        <w:jc w:val="both"/>
        <w:rPr>
          <w:rFonts w:ascii="Times New Roman" w:hAnsi="Times New Roman" w:cs="Times New Roman"/>
          <w:b/>
          <w:sz w:val="24"/>
          <w:szCs w:val="24"/>
        </w:rPr>
      </w:pPr>
      <w:r w:rsidRPr="00A63D04">
        <w:rPr>
          <w:rFonts w:ascii="Times New Roman" w:hAnsi="Times New Roman" w:cs="Times New Roman"/>
          <w:b/>
          <w:sz w:val="24"/>
          <w:szCs w:val="24"/>
        </w:rPr>
        <w:t>(h)</w:t>
      </w:r>
      <w:r w:rsidRPr="00A63D04">
        <w:rPr>
          <w:rFonts w:ascii="Times New Roman" w:hAnsi="Times New Roman" w:cs="Times New Roman"/>
          <w:b/>
          <w:sz w:val="24"/>
          <w:szCs w:val="24"/>
        </w:rPr>
        <w:tab/>
        <w:t>nghĩa vụ hợp đồng mua, thi công hoặc phát triển bất động sản đầu tư hoặc để sửa chữa, bảo trì hoặc cải thiện.</w:t>
      </w:r>
    </w:p>
    <w:p w:rsidR="00A63D04" w:rsidRDefault="00A63D04" w:rsidP="0048656B">
      <w:pPr>
        <w:tabs>
          <w:tab w:val="left" w:pos="720"/>
        </w:tabs>
        <w:spacing w:after="120" w:line="240" w:lineRule="auto"/>
        <w:ind w:left="720" w:right="14" w:hanging="720"/>
        <w:jc w:val="both"/>
        <w:rPr>
          <w:rFonts w:ascii="Arial" w:hAnsi="Arial" w:cs="Arial"/>
          <w:b/>
          <w:sz w:val="28"/>
          <w:szCs w:val="24"/>
        </w:rPr>
      </w:pPr>
    </w:p>
    <w:p w:rsidR="00A34A0D" w:rsidRDefault="00A63D04" w:rsidP="0048656B">
      <w:pPr>
        <w:tabs>
          <w:tab w:val="left" w:pos="720"/>
        </w:tabs>
        <w:spacing w:after="120" w:line="240" w:lineRule="auto"/>
        <w:ind w:left="720" w:right="14" w:hanging="720"/>
        <w:jc w:val="both"/>
        <w:rPr>
          <w:rFonts w:ascii="Arial" w:hAnsi="Arial" w:cs="Arial"/>
          <w:b/>
          <w:sz w:val="28"/>
          <w:szCs w:val="24"/>
        </w:rPr>
      </w:pPr>
      <w:r>
        <w:rPr>
          <w:rFonts w:ascii="Arial" w:hAnsi="Arial" w:cs="Arial"/>
          <w:b/>
          <w:sz w:val="28"/>
          <w:szCs w:val="24"/>
        </w:rPr>
        <w:tab/>
      </w:r>
      <w:r w:rsidRPr="00A63D04">
        <w:rPr>
          <w:rFonts w:ascii="Arial" w:hAnsi="Arial" w:cs="Arial"/>
          <w:b/>
          <w:sz w:val="28"/>
          <w:szCs w:val="24"/>
        </w:rPr>
        <w:t>Mô hình giá trị hợp lý</w:t>
      </w:r>
    </w:p>
    <w:p w:rsidR="00A63D04" w:rsidRDefault="00A63D04" w:rsidP="0048656B">
      <w:pPr>
        <w:tabs>
          <w:tab w:val="left" w:pos="720"/>
        </w:tabs>
        <w:spacing w:after="120" w:line="240" w:lineRule="auto"/>
        <w:ind w:left="720" w:right="14" w:hanging="720"/>
        <w:jc w:val="both"/>
        <w:rPr>
          <w:rFonts w:ascii="Times New Roman" w:hAnsi="Times New Roman" w:cs="Times New Roman"/>
          <w:b/>
          <w:sz w:val="24"/>
          <w:szCs w:val="24"/>
        </w:rPr>
      </w:pPr>
      <w:r w:rsidRPr="00A63D04">
        <w:rPr>
          <w:rFonts w:ascii="Times New Roman" w:hAnsi="Times New Roman" w:cs="Times New Roman"/>
          <w:b/>
          <w:sz w:val="24"/>
          <w:szCs w:val="24"/>
        </w:rPr>
        <w:t>76</w:t>
      </w:r>
      <w:r w:rsidRPr="00A63D04">
        <w:rPr>
          <w:rFonts w:ascii="Times New Roman" w:hAnsi="Times New Roman" w:cs="Times New Roman"/>
          <w:b/>
          <w:sz w:val="24"/>
          <w:szCs w:val="24"/>
        </w:rPr>
        <w:tab/>
      </w:r>
      <w:r w:rsidR="002A6388">
        <w:rPr>
          <w:rFonts w:ascii="Times New Roman" w:hAnsi="Times New Roman" w:cs="Times New Roman"/>
          <w:b/>
          <w:sz w:val="24"/>
          <w:szCs w:val="24"/>
        </w:rPr>
        <w:t>Ngoài các yêu cầu công bố thông tin tại đoạn 75, đơn vị áp dụng mô hình giá trị hợp lý như tại các đoạn từ 33 đến 55 cần công bố thông tin đối chiếu giữa giá trị ghi sổ của bất động sản đầu tư tại thời điểm bắt đầu và kết thúc của kỳ, thể hiện các thông tin sau:</w:t>
      </w:r>
    </w:p>
    <w:p w:rsidR="002A6388" w:rsidRDefault="002A6388"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 xml:space="preserve">các khoản </w:t>
      </w:r>
      <w:r w:rsidR="003A6FD7">
        <w:rPr>
          <w:rFonts w:ascii="Times New Roman" w:hAnsi="Times New Roman" w:cs="Times New Roman"/>
          <w:b/>
          <w:sz w:val="24"/>
          <w:szCs w:val="24"/>
        </w:rPr>
        <w:t>tăng thêm</w:t>
      </w:r>
      <w:r>
        <w:rPr>
          <w:rFonts w:ascii="Times New Roman" w:hAnsi="Times New Roman" w:cs="Times New Roman"/>
          <w:b/>
          <w:sz w:val="24"/>
          <w:szCs w:val="24"/>
        </w:rPr>
        <w:t xml:space="preserve">, công bố thông tin riêng </w:t>
      </w:r>
      <w:r w:rsidR="00A22C41">
        <w:rPr>
          <w:rFonts w:ascii="Times New Roman" w:hAnsi="Times New Roman" w:cs="Times New Roman"/>
          <w:b/>
          <w:sz w:val="24"/>
          <w:szCs w:val="24"/>
        </w:rPr>
        <w:t>về các</w:t>
      </w:r>
      <w:r>
        <w:rPr>
          <w:rFonts w:ascii="Times New Roman" w:hAnsi="Times New Roman" w:cs="Times New Roman"/>
          <w:b/>
          <w:sz w:val="24"/>
          <w:szCs w:val="24"/>
        </w:rPr>
        <w:t xml:space="preserve"> khoản </w:t>
      </w:r>
      <w:r w:rsidR="003A6FD7">
        <w:rPr>
          <w:rFonts w:ascii="Times New Roman" w:hAnsi="Times New Roman" w:cs="Times New Roman"/>
          <w:b/>
          <w:sz w:val="24"/>
          <w:szCs w:val="24"/>
        </w:rPr>
        <w:t>tăng thêm</w:t>
      </w:r>
      <w:r>
        <w:rPr>
          <w:rFonts w:ascii="Times New Roman" w:hAnsi="Times New Roman" w:cs="Times New Roman"/>
          <w:b/>
          <w:sz w:val="24"/>
          <w:szCs w:val="24"/>
        </w:rPr>
        <w:t xml:space="preserve"> phát sinh từ việc mua mới và khoản phát sinh từ chi phí </w:t>
      </w:r>
      <w:r w:rsidR="006040EF">
        <w:rPr>
          <w:rFonts w:ascii="Times New Roman" w:hAnsi="Times New Roman" w:cs="Times New Roman"/>
          <w:b/>
          <w:sz w:val="24"/>
          <w:szCs w:val="24"/>
        </w:rPr>
        <w:t>sau thời điểm ban đầu</w:t>
      </w:r>
      <w:r>
        <w:rPr>
          <w:rFonts w:ascii="Times New Roman" w:hAnsi="Times New Roman" w:cs="Times New Roman"/>
          <w:b/>
          <w:sz w:val="24"/>
          <w:szCs w:val="24"/>
        </w:rPr>
        <w:t xml:space="preserve"> ghi nhận vào giá trị </w:t>
      </w:r>
      <w:r w:rsidR="00A22C41">
        <w:rPr>
          <w:rFonts w:ascii="Times New Roman" w:hAnsi="Times New Roman" w:cs="Times New Roman"/>
          <w:b/>
          <w:sz w:val="24"/>
          <w:szCs w:val="24"/>
        </w:rPr>
        <w:t>ghi sổ</w:t>
      </w:r>
      <w:r>
        <w:rPr>
          <w:rFonts w:ascii="Times New Roman" w:hAnsi="Times New Roman" w:cs="Times New Roman"/>
          <w:b/>
          <w:sz w:val="24"/>
          <w:szCs w:val="24"/>
        </w:rPr>
        <w:t xml:space="preserve"> của tài sản;</w:t>
      </w:r>
    </w:p>
    <w:p w:rsidR="002A6388" w:rsidRDefault="002A6388"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680470">
        <w:rPr>
          <w:rFonts w:ascii="Times New Roman" w:hAnsi="Times New Roman" w:cs="Times New Roman"/>
          <w:b/>
          <w:sz w:val="24"/>
          <w:szCs w:val="24"/>
        </w:rPr>
        <w:t xml:space="preserve">các khoản </w:t>
      </w:r>
      <w:r w:rsidR="003A6FD7">
        <w:rPr>
          <w:rFonts w:ascii="Times New Roman" w:hAnsi="Times New Roman" w:cs="Times New Roman"/>
          <w:b/>
          <w:sz w:val="24"/>
          <w:szCs w:val="24"/>
        </w:rPr>
        <w:t>tăng thêm</w:t>
      </w:r>
      <w:r w:rsidR="00680470">
        <w:rPr>
          <w:rFonts w:ascii="Times New Roman" w:hAnsi="Times New Roman" w:cs="Times New Roman"/>
          <w:b/>
          <w:sz w:val="24"/>
          <w:szCs w:val="24"/>
        </w:rPr>
        <w:t xml:space="preserve"> phát sinh từ việc mua mới thông qua giao dịch hợp nhất kinh doanh;</w:t>
      </w:r>
    </w:p>
    <w:p w:rsidR="00680470" w:rsidRDefault="00680470"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E7008B">
        <w:rPr>
          <w:rFonts w:ascii="Times New Roman" w:hAnsi="Times New Roman" w:cs="Times New Roman"/>
          <w:b/>
          <w:sz w:val="24"/>
          <w:szCs w:val="24"/>
        </w:rPr>
        <w:t>tài sản được phân loại là nắm giữ để bán hoặc bao gồm trong một nhóm thanh lý được phân loại là nắm giữ để bán theo IFRS 5 và các phần thanh lý khác;</w:t>
      </w:r>
    </w:p>
    <w:p w:rsidR="00E7008B" w:rsidRDefault="00E7008B"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thu nhập hoặc lỗ thuần từ việc điều chỉnh giá trị hợp lý;</w:t>
      </w:r>
    </w:p>
    <w:p w:rsidR="00C92AFB" w:rsidRDefault="00E7008B"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00C92AFB">
        <w:rPr>
          <w:rFonts w:ascii="Times New Roman" w:hAnsi="Times New Roman" w:cs="Times New Roman"/>
          <w:b/>
          <w:sz w:val="24"/>
          <w:szCs w:val="24"/>
        </w:rPr>
        <w:t>chênh lệch tỷ giá t</w:t>
      </w:r>
      <w:r w:rsidR="00160D90">
        <w:rPr>
          <w:rFonts w:ascii="Times New Roman" w:hAnsi="Times New Roman" w:cs="Times New Roman"/>
          <w:b/>
          <w:sz w:val="24"/>
          <w:szCs w:val="24"/>
        </w:rPr>
        <w:t>h</w:t>
      </w:r>
      <w:r w:rsidR="00C92AFB">
        <w:rPr>
          <w:rFonts w:ascii="Times New Roman" w:hAnsi="Times New Roman" w:cs="Times New Roman"/>
          <w:b/>
          <w:sz w:val="24"/>
          <w:szCs w:val="24"/>
        </w:rPr>
        <w:t>uần phát sinh từ việc chuyển</w:t>
      </w:r>
      <w:r w:rsidR="00A22C41">
        <w:rPr>
          <w:rFonts w:ascii="Times New Roman" w:hAnsi="Times New Roman" w:cs="Times New Roman"/>
          <w:b/>
          <w:sz w:val="24"/>
          <w:szCs w:val="24"/>
        </w:rPr>
        <w:t xml:space="preserve"> đổi</w:t>
      </w:r>
      <w:r w:rsidR="00C92AFB">
        <w:rPr>
          <w:rFonts w:ascii="Times New Roman" w:hAnsi="Times New Roman" w:cs="Times New Roman"/>
          <w:b/>
          <w:sz w:val="24"/>
          <w:szCs w:val="24"/>
        </w:rPr>
        <w:t xml:space="preserve"> báo cáo tài chính sang một đồng tiền báo cáo khác, và từ chuyển việc trình bày của hoạt động kinh doanh </w:t>
      </w:r>
      <w:r w:rsidR="003A6FD7">
        <w:rPr>
          <w:rFonts w:ascii="Times New Roman" w:hAnsi="Times New Roman" w:cs="Times New Roman"/>
          <w:b/>
          <w:sz w:val="24"/>
          <w:szCs w:val="24"/>
        </w:rPr>
        <w:t xml:space="preserve">tại </w:t>
      </w:r>
      <w:r w:rsidR="00C92AFB">
        <w:rPr>
          <w:rFonts w:ascii="Times New Roman" w:hAnsi="Times New Roman" w:cs="Times New Roman"/>
          <w:b/>
          <w:sz w:val="24"/>
          <w:szCs w:val="24"/>
        </w:rPr>
        <w:t>nước ngoài về đồng tiền báo cáo của đơn vị</w:t>
      </w:r>
      <w:r w:rsidR="00160D90">
        <w:rPr>
          <w:rFonts w:ascii="Times New Roman" w:hAnsi="Times New Roman" w:cs="Times New Roman"/>
          <w:b/>
          <w:sz w:val="24"/>
          <w:szCs w:val="24"/>
        </w:rPr>
        <w:t>;</w:t>
      </w:r>
    </w:p>
    <w:p w:rsidR="00E7008B" w:rsidRDefault="00C92AFB"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rPr>
        <w:tab/>
      </w:r>
      <w:r w:rsidR="00EE0E95">
        <w:rPr>
          <w:rFonts w:ascii="Times New Roman" w:hAnsi="Times New Roman" w:cs="Times New Roman"/>
          <w:b/>
          <w:sz w:val="24"/>
          <w:szCs w:val="24"/>
        </w:rPr>
        <w:t>chuyển loại bất sộng sản thành hàng tồn kho và bất động sản chủ sở hữu sử dụng</w:t>
      </w:r>
      <w:r w:rsidR="00A22C41">
        <w:rPr>
          <w:rFonts w:ascii="Times New Roman" w:hAnsi="Times New Roman" w:cs="Times New Roman"/>
          <w:b/>
          <w:sz w:val="24"/>
          <w:szCs w:val="24"/>
        </w:rPr>
        <w:t xml:space="preserve"> và ngược lại</w:t>
      </w:r>
      <w:r w:rsidR="00EE0E95">
        <w:rPr>
          <w:rFonts w:ascii="Times New Roman" w:hAnsi="Times New Roman" w:cs="Times New Roman"/>
          <w:b/>
          <w:sz w:val="24"/>
          <w:szCs w:val="24"/>
        </w:rPr>
        <w:t>; và</w:t>
      </w:r>
    </w:p>
    <w:p w:rsidR="00EE0E95" w:rsidRDefault="00EE0E95"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(g)</w:t>
      </w:r>
      <w:r>
        <w:rPr>
          <w:rFonts w:ascii="Times New Roman" w:hAnsi="Times New Roman" w:cs="Times New Roman"/>
          <w:b/>
          <w:sz w:val="24"/>
          <w:szCs w:val="24"/>
        </w:rPr>
        <w:tab/>
        <w:t>các thay đổi khác.</w:t>
      </w:r>
    </w:p>
    <w:p w:rsidR="00EE0E95" w:rsidRDefault="00283017" w:rsidP="0048656B">
      <w:pPr>
        <w:tabs>
          <w:tab w:val="left" w:pos="720"/>
        </w:tabs>
        <w:spacing w:after="120" w:line="240" w:lineRule="auto"/>
        <w:ind w:left="720" w:right="14" w:hanging="720"/>
        <w:jc w:val="both"/>
        <w:rPr>
          <w:rFonts w:ascii="Times New Roman" w:hAnsi="Times New Roman" w:cs="Times New Roman"/>
          <w:b/>
          <w:sz w:val="24"/>
          <w:szCs w:val="24"/>
        </w:rPr>
      </w:pPr>
      <w:r>
        <w:rPr>
          <w:rFonts w:ascii="Times New Roman" w:hAnsi="Times New Roman" w:cs="Times New Roman"/>
          <w:b/>
          <w:sz w:val="24"/>
          <w:szCs w:val="24"/>
        </w:rPr>
        <w:t>77</w:t>
      </w:r>
      <w:r>
        <w:rPr>
          <w:rFonts w:ascii="Times New Roman" w:hAnsi="Times New Roman" w:cs="Times New Roman"/>
          <w:b/>
          <w:sz w:val="24"/>
          <w:szCs w:val="24"/>
        </w:rPr>
        <w:tab/>
        <w:t xml:space="preserve">Khi việc định giá cho một bất động sản đầu tư bị điều chỉnh đáng kể để phục vụ báo cáo tài chính, ví dụ để tránh việc ghi nhận hai lần tài sản và nợ phải trả đã được ghi nhận riêng biệt theo đoạn 50, </w:t>
      </w:r>
      <w:r w:rsidR="005515D8">
        <w:rPr>
          <w:rFonts w:ascii="Times New Roman" w:hAnsi="Times New Roman" w:cs="Times New Roman"/>
          <w:b/>
          <w:sz w:val="24"/>
          <w:szCs w:val="24"/>
        </w:rPr>
        <w:t xml:space="preserve">đơn vị cần công bố thông tin đối chiếu giữa giá trị định giá và giá trị định giá bị điều chỉnh trong báo cáo tài chính, thể hiện riêng biệt phần giá trị tổng hợp của nợ phải trả </w:t>
      </w:r>
      <w:r w:rsidR="00620A27">
        <w:rPr>
          <w:rFonts w:ascii="Times New Roman" w:hAnsi="Times New Roman" w:cs="Times New Roman"/>
          <w:b/>
          <w:sz w:val="24"/>
          <w:szCs w:val="24"/>
        </w:rPr>
        <w:t>trong giao dịch</w:t>
      </w:r>
      <w:r w:rsidR="005515D8">
        <w:rPr>
          <w:rFonts w:ascii="Times New Roman" w:hAnsi="Times New Roman" w:cs="Times New Roman"/>
          <w:b/>
          <w:sz w:val="24"/>
          <w:szCs w:val="24"/>
        </w:rPr>
        <w:t xml:space="preserve"> cho thuê đã ghi nhận được cộng ngược trở lại, và bất kỳ điều chỉnh đáng kể </w:t>
      </w:r>
      <w:r w:rsidR="00D8319B">
        <w:rPr>
          <w:rFonts w:ascii="Times New Roman" w:hAnsi="Times New Roman" w:cs="Times New Roman"/>
          <w:b/>
          <w:sz w:val="24"/>
          <w:szCs w:val="24"/>
        </w:rPr>
        <w:t xml:space="preserve">nào </w:t>
      </w:r>
      <w:r w:rsidR="005515D8">
        <w:rPr>
          <w:rFonts w:ascii="Times New Roman" w:hAnsi="Times New Roman" w:cs="Times New Roman"/>
          <w:b/>
          <w:sz w:val="24"/>
          <w:szCs w:val="24"/>
        </w:rPr>
        <w:t>khác.</w:t>
      </w:r>
    </w:p>
    <w:p w:rsidR="00A96E1E" w:rsidRDefault="00C874D1" w:rsidP="0048656B">
      <w:pPr>
        <w:tabs>
          <w:tab w:val="left" w:pos="720"/>
        </w:tabs>
        <w:spacing w:after="120" w:line="240" w:lineRule="auto"/>
        <w:ind w:left="720" w:right="14" w:hanging="720"/>
        <w:jc w:val="both"/>
        <w:rPr>
          <w:rFonts w:ascii="Times New Roman" w:hAnsi="Times New Roman" w:cs="Times New Roman"/>
          <w:b/>
          <w:sz w:val="24"/>
          <w:szCs w:val="24"/>
        </w:rPr>
      </w:pPr>
      <w:r>
        <w:rPr>
          <w:rFonts w:ascii="Times New Roman" w:hAnsi="Times New Roman" w:cs="Times New Roman"/>
          <w:b/>
          <w:sz w:val="24"/>
          <w:szCs w:val="24"/>
        </w:rPr>
        <w:t>78</w:t>
      </w:r>
      <w:r>
        <w:rPr>
          <w:rFonts w:ascii="Times New Roman" w:hAnsi="Times New Roman" w:cs="Times New Roman"/>
          <w:b/>
          <w:sz w:val="24"/>
          <w:szCs w:val="24"/>
        </w:rPr>
        <w:tab/>
      </w:r>
      <w:r w:rsidR="00D71407">
        <w:rPr>
          <w:rFonts w:ascii="Times New Roman" w:hAnsi="Times New Roman" w:cs="Times New Roman"/>
          <w:b/>
          <w:sz w:val="24"/>
          <w:szCs w:val="24"/>
        </w:rPr>
        <w:t>Trong các trường hợp đặc biệt nêu tại đoạn 53, khi một đơn vị định giá bất động sản đầu tư sử dụng mô hình giá gốc theo IAS 16 hoặc IFRS 16, việ</w:t>
      </w:r>
      <w:r w:rsidR="00D8319B">
        <w:rPr>
          <w:rFonts w:ascii="Times New Roman" w:hAnsi="Times New Roman" w:cs="Times New Roman"/>
          <w:b/>
          <w:sz w:val="24"/>
          <w:szCs w:val="24"/>
        </w:rPr>
        <w:t>c</w:t>
      </w:r>
      <w:r w:rsidR="00D71407">
        <w:rPr>
          <w:rFonts w:ascii="Times New Roman" w:hAnsi="Times New Roman" w:cs="Times New Roman"/>
          <w:b/>
          <w:sz w:val="24"/>
          <w:szCs w:val="24"/>
        </w:rPr>
        <w:t xml:space="preserve"> đối chiếu theo quy định tại đoạn 76 phải công bố được thông tin về các khoản liên quan đến một bất động sản đầu tư cụ thể một cách riêng biệt khỏi các khoản liên quan đến các bất động sản đầu tư khác. </w:t>
      </w:r>
      <w:r w:rsidR="00A96E1E">
        <w:rPr>
          <w:rFonts w:ascii="Times New Roman" w:hAnsi="Times New Roman" w:cs="Times New Roman"/>
          <w:b/>
          <w:sz w:val="24"/>
          <w:szCs w:val="24"/>
        </w:rPr>
        <w:t>Ngoài ra, đơn vị phải công bố các thông tin về:</w:t>
      </w:r>
    </w:p>
    <w:p w:rsidR="00A96E1E" w:rsidRDefault="00A96E1E"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5D286C">
        <w:rPr>
          <w:rFonts w:ascii="Times New Roman" w:hAnsi="Times New Roman" w:cs="Times New Roman"/>
          <w:b/>
          <w:sz w:val="24"/>
          <w:szCs w:val="24"/>
        </w:rPr>
        <w:t>mô tả</w:t>
      </w:r>
      <w:r>
        <w:rPr>
          <w:rFonts w:ascii="Times New Roman" w:hAnsi="Times New Roman" w:cs="Times New Roman"/>
          <w:b/>
          <w:sz w:val="24"/>
          <w:szCs w:val="24"/>
        </w:rPr>
        <w:t xml:space="preserve"> về bất động sản đầu tư;</w:t>
      </w:r>
    </w:p>
    <w:p w:rsidR="00A96E1E" w:rsidRDefault="00A96E1E"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giải thích nguyên nhân không thể định giá được bất động sản đầu tư một cách đáng tin cậy;</w:t>
      </w:r>
    </w:p>
    <w:p w:rsidR="00A96E1E" w:rsidRDefault="00A96E1E"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lastRenderedPageBreak/>
        <w:t>(c)</w:t>
      </w:r>
      <w:r>
        <w:rPr>
          <w:rFonts w:ascii="Times New Roman" w:hAnsi="Times New Roman" w:cs="Times New Roman"/>
          <w:b/>
          <w:sz w:val="24"/>
          <w:szCs w:val="24"/>
        </w:rPr>
        <w:tab/>
      </w:r>
      <w:r w:rsidR="00523185">
        <w:rPr>
          <w:rFonts w:ascii="Times New Roman" w:hAnsi="Times New Roman" w:cs="Times New Roman"/>
          <w:b/>
          <w:sz w:val="24"/>
          <w:szCs w:val="24"/>
        </w:rPr>
        <w:t xml:space="preserve">nếu có thể, </w:t>
      </w:r>
      <w:r w:rsidR="00DB7B7C">
        <w:rPr>
          <w:rFonts w:ascii="Times New Roman" w:hAnsi="Times New Roman" w:cs="Times New Roman"/>
          <w:b/>
          <w:sz w:val="24"/>
          <w:szCs w:val="24"/>
        </w:rPr>
        <w:t>khoảng giá trị ước tính mà giá trị hợp lý có khả năng cao sẽ nằm trong; và</w:t>
      </w:r>
    </w:p>
    <w:p w:rsidR="00DB7B7C" w:rsidRDefault="00DB7B7C"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trong trường hợp thanh lý bất động sản đầu tư không thể thực hiện theo giá trị hợp lý:</w:t>
      </w:r>
    </w:p>
    <w:p w:rsidR="00DB7B7C" w:rsidRDefault="00DB7B7C"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r>
      <w:r w:rsidR="00DF0BD6">
        <w:rPr>
          <w:rFonts w:ascii="Times New Roman" w:hAnsi="Times New Roman" w:cs="Times New Roman"/>
          <w:b/>
          <w:sz w:val="24"/>
          <w:szCs w:val="24"/>
        </w:rPr>
        <w:t>thông báo việc đơn vị đã thanh lý bất động sản đầu tư không tại giá trị hợp lý của chúng;</w:t>
      </w:r>
    </w:p>
    <w:p w:rsidR="00DF0BD6" w:rsidRDefault="00DF0BD6"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thông báo giá trị ghi sổ của bất động sản đầu tư tại thời điểm bán; và</w:t>
      </w:r>
    </w:p>
    <w:p w:rsidR="00DF0BD6" w:rsidRDefault="00DF0BD6"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giá trị thu nhập hoặc lỗ đã ghi nhận.</w:t>
      </w:r>
    </w:p>
    <w:p w:rsidR="00DF0BD6" w:rsidRDefault="00070862" w:rsidP="0048656B">
      <w:pPr>
        <w:tabs>
          <w:tab w:val="left" w:pos="720"/>
        </w:tabs>
        <w:spacing w:after="120" w:line="240" w:lineRule="auto"/>
        <w:ind w:left="720" w:right="14" w:hanging="720"/>
        <w:jc w:val="both"/>
        <w:rPr>
          <w:rFonts w:ascii="Arial" w:hAnsi="Arial" w:cs="Arial"/>
          <w:b/>
          <w:sz w:val="28"/>
          <w:szCs w:val="24"/>
        </w:rPr>
      </w:pPr>
      <w:r>
        <w:rPr>
          <w:rFonts w:ascii="Arial" w:hAnsi="Arial" w:cs="Arial"/>
          <w:b/>
          <w:sz w:val="28"/>
          <w:szCs w:val="24"/>
        </w:rPr>
        <w:tab/>
      </w:r>
      <w:r w:rsidRPr="00070862">
        <w:rPr>
          <w:rFonts w:ascii="Arial" w:hAnsi="Arial" w:cs="Arial"/>
          <w:b/>
          <w:sz w:val="28"/>
          <w:szCs w:val="24"/>
        </w:rPr>
        <w:t>Mô hình giá gốc</w:t>
      </w:r>
    </w:p>
    <w:p w:rsidR="00070862" w:rsidRDefault="00070862" w:rsidP="0048656B">
      <w:pPr>
        <w:tabs>
          <w:tab w:val="left" w:pos="720"/>
        </w:tabs>
        <w:spacing w:after="120" w:line="240" w:lineRule="auto"/>
        <w:ind w:left="720" w:right="14" w:hanging="720"/>
        <w:jc w:val="both"/>
        <w:rPr>
          <w:rFonts w:ascii="Times New Roman" w:hAnsi="Times New Roman" w:cs="Times New Roman"/>
          <w:b/>
          <w:sz w:val="24"/>
          <w:szCs w:val="24"/>
        </w:rPr>
      </w:pPr>
      <w:r w:rsidRPr="00070862">
        <w:rPr>
          <w:rFonts w:ascii="Times New Roman" w:hAnsi="Times New Roman" w:cs="Times New Roman"/>
          <w:b/>
          <w:sz w:val="24"/>
          <w:szCs w:val="24"/>
        </w:rPr>
        <w:t>79</w:t>
      </w:r>
      <w:r>
        <w:rPr>
          <w:rFonts w:ascii="Times New Roman" w:hAnsi="Times New Roman" w:cs="Times New Roman"/>
          <w:b/>
          <w:sz w:val="24"/>
          <w:szCs w:val="24"/>
        </w:rPr>
        <w:tab/>
        <w:t>Ngoài các thông tin cần công bố theo yêu cầu tại đoạn 75, đơn vị áp dụng mô hình giá gốc theo đoạn 56 phải công bố:</w:t>
      </w:r>
    </w:p>
    <w:p w:rsidR="00070862" w:rsidRDefault="00070862"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phương pháp khấu hao sử dụng;</w:t>
      </w:r>
    </w:p>
    <w:p w:rsidR="00070862" w:rsidRDefault="00070862"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thời gian sử dụng hữu ích hoặc tỷ lệ khấu hao sử dụng;</w:t>
      </w:r>
    </w:p>
    <w:p w:rsidR="00070862" w:rsidRDefault="00070862"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275220">
        <w:rPr>
          <w:rFonts w:ascii="Times New Roman" w:hAnsi="Times New Roman" w:cs="Times New Roman"/>
          <w:b/>
          <w:sz w:val="24"/>
          <w:szCs w:val="24"/>
        </w:rPr>
        <w:t>giá trị ghi sổ gộp và khấu hao lũy kế (</w:t>
      </w:r>
      <w:r w:rsidR="00784C59">
        <w:rPr>
          <w:rFonts w:ascii="Times New Roman" w:hAnsi="Times New Roman" w:cs="Times New Roman"/>
          <w:b/>
          <w:sz w:val="24"/>
          <w:szCs w:val="24"/>
        </w:rPr>
        <w:t>đã bao gồm lỗ lũy kế do giảm giá trị tài sản) tại thời điểm bắt đầu và kết thúc kỳ;</w:t>
      </w:r>
    </w:p>
    <w:p w:rsidR="00784C59" w:rsidRDefault="00784C59"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006040EF">
        <w:rPr>
          <w:rFonts w:ascii="Times New Roman" w:hAnsi="Times New Roman" w:cs="Times New Roman"/>
          <w:b/>
          <w:sz w:val="24"/>
          <w:szCs w:val="24"/>
        </w:rPr>
        <w:t>đối chiếu giá trị ghi sổ của bất động sản đầu tư tại thời điểm bắt đầu và kết thúc kỳ, thể hiện các thông tin sau:</w:t>
      </w:r>
    </w:p>
    <w:p w:rsidR="006040EF" w:rsidRDefault="006040EF"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các khoản </w:t>
      </w:r>
      <w:r w:rsidR="003A6FD7">
        <w:rPr>
          <w:rFonts w:ascii="Times New Roman" w:hAnsi="Times New Roman" w:cs="Times New Roman"/>
          <w:b/>
          <w:sz w:val="24"/>
          <w:szCs w:val="24"/>
        </w:rPr>
        <w:t>tăng thêm</w:t>
      </w:r>
      <w:r>
        <w:rPr>
          <w:rFonts w:ascii="Times New Roman" w:hAnsi="Times New Roman" w:cs="Times New Roman"/>
          <w:b/>
          <w:sz w:val="24"/>
          <w:szCs w:val="24"/>
        </w:rPr>
        <w:t xml:space="preserve">, công bố thông tin riêng cho khoản </w:t>
      </w:r>
      <w:r w:rsidR="003A6FD7">
        <w:rPr>
          <w:rFonts w:ascii="Times New Roman" w:hAnsi="Times New Roman" w:cs="Times New Roman"/>
          <w:b/>
          <w:sz w:val="24"/>
          <w:szCs w:val="24"/>
        </w:rPr>
        <w:t>tăng thêm</w:t>
      </w:r>
      <w:r>
        <w:rPr>
          <w:rFonts w:ascii="Times New Roman" w:hAnsi="Times New Roman" w:cs="Times New Roman"/>
          <w:b/>
          <w:sz w:val="24"/>
          <w:szCs w:val="24"/>
        </w:rPr>
        <w:t xml:space="preserve"> phát sinh từ việc mua mới và khoản phát sinh từ chi phí sau thời điểm ban đầu ghi nhận </w:t>
      </w:r>
      <w:r w:rsidR="00783CAF">
        <w:rPr>
          <w:rFonts w:ascii="Times New Roman" w:hAnsi="Times New Roman" w:cs="Times New Roman"/>
          <w:b/>
          <w:sz w:val="24"/>
          <w:szCs w:val="24"/>
        </w:rPr>
        <w:t>thành</w:t>
      </w:r>
      <w:r>
        <w:rPr>
          <w:rFonts w:ascii="Times New Roman" w:hAnsi="Times New Roman" w:cs="Times New Roman"/>
          <w:b/>
          <w:sz w:val="24"/>
          <w:szCs w:val="24"/>
        </w:rPr>
        <w:t xml:space="preserve"> tài sản;</w:t>
      </w:r>
    </w:p>
    <w:p w:rsidR="00273612" w:rsidRDefault="00783CAF"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00425F9F">
        <w:rPr>
          <w:rFonts w:ascii="Times New Roman" w:hAnsi="Times New Roman" w:cs="Times New Roman"/>
          <w:b/>
          <w:sz w:val="24"/>
          <w:szCs w:val="24"/>
        </w:rPr>
        <w:t xml:space="preserve">các khoản </w:t>
      </w:r>
      <w:r w:rsidR="003A6FD7">
        <w:rPr>
          <w:rFonts w:ascii="Times New Roman" w:hAnsi="Times New Roman" w:cs="Times New Roman"/>
          <w:b/>
          <w:sz w:val="24"/>
          <w:szCs w:val="24"/>
        </w:rPr>
        <w:t>tăng thêm</w:t>
      </w:r>
      <w:r w:rsidR="00425F9F">
        <w:rPr>
          <w:rFonts w:ascii="Times New Roman" w:hAnsi="Times New Roman" w:cs="Times New Roman"/>
          <w:b/>
          <w:sz w:val="24"/>
          <w:szCs w:val="24"/>
        </w:rPr>
        <w:t xml:space="preserve"> phát sinh từ việc mua mới thông qua giao dịch hợp nhất kinh doanh;</w:t>
      </w:r>
    </w:p>
    <w:p w:rsidR="00273612" w:rsidRDefault="00273612"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tài sản được phân loại là nắm giữ để bán hoặc bao gồm trong một nhóm thanh lý được phân loại là nắm giữ để bán theo IFRS 5 và các phần thanh lý khác;</w:t>
      </w:r>
    </w:p>
    <w:p w:rsidR="00273612" w:rsidRDefault="001979E6"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khấu hao;</w:t>
      </w:r>
    </w:p>
    <w:p w:rsidR="001979E6" w:rsidRDefault="001979E6"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(v)</w:t>
      </w:r>
      <w:r w:rsidR="00160C84">
        <w:rPr>
          <w:rFonts w:ascii="Times New Roman" w:hAnsi="Times New Roman" w:cs="Times New Roman"/>
          <w:b/>
          <w:sz w:val="24"/>
          <w:szCs w:val="24"/>
        </w:rPr>
        <w:tab/>
        <w:t>lỗ do giảm giá trị tài sản đã ghi nhận</w:t>
      </w:r>
      <w:r w:rsidR="00F73DD6">
        <w:rPr>
          <w:rFonts w:ascii="Times New Roman" w:hAnsi="Times New Roman" w:cs="Times New Roman"/>
          <w:b/>
          <w:sz w:val="24"/>
          <w:szCs w:val="24"/>
        </w:rPr>
        <w:t xml:space="preserve"> trong kỳ</w:t>
      </w:r>
      <w:r w:rsidR="00160C84">
        <w:rPr>
          <w:rFonts w:ascii="Times New Roman" w:hAnsi="Times New Roman" w:cs="Times New Roman"/>
          <w:b/>
          <w:sz w:val="24"/>
          <w:szCs w:val="24"/>
        </w:rPr>
        <w:t xml:space="preserve">, và phần lỗ do giảm giá trị tài sản được </w:t>
      </w:r>
      <w:r w:rsidR="00D8319B">
        <w:rPr>
          <w:rFonts w:ascii="Times New Roman" w:hAnsi="Times New Roman" w:cs="Times New Roman"/>
          <w:b/>
          <w:sz w:val="24"/>
          <w:szCs w:val="24"/>
        </w:rPr>
        <w:t>thu hồi lại</w:t>
      </w:r>
      <w:r w:rsidR="00F73DD6">
        <w:rPr>
          <w:rFonts w:ascii="Times New Roman" w:hAnsi="Times New Roman" w:cs="Times New Roman"/>
          <w:b/>
          <w:sz w:val="24"/>
          <w:szCs w:val="24"/>
        </w:rPr>
        <w:t xml:space="preserve"> trong kỳ, theo quy định tại IAS 36;</w:t>
      </w:r>
    </w:p>
    <w:p w:rsidR="00F73DD6" w:rsidRDefault="00F73DD6"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b/>
          <w:sz w:val="24"/>
          <w:szCs w:val="24"/>
        </w:rPr>
        <w:tab/>
      </w:r>
      <w:r w:rsidR="00160D90">
        <w:rPr>
          <w:rFonts w:ascii="Times New Roman" w:hAnsi="Times New Roman" w:cs="Times New Roman"/>
          <w:b/>
          <w:sz w:val="24"/>
          <w:szCs w:val="24"/>
        </w:rPr>
        <w:t>chênh lệch tỷ giá thuần phát sinh từ việc chuyển báo cáo tài chính sang một đồng tiền báo cáo khác, và từ việc chuyển việc trình bày của hoạt động</w:t>
      </w:r>
      <w:r w:rsidR="003A6FD7">
        <w:rPr>
          <w:rFonts w:ascii="Times New Roman" w:hAnsi="Times New Roman" w:cs="Times New Roman"/>
          <w:b/>
          <w:sz w:val="24"/>
          <w:szCs w:val="24"/>
        </w:rPr>
        <w:t xml:space="preserve"> tại</w:t>
      </w:r>
      <w:r w:rsidR="00160D90">
        <w:rPr>
          <w:rFonts w:ascii="Times New Roman" w:hAnsi="Times New Roman" w:cs="Times New Roman"/>
          <w:b/>
          <w:sz w:val="24"/>
          <w:szCs w:val="24"/>
        </w:rPr>
        <w:t xml:space="preserve"> kinh doanh nước ngoài về đồng tiền báo cáo của đơn vị;</w:t>
      </w:r>
    </w:p>
    <w:p w:rsidR="00160D90" w:rsidRDefault="00160D90"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(vii)</w:t>
      </w:r>
      <w:r>
        <w:rPr>
          <w:rFonts w:ascii="Times New Roman" w:hAnsi="Times New Roman" w:cs="Times New Roman"/>
          <w:b/>
          <w:sz w:val="24"/>
          <w:szCs w:val="24"/>
        </w:rPr>
        <w:tab/>
        <w:t>chuyển loại bất sộng sản từ và thành hàng tồn kho và bất động sản chủ sở hữu sử dụng; và</w:t>
      </w:r>
    </w:p>
    <w:p w:rsidR="00160D90" w:rsidRDefault="00160D90"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(viii)</w:t>
      </w:r>
      <w:r>
        <w:rPr>
          <w:rFonts w:ascii="Times New Roman" w:hAnsi="Times New Roman" w:cs="Times New Roman"/>
          <w:b/>
          <w:sz w:val="24"/>
          <w:szCs w:val="24"/>
        </w:rPr>
        <w:tab/>
        <w:t>các thay đổi khác.</w:t>
      </w:r>
    </w:p>
    <w:p w:rsidR="00086526" w:rsidRDefault="00086526"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00973CD8">
        <w:rPr>
          <w:rFonts w:ascii="Times New Roman" w:hAnsi="Times New Roman" w:cs="Times New Roman"/>
          <w:b/>
          <w:sz w:val="24"/>
          <w:szCs w:val="24"/>
        </w:rPr>
        <w:t xml:space="preserve">giá trị hợp lý của một bất động sản đầu tư. </w:t>
      </w:r>
      <w:r w:rsidR="00147B97">
        <w:rPr>
          <w:rFonts w:ascii="Times New Roman" w:hAnsi="Times New Roman" w:cs="Times New Roman"/>
          <w:b/>
          <w:sz w:val="24"/>
          <w:szCs w:val="24"/>
        </w:rPr>
        <w:t>Trong các trường hợp đặc biệt nêu tại đoạn 53, khi một đơn vị không thể xác định giá trị hợp lý của bất động sản đầu tư một cách hợp lý, đơn vị phải công bố thông tin về:</w:t>
      </w:r>
    </w:p>
    <w:p w:rsidR="00147B97" w:rsidRDefault="00147B97"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r>
      <w:r w:rsidR="005D286C">
        <w:rPr>
          <w:rFonts w:ascii="Times New Roman" w:hAnsi="Times New Roman" w:cs="Times New Roman"/>
          <w:b/>
          <w:sz w:val="24"/>
          <w:szCs w:val="24"/>
        </w:rPr>
        <w:t>mô tả</w:t>
      </w:r>
      <w:r w:rsidR="00DC71D2">
        <w:rPr>
          <w:rFonts w:ascii="Times New Roman" w:hAnsi="Times New Roman" w:cs="Times New Roman"/>
          <w:b/>
          <w:sz w:val="24"/>
          <w:szCs w:val="24"/>
        </w:rPr>
        <w:t xml:space="preserve"> về bất động sản đầu tư;</w:t>
      </w:r>
    </w:p>
    <w:p w:rsidR="00DC71D2" w:rsidRDefault="00DC71D2"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lastRenderedPageBreak/>
        <w:t>(ii)</w:t>
      </w:r>
      <w:r>
        <w:rPr>
          <w:rFonts w:ascii="Times New Roman" w:hAnsi="Times New Roman" w:cs="Times New Roman"/>
          <w:b/>
          <w:sz w:val="24"/>
          <w:szCs w:val="24"/>
        </w:rPr>
        <w:tab/>
        <w:t>giải thích nguyên nhân không thể định giá được bất động sản đầu tư một cách đáng tin cậy;</w:t>
      </w:r>
      <w:r w:rsidR="003A6FD7">
        <w:rPr>
          <w:rFonts w:ascii="Times New Roman" w:hAnsi="Times New Roman" w:cs="Times New Roman"/>
          <w:b/>
          <w:sz w:val="24"/>
          <w:szCs w:val="24"/>
        </w:rPr>
        <w:t xml:space="preserve"> và</w:t>
      </w:r>
    </w:p>
    <w:p w:rsidR="00DC71D2" w:rsidRDefault="00DC71D2"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007D100D">
        <w:rPr>
          <w:rFonts w:ascii="Times New Roman" w:hAnsi="Times New Roman" w:cs="Times New Roman"/>
          <w:b/>
          <w:sz w:val="24"/>
          <w:szCs w:val="24"/>
        </w:rPr>
        <w:t>nếu có thể, khoảng giá trị ước tính mà giá trị hợp lý có khả năng cao sẽ nằm trong.</w:t>
      </w:r>
    </w:p>
    <w:p w:rsidR="007D100D" w:rsidRPr="007D100D" w:rsidRDefault="007D100D" w:rsidP="0048656B">
      <w:pPr>
        <w:pBdr>
          <w:bottom w:val="single" w:sz="6" w:space="1" w:color="auto"/>
        </w:pBdr>
        <w:spacing w:before="200" w:after="120" w:line="240" w:lineRule="auto"/>
        <w:ind w:right="14"/>
        <w:jc w:val="both"/>
        <w:rPr>
          <w:rFonts w:ascii="Arial" w:hAnsi="Arial" w:cs="Arial"/>
          <w:b/>
          <w:sz w:val="28"/>
          <w:szCs w:val="24"/>
        </w:rPr>
      </w:pPr>
      <w:r w:rsidRPr="007D100D">
        <w:rPr>
          <w:rFonts w:ascii="Arial" w:hAnsi="Arial" w:cs="Arial"/>
          <w:b/>
          <w:sz w:val="28"/>
          <w:szCs w:val="24"/>
        </w:rPr>
        <w:t xml:space="preserve">Điều khoản chuyển tiếp </w:t>
      </w:r>
    </w:p>
    <w:p w:rsidR="007D100D" w:rsidRPr="007D100D" w:rsidRDefault="007D100D" w:rsidP="0048656B">
      <w:pPr>
        <w:tabs>
          <w:tab w:val="left" w:pos="720"/>
        </w:tabs>
        <w:spacing w:after="120" w:line="240" w:lineRule="auto"/>
        <w:ind w:left="720" w:right="14" w:hanging="720"/>
        <w:jc w:val="both"/>
        <w:rPr>
          <w:rFonts w:ascii="Arial" w:hAnsi="Arial" w:cs="Arial"/>
          <w:b/>
          <w:sz w:val="28"/>
          <w:szCs w:val="24"/>
        </w:rPr>
      </w:pPr>
      <w:r w:rsidRPr="007D100D">
        <w:rPr>
          <w:rFonts w:ascii="Arial" w:hAnsi="Arial" w:cs="Arial"/>
          <w:b/>
          <w:sz w:val="28"/>
          <w:szCs w:val="24"/>
        </w:rPr>
        <w:tab/>
        <w:t>Mô hình giá trị hợp lý</w:t>
      </w:r>
    </w:p>
    <w:p w:rsidR="007D100D" w:rsidRDefault="00C91291" w:rsidP="0048656B">
      <w:pPr>
        <w:tabs>
          <w:tab w:val="left" w:pos="720"/>
        </w:tabs>
        <w:spacing w:after="120" w:line="240" w:lineRule="auto"/>
        <w:ind w:left="720" w:right="14" w:hanging="720"/>
        <w:jc w:val="both"/>
        <w:rPr>
          <w:rFonts w:ascii="Times New Roman" w:hAnsi="Times New Roman" w:cs="Times New Roman"/>
          <w:b/>
          <w:sz w:val="24"/>
          <w:szCs w:val="24"/>
        </w:rPr>
      </w:pPr>
      <w:r>
        <w:rPr>
          <w:rFonts w:ascii="Times New Roman" w:hAnsi="Times New Roman" w:cs="Times New Roman"/>
          <w:b/>
          <w:sz w:val="24"/>
          <w:szCs w:val="24"/>
        </w:rPr>
        <w:t>80</w:t>
      </w:r>
      <w:r>
        <w:rPr>
          <w:rFonts w:ascii="Times New Roman" w:hAnsi="Times New Roman" w:cs="Times New Roman"/>
          <w:b/>
          <w:sz w:val="24"/>
          <w:szCs w:val="24"/>
        </w:rPr>
        <w:tab/>
      </w:r>
      <w:r w:rsidR="00FC3C09">
        <w:rPr>
          <w:rFonts w:ascii="Times New Roman" w:hAnsi="Times New Roman" w:cs="Times New Roman"/>
          <w:b/>
          <w:sz w:val="24"/>
          <w:szCs w:val="24"/>
        </w:rPr>
        <w:t xml:space="preserve">Đơn vị trước đây áp dụng IAS 40 (2000) và đã lựa chọn áp dụng lần đầu để phân loại và ghi nhận cho một phần hoặc toàn bộ những lợi ích từ bất động sản </w:t>
      </w:r>
      <w:r w:rsidR="001119FB">
        <w:rPr>
          <w:rFonts w:ascii="Times New Roman" w:hAnsi="Times New Roman" w:cs="Times New Roman"/>
          <w:b/>
          <w:sz w:val="24"/>
          <w:szCs w:val="24"/>
        </w:rPr>
        <w:t xml:space="preserve">nắm giữ </w:t>
      </w:r>
      <w:r w:rsidR="003A6FD7">
        <w:rPr>
          <w:rFonts w:ascii="Times New Roman" w:hAnsi="Times New Roman" w:cs="Times New Roman"/>
          <w:b/>
          <w:sz w:val="24"/>
          <w:szCs w:val="24"/>
        </w:rPr>
        <w:t>trong</w:t>
      </w:r>
      <w:r w:rsidR="001119FB">
        <w:rPr>
          <w:rFonts w:ascii="Times New Roman" w:hAnsi="Times New Roman" w:cs="Times New Roman"/>
          <w:b/>
          <w:sz w:val="24"/>
          <w:szCs w:val="24"/>
        </w:rPr>
        <w:t xml:space="preserve"> giao dịch cho thuê hoạt động là bất động sả</w:t>
      </w:r>
      <w:r w:rsidR="003A6FD7">
        <w:rPr>
          <w:rFonts w:ascii="Times New Roman" w:hAnsi="Times New Roman" w:cs="Times New Roman"/>
          <w:b/>
          <w:sz w:val="24"/>
          <w:szCs w:val="24"/>
        </w:rPr>
        <w:t>n đầ</w:t>
      </w:r>
      <w:r w:rsidR="001119FB">
        <w:rPr>
          <w:rFonts w:ascii="Times New Roman" w:hAnsi="Times New Roman" w:cs="Times New Roman"/>
          <w:b/>
          <w:sz w:val="24"/>
          <w:szCs w:val="24"/>
        </w:rPr>
        <w:t xml:space="preserve">u tư phải ghi nhận </w:t>
      </w:r>
      <w:r w:rsidR="00586D18">
        <w:rPr>
          <w:rFonts w:ascii="Times New Roman" w:hAnsi="Times New Roman" w:cs="Times New Roman"/>
          <w:b/>
          <w:sz w:val="24"/>
          <w:szCs w:val="24"/>
        </w:rPr>
        <w:t>những ảnh hưởng của việc lựa chọn này là một khoản điều chỉnh cho số dư ban đầu của lợi nhuận giữ lại của kỳ mà việc lựa chọn này được thực hiện lần đầu tiên. Ngoài ra:</w:t>
      </w:r>
    </w:p>
    <w:p w:rsidR="00586D18" w:rsidRDefault="00586D18"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ED1A07">
        <w:rPr>
          <w:rFonts w:ascii="Times New Roman" w:hAnsi="Times New Roman" w:cs="Times New Roman"/>
          <w:b/>
          <w:sz w:val="24"/>
          <w:szCs w:val="24"/>
        </w:rPr>
        <w:t>nếu đơn vị trước đây đã công bố thông tin công khai (trong báo cáo tài chính hoặc phương tiện khác) giá trị hợp lý của những lợi ích từ bất động sản trong các kỳ trước đây (định giá dựa trên cơ sở th</w:t>
      </w:r>
      <w:r w:rsidR="003A6FD7">
        <w:rPr>
          <w:rFonts w:ascii="Times New Roman" w:hAnsi="Times New Roman" w:cs="Times New Roman"/>
          <w:b/>
          <w:sz w:val="24"/>
          <w:szCs w:val="24"/>
        </w:rPr>
        <w:t>ỏa</w:t>
      </w:r>
      <w:r w:rsidR="00ED1A07">
        <w:rPr>
          <w:rFonts w:ascii="Times New Roman" w:hAnsi="Times New Roman" w:cs="Times New Roman"/>
          <w:b/>
          <w:sz w:val="24"/>
          <w:szCs w:val="24"/>
        </w:rPr>
        <w:t xml:space="preserve"> mãn các định nghĩa về giá trị hợp lý của IFRS 13), đơn vị được khuyến khích, nhưng không bắt buộc phải:</w:t>
      </w:r>
    </w:p>
    <w:p w:rsidR="00ED1A07" w:rsidRDefault="00ED1A07"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r>
      <w:r w:rsidR="007263B6">
        <w:rPr>
          <w:rFonts w:ascii="Times New Roman" w:hAnsi="Times New Roman" w:cs="Times New Roman"/>
          <w:b/>
          <w:sz w:val="24"/>
          <w:szCs w:val="24"/>
        </w:rPr>
        <w:t>điều chỉnh số dư ban đầu của lợi nhuận giữ lại cho kỳ gần nhất mà giá trị hợp lý được công bố công khai</w:t>
      </w:r>
      <w:r w:rsidR="00487F17">
        <w:rPr>
          <w:rFonts w:ascii="Times New Roman" w:hAnsi="Times New Roman" w:cs="Times New Roman"/>
          <w:b/>
          <w:sz w:val="24"/>
          <w:szCs w:val="24"/>
        </w:rPr>
        <w:t>; và</w:t>
      </w:r>
    </w:p>
    <w:p w:rsidR="00487F17" w:rsidRDefault="00487F17" w:rsidP="0048656B">
      <w:pPr>
        <w:tabs>
          <w:tab w:val="left" w:pos="2160"/>
        </w:tabs>
        <w:spacing w:after="120" w:line="240" w:lineRule="auto"/>
        <w:ind w:left="2160" w:right="14" w:hanging="720"/>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004723ED">
        <w:rPr>
          <w:rFonts w:ascii="Times New Roman" w:hAnsi="Times New Roman" w:cs="Times New Roman"/>
          <w:b/>
          <w:sz w:val="24"/>
          <w:szCs w:val="24"/>
        </w:rPr>
        <w:t>trình bày lại thông tin so sánh cho các kỳ nêu trên; và</w:t>
      </w:r>
    </w:p>
    <w:p w:rsidR="004723ED" w:rsidRDefault="004723ED" w:rsidP="0048656B">
      <w:pPr>
        <w:tabs>
          <w:tab w:val="left" w:pos="1440"/>
        </w:tabs>
        <w:spacing w:after="120" w:line="240" w:lineRule="auto"/>
        <w:ind w:left="1440" w:right="14" w:hanging="720"/>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11508F">
        <w:rPr>
          <w:rFonts w:ascii="Times New Roman" w:hAnsi="Times New Roman" w:cs="Times New Roman"/>
          <w:b/>
          <w:sz w:val="24"/>
          <w:szCs w:val="24"/>
        </w:rPr>
        <w:t xml:space="preserve">nếu đơn vị trước đây không công bố công khai thông tin được </w:t>
      </w:r>
      <w:r w:rsidR="005D286C">
        <w:rPr>
          <w:rFonts w:ascii="Times New Roman" w:hAnsi="Times New Roman" w:cs="Times New Roman"/>
          <w:b/>
          <w:sz w:val="24"/>
          <w:szCs w:val="24"/>
        </w:rPr>
        <w:t>mô tả</w:t>
      </w:r>
      <w:r w:rsidR="0011508F">
        <w:rPr>
          <w:rFonts w:ascii="Times New Roman" w:hAnsi="Times New Roman" w:cs="Times New Roman"/>
          <w:b/>
          <w:sz w:val="24"/>
          <w:szCs w:val="24"/>
        </w:rPr>
        <w:t xml:space="preserve"> tại mục (a), đơn vị không được trình bày lại thông tin so sánh và phải công bố vấn đề này.</w:t>
      </w:r>
    </w:p>
    <w:p w:rsidR="009B3645" w:rsidRDefault="0005421A"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005E63FF">
        <w:rPr>
          <w:rFonts w:ascii="Times New Roman" w:hAnsi="Times New Roman" w:cs="Times New Roman"/>
          <w:sz w:val="24"/>
          <w:szCs w:val="24"/>
        </w:rPr>
        <w:t>Chuẩn mực này quy đinh việc ghi nhận khác với quy định tại IAS 8. IAS 8 quy định thông tin so sánh phải được trình bày lại trừ khi việc trình bày lại là không khả thi.</w:t>
      </w:r>
    </w:p>
    <w:p w:rsidR="005E63FF" w:rsidRDefault="005E63FF"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81691D">
        <w:rPr>
          <w:rFonts w:ascii="Times New Roman" w:hAnsi="Times New Roman" w:cs="Times New Roman"/>
          <w:sz w:val="24"/>
          <w:szCs w:val="24"/>
        </w:rPr>
        <w:t xml:space="preserve">Khi một đơn vị áp dụng </w:t>
      </w:r>
      <w:r w:rsidR="00A866A1">
        <w:rPr>
          <w:rFonts w:ascii="Times New Roman" w:hAnsi="Times New Roman" w:cs="Times New Roman"/>
          <w:sz w:val="24"/>
          <w:szCs w:val="24"/>
        </w:rPr>
        <w:t>lần</w:t>
      </w:r>
      <w:r w:rsidR="0081691D">
        <w:rPr>
          <w:rFonts w:ascii="Times New Roman" w:hAnsi="Times New Roman" w:cs="Times New Roman"/>
          <w:sz w:val="24"/>
          <w:szCs w:val="24"/>
        </w:rPr>
        <w:t xml:space="preserve"> đầu Chuẩn mực này,</w:t>
      </w:r>
      <w:r w:rsidR="00A866A1">
        <w:rPr>
          <w:rFonts w:ascii="Times New Roman" w:hAnsi="Times New Roman" w:cs="Times New Roman"/>
          <w:sz w:val="24"/>
          <w:szCs w:val="24"/>
        </w:rPr>
        <w:t xml:space="preserve"> việc</w:t>
      </w:r>
      <w:r w:rsidR="0081691D">
        <w:rPr>
          <w:rFonts w:ascii="Times New Roman" w:hAnsi="Times New Roman" w:cs="Times New Roman"/>
          <w:sz w:val="24"/>
          <w:szCs w:val="24"/>
        </w:rPr>
        <w:t xml:space="preserve"> điều chỉnh </w:t>
      </w:r>
      <w:r w:rsidR="007F1E3E">
        <w:rPr>
          <w:rFonts w:ascii="Times New Roman" w:hAnsi="Times New Roman" w:cs="Times New Roman"/>
          <w:sz w:val="24"/>
          <w:szCs w:val="24"/>
        </w:rPr>
        <w:t>số dư đầu kỳ của lợi nhuận giữ lại bao gồm điều chỉnh cho phân loại lại các khoản nằm trong thặng dư do đánh giá lại giá trị bất động sản đầu tư.</w:t>
      </w:r>
    </w:p>
    <w:p w:rsidR="00A866A1" w:rsidRPr="00A866A1" w:rsidRDefault="00A866A1" w:rsidP="0048656B">
      <w:pPr>
        <w:tabs>
          <w:tab w:val="left" w:pos="720"/>
        </w:tabs>
        <w:spacing w:after="120" w:line="240" w:lineRule="auto"/>
        <w:ind w:left="720" w:right="14" w:hanging="720"/>
        <w:jc w:val="both"/>
        <w:rPr>
          <w:rFonts w:ascii="Arial" w:hAnsi="Arial" w:cs="Arial"/>
          <w:b/>
          <w:sz w:val="28"/>
          <w:szCs w:val="24"/>
        </w:rPr>
      </w:pPr>
      <w:r w:rsidRPr="00A866A1">
        <w:rPr>
          <w:rFonts w:ascii="Arial" w:hAnsi="Arial" w:cs="Arial"/>
          <w:b/>
          <w:sz w:val="28"/>
          <w:szCs w:val="24"/>
        </w:rPr>
        <w:tab/>
        <w:t>Mô hình giá gốc</w:t>
      </w:r>
    </w:p>
    <w:p w:rsidR="00A866A1" w:rsidRDefault="00A866A1"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000D1DC0">
        <w:rPr>
          <w:rFonts w:ascii="Times New Roman" w:hAnsi="Times New Roman" w:cs="Times New Roman"/>
          <w:sz w:val="24"/>
          <w:szCs w:val="24"/>
        </w:rPr>
        <w:t xml:space="preserve">IAS 8 áp dụng </w:t>
      </w:r>
      <w:r w:rsidR="0005150B">
        <w:rPr>
          <w:rFonts w:ascii="Times New Roman" w:hAnsi="Times New Roman" w:cs="Times New Roman"/>
          <w:sz w:val="24"/>
          <w:szCs w:val="24"/>
        </w:rPr>
        <w:t xml:space="preserve">cho toàn bộ những thay đổi về </w:t>
      </w:r>
      <w:r w:rsidR="00541D1B">
        <w:rPr>
          <w:rFonts w:ascii="Times New Roman" w:hAnsi="Times New Roman" w:cs="Times New Roman"/>
          <w:sz w:val="24"/>
          <w:szCs w:val="24"/>
        </w:rPr>
        <w:t>chính sách kế toán</w:t>
      </w:r>
      <w:r w:rsidR="0005150B">
        <w:rPr>
          <w:rFonts w:ascii="Times New Roman" w:hAnsi="Times New Roman" w:cs="Times New Roman"/>
          <w:sz w:val="24"/>
          <w:szCs w:val="24"/>
        </w:rPr>
        <w:t xml:space="preserve"> được thực hiện khi một đơn vị áp dụng lần đầu Chuẩn mực này và lựa chọn việc áp dụng mô hình giá gốc. </w:t>
      </w:r>
      <w:r w:rsidR="00607CBE">
        <w:rPr>
          <w:rFonts w:ascii="Times New Roman" w:hAnsi="Times New Roman" w:cs="Times New Roman"/>
          <w:sz w:val="24"/>
          <w:szCs w:val="24"/>
        </w:rPr>
        <w:t xml:space="preserve">Ảnh hưởng của việc thay đổi </w:t>
      </w:r>
      <w:r w:rsidR="00541D1B">
        <w:rPr>
          <w:rFonts w:ascii="Times New Roman" w:hAnsi="Times New Roman" w:cs="Times New Roman"/>
          <w:sz w:val="24"/>
          <w:szCs w:val="24"/>
        </w:rPr>
        <w:t>chính sách kế toán</w:t>
      </w:r>
      <w:r w:rsidR="00607CBE">
        <w:rPr>
          <w:rFonts w:ascii="Times New Roman" w:hAnsi="Times New Roman" w:cs="Times New Roman"/>
          <w:sz w:val="24"/>
          <w:szCs w:val="24"/>
        </w:rPr>
        <w:t xml:space="preserve"> bao gồm việc phân loại lại các khoản thuộc thặng dư do đánh giá lại giá trị bất động sản đầu tư.</w:t>
      </w:r>
    </w:p>
    <w:p w:rsidR="00607CBE" w:rsidRDefault="00607CBE" w:rsidP="0048656B">
      <w:pPr>
        <w:tabs>
          <w:tab w:val="left" w:pos="720"/>
        </w:tabs>
        <w:spacing w:after="120" w:line="240" w:lineRule="auto"/>
        <w:ind w:left="720" w:right="14" w:hanging="720"/>
        <w:jc w:val="both"/>
        <w:rPr>
          <w:rFonts w:ascii="Times New Roman" w:hAnsi="Times New Roman" w:cs="Times New Roman"/>
          <w:b/>
          <w:sz w:val="24"/>
          <w:szCs w:val="24"/>
        </w:rPr>
      </w:pPr>
      <w:r>
        <w:rPr>
          <w:rFonts w:ascii="Times New Roman" w:hAnsi="Times New Roman" w:cs="Times New Roman"/>
          <w:b/>
          <w:sz w:val="24"/>
          <w:szCs w:val="24"/>
        </w:rPr>
        <w:t>84</w:t>
      </w:r>
      <w:r>
        <w:rPr>
          <w:rFonts w:ascii="Times New Roman" w:hAnsi="Times New Roman" w:cs="Times New Roman"/>
          <w:b/>
          <w:sz w:val="24"/>
          <w:szCs w:val="24"/>
        </w:rPr>
        <w:tab/>
      </w:r>
      <w:r w:rsidR="000107CD">
        <w:rPr>
          <w:rFonts w:ascii="Times New Roman" w:hAnsi="Times New Roman" w:cs="Times New Roman"/>
          <w:b/>
          <w:sz w:val="24"/>
          <w:szCs w:val="24"/>
        </w:rPr>
        <w:t xml:space="preserve">Các quy định tại các đoạn từ 27 đến 29 về ghi nhận ban đầu của bất động sản đầu tư được sở hữu từ giao dịch trao đổi tài sản </w:t>
      </w:r>
      <w:r w:rsidR="00F57881">
        <w:rPr>
          <w:rFonts w:ascii="Times New Roman" w:hAnsi="Times New Roman" w:cs="Times New Roman"/>
          <w:b/>
          <w:sz w:val="24"/>
          <w:szCs w:val="24"/>
        </w:rPr>
        <w:t>chỉ được áp dụng phi hồi tố cho các giao dịch trong tương lai.</w:t>
      </w:r>
    </w:p>
    <w:p w:rsidR="00F57881" w:rsidRPr="00D03220" w:rsidRDefault="00F57881" w:rsidP="0048656B">
      <w:pPr>
        <w:tabs>
          <w:tab w:val="left" w:pos="720"/>
        </w:tabs>
        <w:spacing w:after="120" w:line="240" w:lineRule="auto"/>
        <w:ind w:left="720" w:right="14" w:hanging="720"/>
        <w:jc w:val="both"/>
        <w:rPr>
          <w:rFonts w:ascii="Arial" w:hAnsi="Arial" w:cs="Arial"/>
          <w:b/>
          <w:sz w:val="28"/>
          <w:szCs w:val="24"/>
        </w:rPr>
      </w:pPr>
      <w:r w:rsidRPr="00D03220">
        <w:rPr>
          <w:rFonts w:ascii="Arial" w:hAnsi="Arial" w:cs="Arial"/>
          <w:b/>
          <w:sz w:val="28"/>
          <w:szCs w:val="24"/>
        </w:rPr>
        <w:tab/>
      </w:r>
      <w:r w:rsidR="00D03220" w:rsidRPr="00D03220">
        <w:rPr>
          <w:rFonts w:ascii="Arial" w:hAnsi="Arial" w:cs="Arial"/>
          <w:b/>
          <w:sz w:val="28"/>
          <w:szCs w:val="24"/>
        </w:rPr>
        <w:t>Hợp nhất kinh doanh</w:t>
      </w:r>
    </w:p>
    <w:p w:rsidR="00D03220" w:rsidRDefault="00D03220" w:rsidP="0048656B">
      <w:pPr>
        <w:tabs>
          <w:tab w:val="left" w:pos="720"/>
        </w:tabs>
        <w:spacing w:after="120" w:line="240" w:lineRule="auto"/>
        <w:ind w:left="720" w:right="14" w:hanging="720"/>
        <w:jc w:val="both"/>
        <w:rPr>
          <w:rFonts w:ascii="Times New Roman" w:hAnsi="Times New Roman" w:cs="Times New Roman"/>
          <w:b/>
          <w:sz w:val="24"/>
          <w:szCs w:val="24"/>
        </w:rPr>
      </w:pPr>
      <w:r>
        <w:rPr>
          <w:rFonts w:ascii="Times New Roman" w:hAnsi="Times New Roman" w:cs="Times New Roman"/>
          <w:b/>
          <w:sz w:val="24"/>
          <w:szCs w:val="24"/>
        </w:rPr>
        <w:t>84A</w:t>
      </w:r>
      <w:r>
        <w:rPr>
          <w:rFonts w:ascii="Times New Roman" w:hAnsi="Times New Roman" w:cs="Times New Roman"/>
          <w:b/>
          <w:sz w:val="24"/>
          <w:szCs w:val="24"/>
        </w:rPr>
        <w:tab/>
      </w:r>
      <w:r w:rsidR="00A67AE2" w:rsidRPr="003A6FD7">
        <w:rPr>
          <w:rFonts w:ascii="Times New Roman" w:hAnsi="Times New Roman" w:cs="Times New Roman"/>
          <w:b/>
          <w:i/>
          <w:sz w:val="24"/>
          <w:szCs w:val="24"/>
        </w:rPr>
        <w:t>Báo cáo Điều chỉnh hàng năm cho các chuẩn mực IFRS chu kỳ 2011-2013</w:t>
      </w:r>
      <w:r w:rsidR="00A67AE2" w:rsidRPr="00A67AE2">
        <w:rPr>
          <w:rFonts w:ascii="Times New Roman" w:hAnsi="Times New Roman" w:cs="Times New Roman"/>
          <w:b/>
          <w:sz w:val="24"/>
          <w:szCs w:val="24"/>
        </w:rPr>
        <w:t xml:space="preserve"> </w:t>
      </w:r>
      <w:r w:rsidR="00A67AE2">
        <w:rPr>
          <w:rFonts w:ascii="Times New Roman" w:hAnsi="Times New Roman" w:cs="Times New Roman"/>
          <w:b/>
          <w:sz w:val="24"/>
          <w:szCs w:val="24"/>
        </w:rPr>
        <w:t xml:space="preserve">phát hành tháng 12 năm 2013 bổ sung đoạn 14A và phần </w:t>
      </w:r>
      <w:r w:rsidR="003A6FD7">
        <w:rPr>
          <w:rFonts w:ascii="Times New Roman" w:hAnsi="Times New Roman" w:cs="Times New Roman"/>
          <w:b/>
          <w:sz w:val="24"/>
          <w:szCs w:val="24"/>
        </w:rPr>
        <w:t>tiêu đề</w:t>
      </w:r>
      <w:r w:rsidR="00A67AE2">
        <w:rPr>
          <w:rFonts w:ascii="Times New Roman" w:hAnsi="Times New Roman" w:cs="Times New Roman"/>
          <w:b/>
          <w:sz w:val="24"/>
          <w:szCs w:val="24"/>
        </w:rPr>
        <w:t xml:space="preserve"> trước đoạn 6. Đơn vị phải áp dụng các điều chỉnh này phi hồi tố cho giao dịch mua bất động sản đầu tư từ thời điểm bắt đầu của kỳ mà đơn vị áp dụng lần đầu các điều chỉnh trên. Do vậy, </w:t>
      </w:r>
      <w:r w:rsidR="00EF60D4">
        <w:rPr>
          <w:rFonts w:ascii="Times New Roman" w:hAnsi="Times New Roman" w:cs="Times New Roman"/>
          <w:b/>
          <w:sz w:val="24"/>
          <w:szCs w:val="24"/>
        </w:rPr>
        <w:t xml:space="preserve">việc ghi nhận việc mua </w:t>
      </w:r>
      <w:r w:rsidR="00EF60D4">
        <w:rPr>
          <w:rFonts w:ascii="Times New Roman" w:hAnsi="Times New Roman" w:cs="Times New Roman"/>
          <w:b/>
          <w:sz w:val="24"/>
          <w:szCs w:val="24"/>
        </w:rPr>
        <w:lastRenderedPageBreak/>
        <w:t xml:space="preserve">bất động sản đầu tư trong các kỳ trước không được điều chỉnh. Tuy nhiên, </w:t>
      </w:r>
      <w:r w:rsidR="00615DCB">
        <w:rPr>
          <w:rFonts w:ascii="Times New Roman" w:hAnsi="Times New Roman" w:cs="Times New Roman"/>
          <w:b/>
          <w:sz w:val="24"/>
          <w:szCs w:val="24"/>
        </w:rPr>
        <w:t xml:space="preserve">đơn vị có thể lựa chọn để áp dụng các điều chỉnh này có một giao dịch mua bất động sản đầu tư </w:t>
      </w:r>
      <w:r w:rsidR="00DC1870">
        <w:rPr>
          <w:rFonts w:ascii="Times New Roman" w:hAnsi="Times New Roman" w:cs="Times New Roman"/>
          <w:b/>
          <w:sz w:val="24"/>
          <w:szCs w:val="24"/>
        </w:rPr>
        <w:t xml:space="preserve">đơn lẻ </w:t>
      </w:r>
      <w:r w:rsidR="00615DCB">
        <w:rPr>
          <w:rFonts w:ascii="Times New Roman" w:hAnsi="Times New Roman" w:cs="Times New Roman"/>
          <w:b/>
          <w:sz w:val="24"/>
          <w:szCs w:val="24"/>
        </w:rPr>
        <w:t xml:space="preserve">xảy ra trước thời điểm bắt đầu của niên độ kế toán </w:t>
      </w:r>
      <w:r w:rsidR="00DC1870">
        <w:rPr>
          <w:rFonts w:ascii="Times New Roman" w:hAnsi="Times New Roman" w:cs="Times New Roman"/>
          <w:b/>
          <w:sz w:val="24"/>
          <w:szCs w:val="24"/>
        </w:rPr>
        <w:t>mà điều chỉnh nêu trên bắt đầu có hiệu lự</w:t>
      </w:r>
      <w:r w:rsidR="00337057">
        <w:rPr>
          <w:rFonts w:ascii="Times New Roman" w:hAnsi="Times New Roman" w:cs="Times New Roman"/>
          <w:b/>
          <w:sz w:val="24"/>
          <w:szCs w:val="24"/>
        </w:rPr>
        <w:t>c khi, và chỉ khi, thông tin cần thiết để áp dụng điều chỉnh của những giao dịch trước đây sẵn có cho đơn vị.</w:t>
      </w:r>
    </w:p>
    <w:p w:rsidR="00337057" w:rsidRPr="00337057" w:rsidRDefault="00337057" w:rsidP="0048656B">
      <w:pPr>
        <w:tabs>
          <w:tab w:val="left" w:pos="720"/>
        </w:tabs>
        <w:spacing w:after="120" w:line="240" w:lineRule="auto"/>
        <w:ind w:left="720" w:right="14" w:hanging="720"/>
        <w:jc w:val="both"/>
        <w:rPr>
          <w:rFonts w:ascii="Arial" w:hAnsi="Arial" w:cs="Arial"/>
          <w:b/>
          <w:sz w:val="28"/>
          <w:szCs w:val="24"/>
        </w:rPr>
      </w:pPr>
      <w:r>
        <w:rPr>
          <w:rFonts w:ascii="Arial" w:hAnsi="Arial" w:cs="Arial"/>
          <w:b/>
          <w:sz w:val="28"/>
          <w:szCs w:val="24"/>
        </w:rPr>
        <w:tab/>
      </w:r>
      <w:r w:rsidRPr="00337057">
        <w:rPr>
          <w:rFonts w:ascii="Arial" w:hAnsi="Arial" w:cs="Arial"/>
          <w:b/>
          <w:sz w:val="28"/>
          <w:szCs w:val="24"/>
        </w:rPr>
        <w:t>IFRS 16</w:t>
      </w:r>
    </w:p>
    <w:p w:rsidR="00337057" w:rsidRDefault="00337057" w:rsidP="0048656B">
      <w:pPr>
        <w:tabs>
          <w:tab w:val="left" w:pos="720"/>
        </w:tabs>
        <w:spacing w:after="120" w:line="240" w:lineRule="auto"/>
        <w:ind w:left="720" w:right="14" w:hanging="720"/>
        <w:jc w:val="both"/>
        <w:rPr>
          <w:rFonts w:ascii="Times New Roman" w:hAnsi="Times New Roman" w:cs="Times New Roman"/>
          <w:b/>
          <w:sz w:val="24"/>
          <w:szCs w:val="24"/>
        </w:rPr>
      </w:pPr>
      <w:r>
        <w:rPr>
          <w:rFonts w:ascii="Times New Roman" w:hAnsi="Times New Roman" w:cs="Times New Roman"/>
          <w:b/>
          <w:sz w:val="24"/>
          <w:szCs w:val="24"/>
        </w:rPr>
        <w:t>84B</w:t>
      </w:r>
      <w:r w:rsidR="00685514">
        <w:rPr>
          <w:rFonts w:ascii="Times New Roman" w:hAnsi="Times New Roman" w:cs="Times New Roman"/>
          <w:b/>
          <w:sz w:val="24"/>
          <w:szCs w:val="24"/>
        </w:rPr>
        <w:tab/>
        <w:t>Đơn vị áp dụ</w:t>
      </w:r>
      <w:r w:rsidR="003A6FD7">
        <w:rPr>
          <w:rFonts w:ascii="Times New Roman" w:hAnsi="Times New Roman" w:cs="Times New Roman"/>
          <w:b/>
          <w:sz w:val="24"/>
          <w:szCs w:val="24"/>
        </w:rPr>
        <w:t>ng lần đầu IFRS 16</w:t>
      </w:r>
      <w:r w:rsidR="00685514">
        <w:rPr>
          <w:rFonts w:ascii="Times New Roman" w:hAnsi="Times New Roman" w:cs="Times New Roman"/>
          <w:b/>
          <w:sz w:val="24"/>
          <w:szCs w:val="24"/>
        </w:rPr>
        <w:t>, và các điều chỉnh liên quan cho Chuẩn mực này, phải áp dụng các điều khoản chuyển tiếp trong Phụ lục C của IFRS 16 cho các bất động sản đầu tư được nắm giữ theo dạng tài sản có quyền sử dụng.</w:t>
      </w:r>
    </w:p>
    <w:p w:rsidR="00DD6F35" w:rsidRPr="00DD6F35" w:rsidRDefault="00DD6F35" w:rsidP="0048656B">
      <w:pPr>
        <w:tabs>
          <w:tab w:val="left" w:pos="720"/>
        </w:tabs>
        <w:spacing w:after="120" w:line="240" w:lineRule="auto"/>
        <w:ind w:left="720" w:right="14" w:hanging="720"/>
        <w:jc w:val="both"/>
        <w:rPr>
          <w:rFonts w:ascii="Arial" w:hAnsi="Arial" w:cs="Arial"/>
          <w:b/>
          <w:sz w:val="28"/>
          <w:szCs w:val="24"/>
        </w:rPr>
      </w:pPr>
      <w:r>
        <w:rPr>
          <w:rFonts w:ascii="Arial" w:hAnsi="Arial" w:cs="Arial"/>
          <w:b/>
          <w:sz w:val="28"/>
          <w:szCs w:val="24"/>
        </w:rPr>
        <w:tab/>
      </w:r>
      <w:r w:rsidRPr="00DD6F35">
        <w:rPr>
          <w:rFonts w:ascii="Arial" w:hAnsi="Arial" w:cs="Arial"/>
          <w:b/>
          <w:sz w:val="28"/>
          <w:szCs w:val="24"/>
        </w:rPr>
        <w:t>Chuyển đổi bất động sản đầu tư</w:t>
      </w:r>
    </w:p>
    <w:p w:rsidR="00DD6F35" w:rsidRDefault="00DD6F35" w:rsidP="0048656B">
      <w:pPr>
        <w:tabs>
          <w:tab w:val="left" w:pos="720"/>
        </w:tabs>
        <w:spacing w:after="120" w:line="240" w:lineRule="auto"/>
        <w:ind w:left="720" w:right="14" w:hanging="720"/>
        <w:jc w:val="both"/>
        <w:rPr>
          <w:rFonts w:ascii="Times New Roman" w:hAnsi="Times New Roman" w:cs="Times New Roman"/>
          <w:sz w:val="24"/>
          <w:szCs w:val="24"/>
        </w:rPr>
      </w:pPr>
      <w:r w:rsidRPr="00B21026">
        <w:rPr>
          <w:rFonts w:ascii="Times New Roman" w:hAnsi="Times New Roman" w:cs="Times New Roman"/>
          <w:sz w:val="24"/>
          <w:szCs w:val="24"/>
        </w:rPr>
        <w:t>84C</w:t>
      </w:r>
      <w:r w:rsidRPr="00B21026">
        <w:rPr>
          <w:rFonts w:ascii="Times New Roman" w:hAnsi="Times New Roman" w:cs="Times New Roman"/>
          <w:sz w:val="24"/>
          <w:szCs w:val="24"/>
        </w:rPr>
        <w:tab/>
      </w:r>
      <w:r w:rsidR="00B21026" w:rsidRPr="00B21026">
        <w:rPr>
          <w:rFonts w:ascii="Times New Roman" w:hAnsi="Times New Roman" w:cs="Times New Roman"/>
          <w:i/>
          <w:sz w:val="24"/>
          <w:szCs w:val="24"/>
        </w:rPr>
        <w:t>Chuyển đổi Bất động sản đầu tư</w:t>
      </w:r>
      <w:r w:rsidR="00B21026">
        <w:rPr>
          <w:rFonts w:ascii="Times New Roman" w:hAnsi="Times New Roman" w:cs="Times New Roman"/>
          <w:sz w:val="24"/>
          <w:szCs w:val="24"/>
        </w:rPr>
        <w:t xml:space="preserve"> (điều chỉnh IAS 40), phát hành tháng 12 năm 2016, điều chỉnh các đoạn 57 và 58. Đơn vị phải áp dụng những điều chỉnh này cho việc thay đổi mục đích sử dụng phát sinh trong hoặc sau thời điểm bắt đầu niên độ báo cáo mà đơn vị áp dụng lần đầu những điều chỉnh này (n</w:t>
      </w:r>
      <w:r w:rsidR="003A6FD7">
        <w:rPr>
          <w:rFonts w:ascii="Times New Roman" w:hAnsi="Times New Roman" w:cs="Times New Roman"/>
          <w:sz w:val="24"/>
          <w:szCs w:val="24"/>
        </w:rPr>
        <w:t>g</w:t>
      </w:r>
      <w:r w:rsidR="00B21026">
        <w:rPr>
          <w:rFonts w:ascii="Times New Roman" w:hAnsi="Times New Roman" w:cs="Times New Roman"/>
          <w:sz w:val="24"/>
          <w:szCs w:val="24"/>
        </w:rPr>
        <w:t>ày áp dụng ban đầu). Vào ngày áp dụng ban đầu, đơn vị phải đánh giá lại những phân loại của bất động sản đang nắm giữ tại thời điểm đó và, nếu có thể, phân loại lại bất động sản</w:t>
      </w:r>
      <w:r w:rsidR="00EE0319">
        <w:rPr>
          <w:rFonts w:ascii="Times New Roman" w:hAnsi="Times New Roman" w:cs="Times New Roman"/>
          <w:sz w:val="24"/>
          <w:szCs w:val="24"/>
        </w:rPr>
        <w:t xml:space="preserve"> áp dụng quy định tại các đoạn từ 7 đến 14 để phản ánh hiện trạng đang tồn tại trong ngày đó.</w:t>
      </w:r>
    </w:p>
    <w:p w:rsidR="00EE0319" w:rsidRDefault="00EE0319"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84D</w:t>
      </w:r>
      <w:r>
        <w:rPr>
          <w:rFonts w:ascii="Times New Roman" w:hAnsi="Times New Roman" w:cs="Times New Roman"/>
          <w:sz w:val="24"/>
          <w:szCs w:val="24"/>
        </w:rPr>
        <w:tab/>
      </w:r>
      <w:r w:rsidR="0040738A">
        <w:rPr>
          <w:rFonts w:ascii="Times New Roman" w:hAnsi="Times New Roman" w:cs="Times New Roman"/>
          <w:sz w:val="24"/>
          <w:szCs w:val="24"/>
        </w:rPr>
        <w:t xml:space="preserve">Không kể đến quy định tại đoạn 84C, đơn vị được quyền áp dụng </w:t>
      </w:r>
      <w:r w:rsidR="00D36C5A">
        <w:rPr>
          <w:rFonts w:ascii="Times New Roman" w:hAnsi="Times New Roman" w:cs="Times New Roman"/>
          <w:sz w:val="24"/>
          <w:szCs w:val="24"/>
        </w:rPr>
        <w:t xml:space="preserve">hồi tố </w:t>
      </w:r>
      <w:r w:rsidR="0040738A">
        <w:rPr>
          <w:rFonts w:ascii="Times New Roman" w:hAnsi="Times New Roman" w:cs="Times New Roman"/>
          <w:sz w:val="24"/>
          <w:szCs w:val="24"/>
        </w:rPr>
        <w:t xml:space="preserve">điều chỉnh nêu trên cho các đoạn 57 và 58 tuân thủ quy định của IAS 8 khi, và chỉ khi, </w:t>
      </w:r>
      <w:r w:rsidR="008B1C18">
        <w:rPr>
          <w:rFonts w:ascii="Times New Roman" w:hAnsi="Times New Roman" w:cs="Times New Roman"/>
          <w:sz w:val="24"/>
          <w:szCs w:val="24"/>
        </w:rPr>
        <w:t>điều này là có thể mà không sử dụng đến những suy luận chỉ có sau khi sự kiện đã xảy ra.</w:t>
      </w:r>
    </w:p>
    <w:p w:rsidR="006079E4" w:rsidRDefault="008B1C18"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84E</w:t>
      </w:r>
      <w:r>
        <w:rPr>
          <w:rFonts w:ascii="Times New Roman" w:hAnsi="Times New Roman" w:cs="Times New Roman"/>
          <w:sz w:val="24"/>
          <w:szCs w:val="24"/>
        </w:rPr>
        <w:tab/>
      </w:r>
      <w:r w:rsidR="00D36C5A">
        <w:rPr>
          <w:rFonts w:ascii="Times New Roman" w:hAnsi="Times New Roman" w:cs="Times New Roman"/>
          <w:sz w:val="24"/>
          <w:szCs w:val="24"/>
        </w:rPr>
        <w:t xml:space="preserve">Nếu, theo quy định tại đoạn 84C, </w:t>
      </w:r>
      <w:r w:rsidR="008B1500">
        <w:rPr>
          <w:rFonts w:ascii="Times New Roman" w:hAnsi="Times New Roman" w:cs="Times New Roman"/>
          <w:sz w:val="24"/>
          <w:szCs w:val="24"/>
        </w:rPr>
        <w:t>đơn vị phân loại lại bất động sản tại thời điểm áp dụng ban đầu, đơn vị phải:</w:t>
      </w:r>
    </w:p>
    <w:p w:rsidR="006079E4" w:rsidRDefault="006079E4" w:rsidP="0048656B">
      <w:pPr>
        <w:pStyle w:val="ListParagraph"/>
        <w:numPr>
          <w:ilvl w:val="0"/>
          <w:numId w:val="6"/>
        </w:numPr>
        <w:tabs>
          <w:tab w:val="left" w:pos="1440"/>
        </w:tabs>
        <w:spacing w:after="120" w:line="240" w:lineRule="auto"/>
        <w:ind w:left="1440" w:right="14" w:hanging="720"/>
        <w:contextualSpacing w:val="0"/>
        <w:jc w:val="both"/>
        <w:rPr>
          <w:rFonts w:ascii="Times New Roman" w:hAnsi="Times New Roman" w:cs="Times New Roman"/>
          <w:sz w:val="24"/>
          <w:szCs w:val="24"/>
        </w:rPr>
      </w:pPr>
      <w:r>
        <w:rPr>
          <w:rFonts w:ascii="Times New Roman" w:hAnsi="Times New Roman" w:cs="Times New Roman"/>
          <w:sz w:val="24"/>
          <w:szCs w:val="24"/>
        </w:rPr>
        <w:t>ghi nhận việc phân loại lại áp dụng các quy định tại các đoạn từ 59 đến 64. Khi á</w:t>
      </w:r>
      <w:r w:rsidR="00FB3908">
        <w:rPr>
          <w:rFonts w:ascii="Times New Roman" w:hAnsi="Times New Roman" w:cs="Times New Roman"/>
          <w:sz w:val="24"/>
          <w:szCs w:val="24"/>
        </w:rPr>
        <w:t>p</w:t>
      </w:r>
      <w:r>
        <w:rPr>
          <w:rFonts w:ascii="Times New Roman" w:hAnsi="Times New Roman" w:cs="Times New Roman"/>
          <w:sz w:val="24"/>
          <w:szCs w:val="24"/>
        </w:rPr>
        <w:t xml:space="preserve"> dụng các đoạn từ 59 đến 64, đơn vị phải:</w:t>
      </w:r>
    </w:p>
    <w:p w:rsidR="008B1500" w:rsidRDefault="006079E4" w:rsidP="0048656B">
      <w:pPr>
        <w:pStyle w:val="ListParagraph"/>
        <w:numPr>
          <w:ilvl w:val="0"/>
          <w:numId w:val="7"/>
        </w:numPr>
        <w:tabs>
          <w:tab w:val="left" w:pos="2160"/>
        </w:tabs>
        <w:spacing w:after="120" w:line="240" w:lineRule="auto"/>
        <w:ind w:right="14"/>
        <w:contextualSpacing w:val="0"/>
        <w:jc w:val="both"/>
        <w:rPr>
          <w:rFonts w:ascii="Times New Roman" w:hAnsi="Times New Roman" w:cs="Times New Roman"/>
          <w:sz w:val="24"/>
          <w:szCs w:val="24"/>
        </w:rPr>
      </w:pPr>
      <w:r>
        <w:rPr>
          <w:rFonts w:ascii="Times New Roman" w:hAnsi="Times New Roman" w:cs="Times New Roman"/>
          <w:sz w:val="24"/>
          <w:szCs w:val="24"/>
        </w:rPr>
        <w:t xml:space="preserve">nghiên cứu các tài liệu tham khảo </w:t>
      </w:r>
      <w:r w:rsidR="003A6FD7">
        <w:rPr>
          <w:rFonts w:ascii="Times New Roman" w:hAnsi="Times New Roman" w:cs="Times New Roman"/>
          <w:sz w:val="24"/>
          <w:szCs w:val="24"/>
        </w:rPr>
        <w:t>tại</w:t>
      </w:r>
      <w:r>
        <w:rPr>
          <w:rFonts w:ascii="Times New Roman" w:hAnsi="Times New Roman" w:cs="Times New Roman"/>
          <w:sz w:val="24"/>
          <w:szCs w:val="24"/>
        </w:rPr>
        <w:t xml:space="preserve"> thời điểm thay đổi mục đích sử dụng</w:t>
      </w:r>
      <w:r w:rsidR="003A6FD7">
        <w:rPr>
          <w:rFonts w:ascii="Times New Roman" w:hAnsi="Times New Roman" w:cs="Times New Roman"/>
          <w:sz w:val="24"/>
          <w:szCs w:val="24"/>
        </w:rPr>
        <w:t>, coi</w:t>
      </w:r>
      <w:r>
        <w:rPr>
          <w:rFonts w:ascii="Times New Roman" w:hAnsi="Times New Roman" w:cs="Times New Roman"/>
          <w:sz w:val="24"/>
          <w:szCs w:val="24"/>
        </w:rPr>
        <w:t xml:space="preserve"> </w:t>
      </w:r>
      <w:r w:rsidR="003A6FD7">
        <w:rPr>
          <w:rFonts w:ascii="Times New Roman" w:hAnsi="Times New Roman" w:cs="Times New Roman"/>
          <w:sz w:val="24"/>
          <w:szCs w:val="24"/>
        </w:rPr>
        <w:t>như</w:t>
      </w:r>
      <w:r w:rsidR="00501167">
        <w:rPr>
          <w:rFonts w:ascii="Times New Roman" w:hAnsi="Times New Roman" w:cs="Times New Roman"/>
          <w:sz w:val="24"/>
          <w:szCs w:val="24"/>
        </w:rPr>
        <w:t xml:space="preserve"> thời điểm áp dụng ban đầu; và</w:t>
      </w:r>
    </w:p>
    <w:p w:rsidR="00501167" w:rsidRDefault="00501167" w:rsidP="0048656B">
      <w:pPr>
        <w:pStyle w:val="ListParagraph"/>
        <w:numPr>
          <w:ilvl w:val="0"/>
          <w:numId w:val="7"/>
        </w:numPr>
        <w:tabs>
          <w:tab w:val="left" w:pos="2160"/>
        </w:tabs>
        <w:spacing w:after="120" w:line="240" w:lineRule="auto"/>
        <w:ind w:right="14"/>
        <w:contextualSpacing w:val="0"/>
        <w:jc w:val="both"/>
        <w:rPr>
          <w:rFonts w:ascii="Times New Roman" w:hAnsi="Times New Roman" w:cs="Times New Roman"/>
          <w:sz w:val="24"/>
          <w:szCs w:val="24"/>
        </w:rPr>
      </w:pPr>
      <w:r>
        <w:rPr>
          <w:rFonts w:ascii="Times New Roman" w:hAnsi="Times New Roman" w:cs="Times New Roman"/>
          <w:sz w:val="24"/>
          <w:szCs w:val="24"/>
        </w:rPr>
        <w:t>ghi nhận các khoản mà, theo quy định tại các đoạn từ 59 đến 64, được ghi nhận trong báo cáo kết quả kinh doanh như m</w:t>
      </w:r>
      <w:r w:rsidR="003A6FD7">
        <w:rPr>
          <w:rFonts w:ascii="Times New Roman" w:hAnsi="Times New Roman" w:cs="Times New Roman"/>
          <w:sz w:val="24"/>
          <w:szCs w:val="24"/>
        </w:rPr>
        <w:t>ộ</w:t>
      </w:r>
      <w:r>
        <w:rPr>
          <w:rFonts w:ascii="Times New Roman" w:hAnsi="Times New Roman" w:cs="Times New Roman"/>
          <w:sz w:val="24"/>
          <w:szCs w:val="24"/>
        </w:rPr>
        <w:t>t khoản điều chỉnh số dư ban đầu của lợi nhuận giữ lại tại thời điểm áp dụng ban đầu.</w:t>
      </w:r>
    </w:p>
    <w:p w:rsidR="00501167" w:rsidRDefault="00501167" w:rsidP="0048656B">
      <w:pPr>
        <w:pStyle w:val="ListParagraph"/>
        <w:numPr>
          <w:ilvl w:val="0"/>
          <w:numId w:val="6"/>
        </w:numPr>
        <w:tabs>
          <w:tab w:val="left" w:pos="1440"/>
        </w:tabs>
        <w:spacing w:after="120" w:line="240" w:lineRule="auto"/>
        <w:ind w:left="1440" w:right="14"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Công bố thông tin về giá trị bị đánh giá lại từ, hoặc thành, bất động sản đầu tư theo quy định tại đoạn 84C. Đơn vị phải công bố thông tin về phần giá trị bị đánh giá lại như là một phần của việc đối chiếu giá </w:t>
      </w:r>
      <w:r w:rsidR="005C1C86">
        <w:rPr>
          <w:rFonts w:ascii="Times New Roman" w:hAnsi="Times New Roman" w:cs="Times New Roman"/>
          <w:sz w:val="24"/>
          <w:szCs w:val="24"/>
        </w:rPr>
        <w:t>trị ghi sổ của bất động sản đầu tư tại thời điểm bắt đầu và kết thúc của kỳ như quy định tại đoạn 76 và đoạn 79.</w:t>
      </w:r>
    </w:p>
    <w:p w:rsidR="00C137DD" w:rsidRPr="00C137DD" w:rsidRDefault="00C137DD" w:rsidP="0048656B">
      <w:pPr>
        <w:pBdr>
          <w:bottom w:val="single" w:sz="6" w:space="1" w:color="auto"/>
        </w:pBdr>
        <w:spacing w:before="200" w:after="120" w:line="240" w:lineRule="auto"/>
        <w:ind w:right="14"/>
        <w:jc w:val="both"/>
        <w:rPr>
          <w:rFonts w:ascii="Arial" w:hAnsi="Arial" w:cs="Arial"/>
          <w:b/>
          <w:sz w:val="28"/>
          <w:szCs w:val="24"/>
        </w:rPr>
      </w:pPr>
      <w:r w:rsidRPr="00C137DD">
        <w:rPr>
          <w:rFonts w:ascii="Arial" w:hAnsi="Arial" w:cs="Arial"/>
          <w:b/>
          <w:sz w:val="28"/>
          <w:szCs w:val="24"/>
        </w:rPr>
        <w:t>Ngày hiệu lực</w:t>
      </w:r>
    </w:p>
    <w:p w:rsidR="00C137DD" w:rsidRDefault="00C137DD"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r>
      <w:r w:rsidR="007C0F4E">
        <w:rPr>
          <w:rFonts w:ascii="Times New Roman" w:hAnsi="Times New Roman" w:cs="Times New Roman"/>
          <w:sz w:val="24"/>
          <w:szCs w:val="24"/>
        </w:rPr>
        <w:t xml:space="preserve">Đơn vị áp dụng Chuẩn mực này từ niên độ bắt đầu </w:t>
      </w:r>
      <w:r w:rsidR="00F0055C">
        <w:rPr>
          <w:rFonts w:ascii="Times New Roman" w:hAnsi="Times New Roman" w:cs="Times New Roman"/>
          <w:sz w:val="24"/>
          <w:szCs w:val="24"/>
        </w:rPr>
        <w:t>từ</w:t>
      </w:r>
      <w:r w:rsidR="007C0F4E">
        <w:rPr>
          <w:rFonts w:ascii="Times New Roman" w:hAnsi="Times New Roman" w:cs="Times New Roman"/>
          <w:sz w:val="24"/>
          <w:szCs w:val="24"/>
        </w:rPr>
        <w:t xml:space="preserve"> hoặc sau ngày 01 tháng </w:t>
      </w:r>
      <w:r w:rsidR="00A5571E">
        <w:rPr>
          <w:rFonts w:ascii="Times New Roman" w:hAnsi="Times New Roman" w:cs="Times New Roman"/>
          <w:sz w:val="24"/>
          <w:szCs w:val="24"/>
        </w:rPr>
        <w:t>01</w:t>
      </w:r>
      <w:r w:rsidR="007C0F4E">
        <w:rPr>
          <w:rFonts w:ascii="Times New Roman" w:hAnsi="Times New Roman" w:cs="Times New Roman"/>
          <w:sz w:val="24"/>
          <w:szCs w:val="24"/>
        </w:rPr>
        <w:t xml:space="preserve"> năm 2005. </w:t>
      </w:r>
      <w:r w:rsidR="00292294">
        <w:rPr>
          <w:rFonts w:ascii="Times New Roman" w:hAnsi="Times New Roman" w:cs="Times New Roman"/>
          <w:sz w:val="24"/>
          <w:szCs w:val="24"/>
        </w:rPr>
        <w:t xml:space="preserve">Áp dụng </w:t>
      </w:r>
      <w:r w:rsidR="001B502E">
        <w:rPr>
          <w:rFonts w:ascii="Times New Roman" w:hAnsi="Times New Roman" w:cs="Times New Roman"/>
          <w:sz w:val="24"/>
          <w:szCs w:val="24"/>
        </w:rPr>
        <w:t>cho các kỳ trước</w:t>
      </w:r>
      <w:r w:rsidR="00292294">
        <w:rPr>
          <w:rFonts w:ascii="Times New Roman" w:hAnsi="Times New Roman" w:cs="Times New Roman"/>
          <w:sz w:val="24"/>
          <w:szCs w:val="24"/>
        </w:rPr>
        <w:t xml:space="preserve"> được khuyến khích. N</w:t>
      </w:r>
      <w:r w:rsidR="00F0055C">
        <w:rPr>
          <w:rFonts w:ascii="Times New Roman" w:hAnsi="Times New Roman" w:cs="Times New Roman"/>
          <w:sz w:val="24"/>
          <w:szCs w:val="24"/>
        </w:rPr>
        <w:t>ế</w:t>
      </w:r>
      <w:r w:rsidR="00292294">
        <w:rPr>
          <w:rFonts w:ascii="Times New Roman" w:hAnsi="Times New Roman" w:cs="Times New Roman"/>
          <w:sz w:val="24"/>
          <w:szCs w:val="24"/>
        </w:rPr>
        <w:t xml:space="preserve">u đơn vị áp dụng Chuẩn mực này </w:t>
      </w:r>
      <w:bookmarkStart w:id="0" w:name="_GoBack"/>
      <w:bookmarkEnd w:id="0"/>
      <w:r w:rsidR="00292294">
        <w:rPr>
          <w:rFonts w:ascii="Times New Roman" w:hAnsi="Times New Roman" w:cs="Times New Roman"/>
          <w:sz w:val="24"/>
          <w:szCs w:val="24"/>
        </w:rPr>
        <w:t xml:space="preserve">trước ngày 01 tháng </w:t>
      </w:r>
      <w:r w:rsidR="00A5571E">
        <w:rPr>
          <w:rFonts w:ascii="Times New Roman" w:hAnsi="Times New Roman" w:cs="Times New Roman"/>
          <w:sz w:val="24"/>
          <w:szCs w:val="24"/>
        </w:rPr>
        <w:t>01</w:t>
      </w:r>
      <w:r w:rsidR="00292294">
        <w:rPr>
          <w:rFonts w:ascii="Times New Roman" w:hAnsi="Times New Roman" w:cs="Times New Roman"/>
          <w:sz w:val="24"/>
          <w:szCs w:val="24"/>
        </w:rPr>
        <w:t xml:space="preserve"> năm 2005, đơn vị phải công bố thông tin</w:t>
      </w:r>
      <w:r w:rsidR="003226A5">
        <w:rPr>
          <w:rFonts w:ascii="Times New Roman" w:hAnsi="Times New Roman" w:cs="Times New Roman"/>
          <w:sz w:val="24"/>
          <w:szCs w:val="24"/>
        </w:rPr>
        <w:t xml:space="preserve"> về việc đó</w:t>
      </w:r>
      <w:r w:rsidR="00292294">
        <w:rPr>
          <w:rFonts w:ascii="Times New Roman" w:hAnsi="Times New Roman" w:cs="Times New Roman"/>
          <w:sz w:val="24"/>
          <w:szCs w:val="24"/>
        </w:rPr>
        <w:t>.</w:t>
      </w:r>
    </w:p>
    <w:p w:rsidR="00292294" w:rsidRDefault="00292294"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lastRenderedPageBreak/>
        <w:t>85A</w:t>
      </w:r>
      <w:r>
        <w:rPr>
          <w:rFonts w:ascii="Times New Roman" w:hAnsi="Times New Roman" w:cs="Times New Roman"/>
          <w:sz w:val="24"/>
          <w:szCs w:val="24"/>
        </w:rPr>
        <w:tab/>
      </w:r>
      <w:r w:rsidR="00F0055C">
        <w:rPr>
          <w:rFonts w:ascii="Times New Roman" w:hAnsi="Times New Roman" w:cs="Times New Roman"/>
          <w:sz w:val="24"/>
          <w:szCs w:val="24"/>
        </w:rPr>
        <w:t xml:space="preserve">IAS 1 </w:t>
      </w:r>
      <w:r w:rsidR="00F0055C" w:rsidRPr="00F0055C">
        <w:rPr>
          <w:rFonts w:ascii="Times New Roman" w:hAnsi="Times New Roman" w:cs="Times New Roman"/>
          <w:i/>
          <w:sz w:val="24"/>
          <w:szCs w:val="24"/>
        </w:rPr>
        <w:t>Trình bày Báo cáo tài chính</w:t>
      </w:r>
      <w:r w:rsidR="00F0055C">
        <w:rPr>
          <w:rFonts w:ascii="Times New Roman" w:hAnsi="Times New Roman" w:cs="Times New Roman"/>
          <w:i/>
          <w:sz w:val="24"/>
          <w:szCs w:val="24"/>
        </w:rPr>
        <w:t xml:space="preserve"> </w:t>
      </w:r>
      <w:r w:rsidR="00F0055C">
        <w:rPr>
          <w:rFonts w:ascii="Times New Roman" w:hAnsi="Times New Roman" w:cs="Times New Roman"/>
          <w:sz w:val="24"/>
          <w:szCs w:val="24"/>
        </w:rPr>
        <w:t xml:space="preserve">(như đã được điều chỉnh vào năm 2007) </w:t>
      </w:r>
      <w:r w:rsidR="001B502E">
        <w:rPr>
          <w:rFonts w:ascii="Times New Roman" w:hAnsi="Times New Roman" w:cs="Times New Roman"/>
          <w:sz w:val="24"/>
          <w:szCs w:val="24"/>
        </w:rPr>
        <w:t>sửa đổi</w:t>
      </w:r>
      <w:r w:rsidR="00F0055C">
        <w:rPr>
          <w:rFonts w:ascii="Times New Roman" w:hAnsi="Times New Roman" w:cs="Times New Roman"/>
          <w:sz w:val="24"/>
          <w:szCs w:val="24"/>
        </w:rPr>
        <w:t xml:space="preserve"> các định nghĩa áp dụng xuyên suốt các chuẩn mực IFRS. Ngoài ra, nó còn </w:t>
      </w:r>
      <w:r w:rsidR="001B502E">
        <w:rPr>
          <w:rFonts w:ascii="Times New Roman" w:hAnsi="Times New Roman" w:cs="Times New Roman"/>
          <w:sz w:val="24"/>
          <w:szCs w:val="24"/>
        </w:rPr>
        <w:t>sửa đổi</w:t>
      </w:r>
      <w:r w:rsidR="00F0055C">
        <w:rPr>
          <w:rFonts w:ascii="Times New Roman" w:hAnsi="Times New Roman" w:cs="Times New Roman"/>
          <w:sz w:val="24"/>
          <w:szCs w:val="24"/>
        </w:rPr>
        <w:t xml:space="preserve"> đoạn 62. Đơn vị phải áp dụng những </w:t>
      </w:r>
      <w:r w:rsidR="001B502E">
        <w:rPr>
          <w:rFonts w:ascii="Times New Roman" w:hAnsi="Times New Roman" w:cs="Times New Roman"/>
          <w:sz w:val="24"/>
          <w:szCs w:val="24"/>
        </w:rPr>
        <w:t>sửa đổi</w:t>
      </w:r>
      <w:r w:rsidR="00F0055C">
        <w:rPr>
          <w:rFonts w:ascii="Times New Roman" w:hAnsi="Times New Roman" w:cs="Times New Roman"/>
          <w:sz w:val="24"/>
          <w:szCs w:val="24"/>
        </w:rPr>
        <w:t xml:space="preserve"> này cho niên độ bắt đầu từ hoặc sau ngày 01 tháng </w:t>
      </w:r>
      <w:r w:rsidR="00A5571E">
        <w:rPr>
          <w:rFonts w:ascii="Times New Roman" w:hAnsi="Times New Roman" w:cs="Times New Roman"/>
          <w:sz w:val="24"/>
          <w:szCs w:val="24"/>
        </w:rPr>
        <w:t>01</w:t>
      </w:r>
      <w:r w:rsidR="00F0055C">
        <w:rPr>
          <w:rFonts w:ascii="Times New Roman" w:hAnsi="Times New Roman" w:cs="Times New Roman"/>
          <w:sz w:val="24"/>
          <w:szCs w:val="24"/>
        </w:rPr>
        <w:t xml:space="preserve"> năm 2009. Nếu đơn vị áp dụng IAS 1 (</w:t>
      </w:r>
      <w:r w:rsidR="001B502E">
        <w:rPr>
          <w:rFonts w:ascii="Times New Roman" w:hAnsi="Times New Roman" w:cs="Times New Roman"/>
          <w:sz w:val="24"/>
          <w:szCs w:val="24"/>
        </w:rPr>
        <w:t>sửa đổi</w:t>
      </w:r>
      <w:r w:rsidR="00F0055C">
        <w:rPr>
          <w:rFonts w:ascii="Times New Roman" w:hAnsi="Times New Roman" w:cs="Times New Roman"/>
          <w:sz w:val="24"/>
          <w:szCs w:val="24"/>
        </w:rPr>
        <w:t xml:space="preserve"> năm 2007) cho kỳ trước </w:t>
      </w:r>
      <w:r w:rsidR="001B502E">
        <w:rPr>
          <w:rFonts w:ascii="Times New Roman" w:hAnsi="Times New Roman" w:cs="Times New Roman"/>
          <w:sz w:val="24"/>
          <w:szCs w:val="24"/>
        </w:rPr>
        <w:t>ngày hiệu lực</w:t>
      </w:r>
      <w:r w:rsidR="00F0055C">
        <w:rPr>
          <w:rFonts w:ascii="Times New Roman" w:hAnsi="Times New Roman" w:cs="Times New Roman"/>
          <w:sz w:val="24"/>
          <w:szCs w:val="24"/>
        </w:rPr>
        <w:t xml:space="preserve">, các </w:t>
      </w:r>
      <w:r w:rsidR="001B502E">
        <w:rPr>
          <w:rFonts w:ascii="Times New Roman" w:hAnsi="Times New Roman" w:cs="Times New Roman"/>
          <w:sz w:val="24"/>
          <w:szCs w:val="24"/>
        </w:rPr>
        <w:t>sửa đổi</w:t>
      </w:r>
      <w:r w:rsidR="00F0055C">
        <w:rPr>
          <w:rFonts w:ascii="Times New Roman" w:hAnsi="Times New Roman" w:cs="Times New Roman"/>
          <w:sz w:val="24"/>
          <w:szCs w:val="24"/>
        </w:rPr>
        <w:t xml:space="preserve"> cũng sẽ được áp dụng từ kỳ đó.</w:t>
      </w:r>
    </w:p>
    <w:p w:rsidR="00F0055C" w:rsidRDefault="00F0055C"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85</w:t>
      </w:r>
      <w:r w:rsidR="00A5571E">
        <w:rPr>
          <w:rFonts w:ascii="Times New Roman" w:hAnsi="Times New Roman" w:cs="Times New Roman"/>
          <w:sz w:val="24"/>
          <w:szCs w:val="24"/>
        </w:rPr>
        <w:t>B</w:t>
      </w:r>
      <w:r w:rsidR="00A5571E">
        <w:rPr>
          <w:rFonts w:ascii="Times New Roman" w:hAnsi="Times New Roman" w:cs="Times New Roman"/>
          <w:sz w:val="24"/>
          <w:szCs w:val="24"/>
        </w:rPr>
        <w:tab/>
        <w:t xml:space="preserve">Các đoạn 8, 9, 48, 53, 54 và 57 đã bị </w:t>
      </w:r>
      <w:r w:rsidR="001B502E">
        <w:rPr>
          <w:rFonts w:ascii="Times New Roman" w:hAnsi="Times New Roman" w:cs="Times New Roman"/>
          <w:sz w:val="24"/>
          <w:szCs w:val="24"/>
        </w:rPr>
        <w:t>sửa đổi</w:t>
      </w:r>
      <w:r w:rsidR="00A5571E">
        <w:rPr>
          <w:rFonts w:ascii="Times New Roman" w:hAnsi="Times New Roman" w:cs="Times New Roman"/>
          <w:sz w:val="24"/>
          <w:szCs w:val="24"/>
        </w:rPr>
        <w:t xml:space="preserve">, đoạn 22 đã bị xóa và đoạn 53A, </w:t>
      </w:r>
      <w:r w:rsidR="00820DEB">
        <w:rPr>
          <w:rFonts w:ascii="Times New Roman" w:hAnsi="Times New Roman" w:cs="Times New Roman"/>
          <w:sz w:val="24"/>
          <w:szCs w:val="24"/>
        </w:rPr>
        <w:t xml:space="preserve">53B đã được thêm vào bởi </w:t>
      </w:r>
      <w:r w:rsidR="00820DEB" w:rsidRPr="007F218A">
        <w:rPr>
          <w:rFonts w:ascii="Times New Roman" w:hAnsi="Times New Roman" w:cs="Times New Roman"/>
          <w:i/>
          <w:sz w:val="24"/>
          <w:szCs w:val="24"/>
        </w:rPr>
        <w:t>Báo cáo Điều chỉnh các chuẩn mực IFRS</w:t>
      </w:r>
      <w:r w:rsidR="00820DEB">
        <w:rPr>
          <w:rFonts w:ascii="Times New Roman" w:hAnsi="Times New Roman" w:cs="Times New Roman"/>
          <w:sz w:val="24"/>
          <w:szCs w:val="24"/>
        </w:rPr>
        <w:t xml:space="preserve"> phát hành tháng 05 năm 2008. Đơn vị phải áp dụng các </w:t>
      </w:r>
      <w:r w:rsidR="001B502E">
        <w:rPr>
          <w:rFonts w:ascii="Times New Roman" w:hAnsi="Times New Roman" w:cs="Times New Roman"/>
          <w:sz w:val="24"/>
          <w:szCs w:val="24"/>
        </w:rPr>
        <w:t>sửa đổi</w:t>
      </w:r>
      <w:r w:rsidR="00820DEB">
        <w:rPr>
          <w:rFonts w:ascii="Times New Roman" w:hAnsi="Times New Roman" w:cs="Times New Roman"/>
          <w:sz w:val="24"/>
          <w:szCs w:val="24"/>
        </w:rPr>
        <w:t xml:space="preserve"> này phi hồi tố cho niên độ bắt đầu từ hoặc sau 01 tháng 01 năm 2009</w:t>
      </w:r>
      <w:r w:rsidR="00F44100">
        <w:rPr>
          <w:rFonts w:ascii="Times New Roman" w:hAnsi="Times New Roman" w:cs="Times New Roman"/>
          <w:sz w:val="24"/>
          <w:szCs w:val="24"/>
        </w:rPr>
        <w:t xml:space="preserve">. </w:t>
      </w:r>
      <w:r w:rsidR="001B502E">
        <w:rPr>
          <w:rFonts w:ascii="Times New Roman" w:hAnsi="Times New Roman" w:cs="Times New Roman"/>
          <w:sz w:val="24"/>
          <w:szCs w:val="24"/>
        </w:rPr>
        <w:t>Đ</w:t>
      </w:r>
      <w:r w:rsidR="00F44100">
        <w:rPr>
          <w:rFonts w:ascii="Times New Roman" w:hAnsi="Times New Roman" w:cs="Times New Roman"/>
          <w:sz w:val="24"/>
          <w:szCs w:val="24"/>
        </w:rPr>
        <w:t xml:space="preserve">ơn vị được phép áp dụng </w:t>
      </w:r>
      <w:r w:rsidR="007F218A">
        <w:rPr>
          <w:rFonts w:ascii="Times New Roman" w:hAnsi="Times New Roman" w:cs="Times New Roman"/>
          <w:sz w:val="24"/>
          <w:szCs w:val="24"/>
        </w:rPr>
        <w:t>sửa đổi</w:t>
      </w:r>
      <w:r w:rsidR="00F44100">
        <w:rPr>
          <w:rFonts w:ascii="Times New Roman" w:hAnsi="Times New Roman" w:cs="Times New Roman"/>
          <w:sz w:val="24"/>
          <w:szCs w:val="24"/>
        </w:rPr>
        <w:t xml:space="preserve"> cho </w:t>
      </w:r>
      <w:r w:rsidR="00451146">
        <w:rPr>
          <w:rFonts w:ascii="Times New Roman" w:hAnsi="Times New Roman" w:cs="Times New Roman"/>
          <w:sz w:val="24"/>
          <w:szCs w:val="24"/>
        </w:rPr>
        <w:t>bất động sản đầu tư đang trong quá trình xây dựng</w:t>
      </w:r>
      <w:r w:rsidR="00F44100">
        <w:rPr>
          <w:rFonts w:ascii="Times New Roman" w:hAnsi="Times New Roman" w:cs="Times New Roman"/>
          <w:sz w:val="24"/>
          <w:szCs w:val="24"/>
        </w:rPr>
        <w:t xml:space="preserve"> từ bất kỳ ngày nào trước thời điểm ngà</w:t>
      </w:r>
      <w:r w:rsidR="0072600B">
        <w:rPr>
          <w:rFonts w:ascii="Times New Roman" w:hAnsi="Times New Roman" w:cs="Times New Roman"/>
          <w:sz w:val="24"/>
          <w:szCs w:val="24"/>
        </w:rPr>
        <w:t>y</w:t>
      </w:r>
      <w:r w:rsidR="00F44100">
        <w:rPr>
          <w:rFonts w:ascii="Times New Roman" w:hAnsi="Times New Roman" w:cs="Times New Roman"/>
          <w:sz w:val="24"/>
          <w:szCs w:val="24"/>
        </w:rPr>
        <w:t xml:space="preserve"> 01 tháng 01 năm 2009,</w:t>
      </w:r>
      <w:r w:rsidR="00F15FDD">
        <w:rPr>
          <w:rFonts w:ascii="Times New Roman" w:hAnsi="Times New Roman" w:cs="Times New Roman"/>
          <w:sz w:val="24"/>
          <w:szCs w:val="24"/>
        </w:rPr>
        <w:t xml:space="preserve"> với điều kiện giá trị hợp lý của những </w:t>
      </w:r>
      <w:r w:rsidR="00451146">
        <w:rPr>
          <w:rFonts w:ascii="Times New Roman" w:hAnsi="Times New Roman" w:cs="Times New Roman"/>
          <w:sz w:val="24"/>
          <w:szCs w:val="24"/>
        </w:rPr>
        <w:t>bất động sản đầu tư đang trong quá trình xây dựng</w:t>
      </w:r>
      <w:r w:rsidR="00F15FDD">
        <w:rPr>
          <w:rFonts w:ascii="Times New Roman" w:hAnsi="Times New Roman" w:cs="Times New Roman"/>
          <w:sz w:val="24"/>
          <w:szCs w:val="24"/>
        </w:rPr>
        <w:t xml:space="preserve"> đã được xác định vào ngày áp dụng </w:t>
      </w:r>
      <w:r w:rsidR="001B502E">
        <w:rPr>
          <w:rFonts w:ascii="Times New Roman" w:hAnsi="Times New Roman" w:cs="Times New Roman"/>
          <w:sz w:val="24"/>
          <w:szCs w:val="24"/>
        </w:rPr>
        <w:t>sửa đổi</w:t>
      </w:r>
      <w:r w:rsidR="00F15FDD">
        <w:rPr>
          <w:rFonts w:ascii="Times New Roman" w:hAnsi="Times New Roman" w:cs="Times New Roman"/>
          <w:sz w:val="24"/>
          <w:szCs w:val="24"/>
        </w:rPr>
        <w:t xml:space="preserve">. Việc áp dụng sớm hơn ngày hiệu lực được cho phép. Nếu đơn vị áp dụng </w:t>
      </w:r>
      <w:r w:rsidR="001B502E">
        <w:rPr>
          <w:rFonts w:ascii="Times New Roman" w:hAnsi="Times New Roman" w:cs="Times New Roman"/>
          <w:sz w:val="24"/>
          <w:szCs w:val="24"/>
        </w:rPr>
        <w:t>các sửa đổi</w:t>
      </w:r>
      <w:r w:rsidR="00F15FDD">
        <w:rPr>
          <w:rFonts w:ascii="Times New Roman" w:hAnsi="Times New Roman" w:cs="Times New Roman"/>
          <w:sz w:val="24"/>
          <w:szCs w:val="24"/>
        </w:rPr>
        <w:t xml:space="preserve"> cho một khoảng thời gian sớm hơn ngày hiệu lực, đơn vị phải công bố thông tin này và áp dụng đồng thời </w:t>
      </w:r>
      <w:r w:rsidR="001B502E">
        <w:rPr>
          <w:rFonts w:ascii="Times New Roman" w:hAnsi="Times New Roman" w:cs="Times New Roman"/>
          <w:sz w:val="24"/>
          <w:szCs w:val="24"/>
        </w:rPr>
        <w:t>sửa đổi</w:t>
      </w:r>
      <w:r w:rsidR="00F15FDD">
        <w:rPr>
          <w:rFonts w:ascii="Times New Roman" w:hAnsi="Times New Roman" w:cs="Times New Roman"/>
          <w:sz w:val="24"/>
          <w:szCs w:val="24"/>
        </w:rPr>
        <w:t xml:space="preserve"> cho đoạn 5 và đoạn 81E của IAS 16 </w:t>
      </w:r>
      <w:r w:rsidR="00F15FDD" w:rsidRPr="00F15FDD">
        <w:rPr>
          <w:rFonts w:ascii="Times New Roman" w:hAnsi="Times New Roman" w:cs="Times New Roman"/>
          <w:i/>
          <w:sz w:val="24"/>
          <w:szCs w:val="24"/>
        </w:rPr>
        <w:t>Tài sản cố định</w:t>
      </w:r>
      <w:r w:rsidR="00F15FDD">
        <w:rPr>
          <w:rFonts w:ascii="Times New Roman" w:hAnsi="Times New Roman" w:cs="Times New Roman"/>
          <w:sz w:val="24"/>
          <w:szCs w:val="24"/>
        </w:rPr>
        <w:t>.</w:t>
      </w:r>
    </w:p>
    <w:p w:rsidR="00F15FDD" w:rsidRDefault="00F15FDD"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85C</w:t>
      </w:r>
      <w:r>
        <w:rPr>
          <w:rFonts w:ascii="Times New Roman" w:hAnsi="Times New Roman" w:cs="Times New Roman"/>
          <w:sz w:val="24"/>
          <w:szCs w:val="24"/>
        </w:rPr>
        <w:tab/>
        <w:t xml:space="preserve">IFRS 13, phát hành tháng 05 năm 2011, </w:t>
      </w:r>
      <w:r w:rsidR="00FA391F">
        <w:rPr>
          <w:rFonts w:ascii="Times New Roman" w:hAnsi="Times New Roman" w:cs="Times New Roman"/>
          <w:sz w:val="24"/>
          <w:szCs w:val="24"/>
        </w:rPr>
        <w:t>sửa đổi</w:t>
      </w:r>
      <w:r>
        <w:rPr>
          <w:rFonts w:ascii="Times New Roman" w:hAnsi="Times New Roman" w:cs="Times New Roman"/>
          <w:sz w:val="24"/>
          <w:szCs w:val="24"/>
        </w:rPr>
        <w:t xml:space="preserve"> định nghĩa về giá trị hợp lý trong đoạn 5, </w:t>
      </w:r>
      <w:r w:rsidR="00FA391F">
        <w:rPr>
          <w:rFonts w:ascii="Times New Roman" w:hAnsi="Times New Roman" w:cs="Times New Roman"/>
          <w:sz w:val="24"/>
          <w:szCs w:val="24"/>
        </w:rPr>
        <w:t>sửa đổi</w:t>
      </w:r>
      <w:r>
        <w:rPr>
          <w:rFonts w:ascii="Times New Roman" w:hAnsi="Times New Roman" w:cs="Times New Roman"/>
          <w:sz w:val="24"/>
          <w:szCs w:val="24"/>
        </w:rPr>
        <w:t xml:space="preserve"> các đoạn: 26, 29, 32, 40, 48, 53, 53B, </w:t>
      </w:r>
      <w:r w:rsidR="007F218A">
        <w:rPr>
          <w:rFonts w:ascii="Times New Roman" w:hAnsi="Times New Roman" w:cs="Times New Roman"/>
          <w:sz w:val="24"/>
          <w:szCs w:val="24"/>
        </w:rPr>
        <w:t xml:space="preserve">từ </w:t>
      </w:r>
      <w:r>
        <w:rPr>
          <w:rFonts w:ascii="Times New Roman" w:hAnsi="Times New Roman" w:cs="Times New Roman"/>
          <w:sz w:val="24"/>
          <w:szCs w:val="24"/>
        </w:rPr>
        <w:t>78</w:t>
      </w:r>
      <w:r w:rsidR="007F218A">
        <w:rPr>
          <w:rFonts w:ascii="Times New Roman" w:hAnsi="Times New Roman" w:cs="Times New Roman"/>
          <w:sz w:val="24"/>
          <w:szCs w:val="24"/>
        </w:rPr>
        <w:t xml:space="preserve"> đến </w:t>
      </w:r>
      <w:r>
        <w:rPr>
          <w:rFonts w:ascii="Times New Roman" w:hAnsi="Times New Roman" w:cs="Times New Roman"/>
          <w:sz w:val="24"/>
          <w:szCs w:val="24"/>
        </w:rPr>
        <w:t xml:space="preserve">80 và 85B và xóa các đoạn từ 36 đến 39, từ 42 đến 47, 49, </w:t>
      </w:r>
      <w:r w:rsidR="007F218A">
        <w:rPr>
          <w:rFonts w:ascii="Times New Roman" w:hAnsi="Times New Roman" w:cs="Times New Roman"/>
          <w:sz w:val="24"/>
          <w:szCs w:val="24"/>
        </w:rPr>
        <w:t xml:space="preserve">51 </w:t>
      </w:r>
      <w:r>
        <w:rPr>
          <w:rFonts w:ascii="Times New Roman" w:hAnsi="Times New Roman" w:cs="Times New Roman"/>
          <w:sz w:val="24"/>
          <w:szCs w:val="24"/>
        </w:rPr>
        <w:t xml:space="preserve">và 75(d). </w:t>
      </w:r>
      <w:r w:rsidR="00FA391F">
        <w:rPr>
          <w:rFonts w:ascii="Times New Roman" w:hAnsi="Times New Roman" w:cs="Times New Roman"/>
          <w:sz w:val="24"/>
          <w:szCs w:val="24"/>
        </w:rPr>
        <w:t>Đ</w:t>
      </w:r>
      <w:r>
        <w:rPr>
          <w:rFonts w:ascii="Times New Roman" w:hAnsi="Times New Roman" w:cs="Times New Roman"/>
          <w:sz w:val="24"/>
          <w:szCs w:val="24"/>
        </w:rPr>
        <w:t xml:space="preserve">ơn vị phải áp dụng các </w:t>
      </w:r>
      <w:r w:rsidR="00FA391F">
        <w:rPr>
          <w:rFonts w:ascii="Times New Roman" w:hAnsi="Times New Roman" w:cs="Times New Roman"/>
          <w:sz w:val="24"/>
          <w:szCs w:val="24"/>
        </w:rPr>
        <w:t>sửa đổi</w:t>
      </w:r>
      <w:r>
        <w:rPr>
          <w:rFonts w:ascii="Times New Roman" w:hAnsi="Times New Roman" w:cs="Times New Roman"/>
          <w:sz w:val="24"/>
          <w:szCs w:val="24"/>
        </w:rPr>
        <w:t xml:space="preserve"> này khi áp dụng IFRS 13.</w:t>
      </w:r>
    </w:p>
    <w:p w:rsidR="00F15FDD" w:rsidRDefault="00F15FDD"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85D</w:t>
      </w:r>
      <w:r>
        <w:rPr>
          <w:rFonts w:ascii="Times New Roman" w:hAnsi="Times New Roman" w:cs="Times New Roman"/>
          <w:sz w:val="24"/>
          <w:szCs w:val="24"/>
        </w:rPr>
        <w:tab/>
      </w:r>
      <w:r w:rsidR="009F7733" w:rsidRPr="00CF1772">
        <w:rPr>
          <w:rFonts w:ascii="Times New Roman" w:hAnsi="Times New Roman" w:cs="Times New Roman"/>
          <w:i/>
          <w:sz w:val="24"/>
          <w:szCs w:val="24"/>
        </w:rPr>
        <w:t>Báo cáo</w:t>
      </w:r>
      <w:r w:rsidR="009F7733">
        <w:rPr>
          <w:rFonts w:ascii="Times New Roman" w:hAnsi="Times New Roman" w:cs="Times New Roman"/>
          <w:sz w:val="24"/>
          <w:szCs w:val="24"/>
        </w:rPr>
        <w:t xml:space="preserve"> </w:t>
      </w:r>
      <w:r w:rsidR="009F7733" w:rsidRPr="00CF1772">
        <w:rPr>
          <w:rFonts w:ascii="Times New Roman" w:hAnsi="Times New Roman" w:cs="Times New Roman"/>
          <w:i/>
          <w:sz w:val="24"/>
          <w:szCs w:val="24"/>
        </w:rPr>
        <w:t>Điều chỉnh hàng năm cho chu kỳ 2011-2013</w:t>
      </w:r>
      <w:r w:rsidR="009F7733">
        <w:rPr>
          <w:rFonts w:ascii="Times New Roman" w:hAnsi="Times New Roman" w:cs="Times New Roman"/>
          <w:sz w:val="24"/>
          <w:szCs w:val="24"/>
        </w:rPr>
        <w:t xml:space="preserve">, phát hành tháng 12 năm 2013 bổ sung phần </w:t>
      </w:r>
      <w:r w:rsidR="00FA391F">
        <w:rPr>
          <w:rFonts w:ascii="Times New Roman" w:hAnsi="Times New Roman" w:cs="Times New Roman"/>
          <w:sz w:val="24"/>
          <w:szCs w:val="24"/>
        </w:rPr>
        <w:t>tiêu đề</w:t>
      </w:r>
      <w:r w:rsidR="009F7733">
        <w:rPr>
          <w:rFonts w:ascii="Times New Roman" w:hAnsi="Times New Roman" w:cs="Times New Roman"/>
          <w:sz w:val="24"/>
          <w:szCs w:val="24"/>
        </w:rPr>
        <w:t xml:space="preserve"> trước đoạn 6 và sau đoạn 84, bổ sung đoạn 14A và đoạn 84A. </w:t>
      </w:r>
      <w:r w:rsidR="00FA391F">
        <w:rPr>
          <w:rFonts w:ascii="Times New Roman" w:hAnsi="Times New Roman" w:cs="Times New Roman"/>
          <w:sz w:val="24"/>
          <w:szCs w:val="24"/>
        </w:rPr>
        <w:t>Đ</w:t>
      </w:r>
      <w:r w:rsidR="009F7733">
        <w:rPr>
          <w:rFonts w:ascii="Times New Roman" w:hAnsi="Times New Roman" w:cs="Times New Roman"/>
          <w:sz w:val="24"/>
          <w:szCs w:val="24"/>
        </w:rPr>
        <w:t xml:space="preserve">ơn vị phải áp dụng các </w:t>
      </w:r>
      <w:r w:rsidR="00FA391F">
        <w:rPr>
          <w:rFonts w:ascii="Times New Roman" w:hAnsi="Times New Roman" w:cs="Times New Roman"/>
          <w:sz w:val="24"/>
          <w:szCs w:val="24"/>
        </w:rPr>
        <w:t>sửa đổi</w:t>
      </w:r>
      <w:r w:rsidR="009F7733">
        <w:rPr>
          <w:rFonts w:ascii="Times New Roman" w:hAnsi="Times New Roman" w:cs="Times New Roman"/>
          <w:sz w:val="24"/>
          <w:szCs w:val="24"/>
        </w:rPr>
        <w:t xml:space="preserve"> này cho niên độ bắt đầu từ hoặc sau ngày 01 tháng 07 năm 2014. Việc áp dụng sớm </w:t>
      </w:r>
      <w:r w:rsidR="00FA391F">
        <w:rPr>
          <w:rFonts w:ascii="Times New Roman" w:hAnsi="Times New Roman" w:cs="Times New Roman"/>
          <w:sz w:val="24"/>
          <w:szCs w:val="24"/>
        </w:rPr>
        <w:t xml:space="preserve">hơn ngày hiệu lực </w:t>
      </w:r>
      <w:r w:rsidR="009F7733">
        <w:rPr>
          <w:rFonts w:ascii="Times New Roman" w:hAnsi="Times New Roman" w:cs="Times New Roman"/>
          <w:sz w:val="24"/>
          <w:szCs w:val="24"/>
        </w:rPr>
        <w:t xml:space="preserve">được cho phép. Nếu một đơn vị áp dụng các </w:t>
      </w:r>
      <w:r w:rsidR="00FA391F">
        <w:rPr>
          <w:rFonts w:ascii="Times New Roman" w:hAnsi="Times New Roman" w:cs="Times New Roman"/>
          <w:sz w:val="24"/>
          <w:szCs w:val="24"/>
        </w:rPr>
        <w:t>sửa đổi</w:t>
      </w:r>
      <w:r w:rsidR="009F7733">
        <w:rPr>
          <w:rFonts w:ascii="Times New Roman" w:hAnsi="Times New Roman" w:cs="Times New Roman"/>
          <w:sz w:val="24"/>
          <w:szCs w:val="24"/>
        </w:rPr>
        <w:t xml:space="preserve"> này cho một kỳ trước ngày hiệu lực, đơn vị cần công bố thông tin này.</w:t>
      </w:r>
    </w:p>
    <w:p w:rsidR="009F7733" w:rsidRDefault="009F7733"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85E</w:t>
      </w:r>
      <w:r>
        <w:rPr>
          <w:rFonts w:ascii="Times New Roman" w:hAnsi="Times New Roman" w:cs="Times New Roman"/>
          <w:sz w:val="24"/>
          <w:szCs w:val="24"/>
        </w:rPr>
        <w:tab/>
        <w:t xml:space="preserve">IFRS 15 </w:t>
      </w:r>
      <w:r w:rsidRPr="009F7733">
        <w:rPr>
          <w:rFonts w:ascii="Times New Roman" w:hAnsi="Times New Roman" w:cs="Times New Roman"/>
          <w:i/>
          <w:sz w:val="24"/>
          <w:szCs w:val="24"/>
        </w:rPr>
        <w:t>Doanh thu từ Hợp đồng với khách hàng</w:t>
      </w:r>
      <w:r>
        <w:rPr>
          <w:rFonts w:ascii="Times New Roman" w:hAnsi="Times New Roman" w:cs="Times New Roman"/>
          <w:sz w:val="24"/>
          <w:szCs w:val="24"/>
        </w:rPr>
        <w:t xml:space="preserve">, phát hành tháng 05 năm 2014, </w:t>
      </w:r>
      <w:r w:rsidR="00FA391F">
        <w:rPr>
          <w:rFonts w:ascii="Times New Roman" w:hAnsi="Times New Roman" w:cs="Times New Roman"/>
          <w:sz w:val="24"/>
          <w:szCs w:val="24"/>
        </w:rPr>
        <w:t>sửa đổi</w:t>
      </w:r>
      <w:r>
        <w:rPr>
          <w:rFonts w:ascii="Times New Roman" w:hAnsi="Times New Roman" w:cs="Times New Roman"/>
          <w:sz w:val="24"/>
          <w:szCs w:val="24"/>
        </w:rPr>
        <w:t xml:space="preserve"> các đoạn 3(b), 9, 67 và 70. </w:t>
      </w:r>
      <w:r w:rsidR="00FA391F">
        <w:rPr>
          <w:rFonts w:ascii="Times New Roman" w:hAnsi="Times New Roman" w:cs="Times New Roman"/>
          <w:sz w:val="24"/>
          <w:szCs w:val="24"/>
        </w:rPr>
        <w:t>Đ</w:t>
      </w:r>
      <w:r>
        <w:rPr>
          <w:rFonts w:ascii="Times New Roman" w:hAnsi="Times New Roman" w:cs="Times New Roman"/>
          <w:sz w:val="24"/>
          <w:szCs w:val="24"/>
        </w:rPr>
        <w:t xml:space="preserve">ơn vị phải áp dụng các </w:t>
      </w:r>
      <w:r w:rsidR="00FA391F">
        <w:rPr>
          <w:rFonts w:ascii="Times New Roman" w:hAnsi="Times New Roman" w:cs="Times New Roman"/>
          <w:sz w:val="24"/>
          <w:szCs w:val="24"/>
        </w:rPr>
        <w:t>sửa đổi</w:t>
      </w:r>
      <w:r>
        <w:rPr>
          <w:rFonts w:ascii="Times New Roman" w:hAnsi="Times New Roman" w:cs="Times New Roman"/>
          <w:sz w:val="24"/>
          <w:szCs w:val="24"/>
        </w:rPr>
        <w:t xml:space="preserve"> này khi áp dụng IFRS 15.</w:t>
      </w:r>
    </w:p>
    <w:p w:rsidR="009F7733" w:rsidRDefault="009F7733"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85F</w:t>
      </w:r>
      <w:r>
        <w:rPr>
          <w:rFonts w:ascii="Times New Roman" w:hAnsi="Times New Roman" w:cs="Times New Roman"/>
          <w:sz w:val="24"/>
          <w:szCs w:val="24"/>
        </w:rPr>
        <w:tab/>
        <w:t xml:space="preserve">IFRS 16, phát hành tháng 01 năm 2016, </w:t>
      </w:r>
      <w:r w:rsidR="00FA391F">
        <w:rPr>
          <w:rFonts w:ascii="Times New Roman" w:hAnsi="Times New Roman" w:cs="Times New Roman"/>
          <w:sz w:val="24"/>
          <w:szCs w:val="24"/>
        </w:rPr>
        <w:t>sửa đổi</w:t>
      </w:r>
      <w:r>
        <w:rPr>
          <w:rFonts w:ascii="Times New Roman" w:hAnsi="Times New Roman" w:cs="Times New Roman"/>
          <w:sz w:val="24"/>
          <w:szCs w:val="24"/>
        </w:rPr>
        <w:t xml:space="preserve"> phạm vi áp dụng của IAS 40 bằng việc định nghĩa bất động sản đầu tư bao gồm cả bất động sản đầu tư được sở hữu và bất động sản nắm giữ bởi bên đi thuê như tài sản có quyền sử dụng. IFRS 16 </w:t>
      </w:r>
      <w:r w:rsidR="00FA391F">
        <w:rPr>
          <w:rFonts w:ascii="Times New Roman" w:hAnsi="Times New Roman" w:cs="Times New Roman"/>
          <w:sz w:val="24"/>
          <w:szCs w:val="24"/>
        </w:rPr>
        <w:t>sửa đổi</w:t>
      </w:r>
      <w:r>
        <w:rPr>
          <w:rFonts w:ascii="Times New Roman" w:hAnsi="Times New Roman" w:cs="Times New Roman"/>
          <w:sz w:val="24"/>
          <w:szCs w:val="24"/>
        </w:rPr>
        <w:t xml:space="preserve"> các đoạn 5, 7, 8, 9, 16, 20, 30, 41, 50, 53, 53A, 54, 56, 60, 61, 62, 67, 69, 74, 75, 77 và 78, bổ sung các đoạn 19A, 29A, 40A và 84B và thay thế các phần </w:t>
      </w:r>
      <w:r w:rsidR="00FA391F">
        <w:rPr>
          <w:rFonts w:ascii="Times New Roman" w:hAnsi="Times New Roman" w:cs="Times New Roman"/>
          <w:sz w:val="24"/>
          <w:szCs w:val="24"/>
        </w:rPr>
        <w:t>tiêu đề</w:t>
      </w:r>
      <w:r>
        <w:rPr>
          <w:rFonts w:ascii="Times New Roman" w:hAnsi="Times New Roman" w:cs="Times New Roman"/>
          <w:sz w:val="24"/>
          <w:szCs w:val="24"/>
        </w:rPr>
        <w:t xml:space="preserve"> tương ứng, và xóa các đoạ</w:t>
      </w:r>
      <w:r w:rsidR="007F218A">
        <w:rPr>
          <w:rFonts w:ascii="Times New Roman" w:hAnsi="Times New Roman" w:cs="Times New Roman"/>
          <w:sz w:val="24"/>
          <w:szCs w:val="24"/>
        </w:rPr>
        <w:t>n 3, 6, 25, 2</w:t>
      </w:r>
      <w:r>
        <w:rPr>
          <w:rFonts w:ascii="Times New Roman" w:hAnsi="Times New Roman" w:cs="Times New Roman"/>
          <w:sz w:val="24"/>
          <w:szCs w:val="24"/>
        </w:rPr>
        <w:t>6 và 34</w:t>
      </w:r>
      <w:r w:rsidR="0050751D">
        <w:rPr>
          <w:rFonts w:ascii="Times New Roman" w:hAnsi="Times New Roman" w:cs="Times New Roman"/>
          <w:sz w:val="24"/>
          <w:szCs w:val="24"/>
        </w:rPr>
        <w:t xml:space="preserve">. Đơn vị phải áp dụng các </w:t>
      </w:r>
      <w:r w:rsidR="00FA391F">
        <w:rPr>
          <w:rFonts w:ascii="Times New Roman" w:hAnsi="Times New Roman" w:cs="Times New Roman"/>
          <w:sz w:val="24"/>
          <w:szCs w:val="24"/>
        </w:rPr>
        <w:t>sửa đổi</w:t>
      </w:r>
      <w:r w:rsidR="0050751D">
        <w:rPr>
          <w:rFonts w:ascii="Times New Roman" w:hAnsi="Times New Roman" w:cs="Times New Roman"/>
          <w:sz w:val="24"/>
          <w:szCs w:val="24"/>
        </w:rPr>
        <w:t xml:space="preserve"> này khi áp dụng IFRS 16.</w:t>
      </w:r>
    </w:p>
    <w:p w:rsidR="0050751D" w:rsidRDefault="0050751D"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85G</w:t>
      </w:r>
      <w:r>
        <w:rPr>
          <w:rFonts w:ascii="Times New Roman" w:hAnsi="Times New Roman" w:cs="Times New Roman"/>
          <w:sz w:val="24"/>
          <w:szCs w:val="24"/>
        </w:rPr>
        <w:tab/>
      </w:r>
      <w:r w:rsidR="00587BE8">
        <w:rPr>
          <w:rFonts w:ascii="Times New Roman" w:hAnsi="Times New Roman" w:cs="Times New Roman"/>
          <w:i/>
          <w:sz w:val="24"/>
          <w:szCs w:val="24"/>
        </w:rPr>
        <w:t>Chuyển đổi</w:t>
      </w:r>
      <w:r w:rsidR="00587BE8" w:rsidRPr="00264295">
        <w:rPr>
          <w:rFonts w:ascii="Times New Roman" w:hAnsi="Times New Roman" w:cs="Times New Roman"/>
          <w:i/>
          <w:sz w:val="24"/>
          <w:szCs w:val="24"/>
        </w:rPr>
        <w:t xml:space="preserve"> Bất động sản đầu tư</w:t>
      </w:r>
      <w:r w:rsidR="00587BE8">
        <w:rPr>
          <w:rFonts w:ascii="Times New Roman" w:hAnsi="Times New Roman" w:cs="Times New Roman"/>
          <w:sz w:val="24"/>
          <w:szCs w:val="24"/>
        </w:rPr>
        <w:t xml:space="preserve"> (sửa đổi cho IAS 40), phát hành tháng 12 năm 2016, </w:t>
      </w:r>
      <w:r w:rsidR="00FA391F">
        <w:rPr>
          <w:rFonts w:ascii="Times New Roman" w:hAnsi="Times New Roman" w:cs="Times New Roman"/>
          <w:sz w:val="24"/>
          <w:szCs w:val="24"/>
        </w:rPr>
        <w:t>sửa đổi</w:t>
      </w:r>
      <w:r w:rsidR="00587BE8">
        <w:rPr>
          <w:rFonts w:ascii="Times New Roman" w:hAnsi="Times New Roman" w:cs="Times New Roman"/>
          <w:sz w:val="24"/>
          <w:szCs w:val="24"/>
        </w:rPr>
        <w:t xml:space="preserve"> các đoạn 57, 58 và bổ sung các đoạn từ 84C đến 84E. Đơn vị phải áp dụng các sửa đổi này cho niên độ bắt đầu từ </w:t>
      </w:r>
      <w:r w:rsidR="00FA391F">
        <w:rPr>
          <w:rFonts w:ascii="Times New Roman" w:hAnsi="Times New Roman" w:cs="Times New Roman"/>
          <w:sz w:val="24"/>
          <w:szCs w:val="24"/>
        </w:rPr>
        <w:t>hoặc</w:t>
      </w:r>
      <w:r w:rsidR="00587BE8">
        <w:rPr>
          <w:rFonts w:ascii="Times New Roman" w:hAnsi="Times New Roman" w:cs="Times New Roman"/>
          <w:sz w:val="24"/>
          <w:szCs w:val="24"/>
        </w:rPr>
        <w:t xml:space="preserve"> sau ngày 01 tháng 01 năm 2018. Việc áp dụng trước được cho phép. Nếu đơn vị áp dụng các sửa đổi này cho một kỳ trước ngày hiệu lực, đơn vị phải công bố thông tin.</w:t>
      </w:r>
    </w:p>
    <w:p w:rsidR="00587BE8" w:rsidRDefault="00587BE8"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85H</w:t>
      </w:r>
      <w:r>
        <w:rPr>
          <w:rFonts w:ascii="Times New Roman" w:hAnsi="Times New Roman" w:cs="Times New Roman"/>
          <w:sz w:val="24"/>
          <w:szCs w:val="24"/>
        </w:rPr>
        <w:tab/>
      </w:r>
      <w:r w:rsidR="008552E0">
        <w:rPr>
          <w:rFonts w:ascii="Times New Roman" w:hAnsi="Times New Roman" w:cs="Times New Roman"/>
          <w:sz w:val="24"/>
          <w:szCs w:val="24"/>
        </w:rPr>
        <w:t xml:space="preserve">IFRS 17, phát hành tháng 05 năm 2017, </w:t>
      </w:r>
      <w:r w:rsidR="0092124B">
        <w:rPr>
          <w:rFonts w:ascii="Times New Roman" w:hAnsi="Times New Roman" w:cs="Times New Roman"/>
          <w:sz w:val="24"/>
          <w:szCs w:val="24"/>
        </w:rPr>
        <w:t>sửa đổi đoạn 32B. Đơn vị phải áp dụng sửa đổi này khi áp dụng IFRS 17.</w:t>
      </w:r>
    </w:p>
    <w:p w:rsidR="0092124B" w:rsidRPr="0092124B" w:rsidRDefault="0092124B" w:rsidP="0048656B">
      <w:pPr>
        <w:pBdr>
          <w:bottom w:val="single" w:sz="6" w:space="1" w:color="auto"/>
        </w:pBdr>
        <w:spacing w:before="200" w:after="120" w:line="240" w:lineRule="auto"/>
        <w:ind w:right="14"/>
        <w:jc w:val="both"/>
        <w:rPr>
          <w:rFonts w:ascii="Arial" w:hAnsi="Arial" w:cs="Arial"/>
          <w:b/>
          <w:sz w:val="28"/>
          <w:szCs w:val="24"/>
        </w:rPr>
      </w:pPr>
      <w:r w:rsidRPr="0092124B">
        <w:rPr>
          <w:rFonts w:ascii="Arial" w:hAnsi="Arial" w:cs="Arial"/>
          <w:b/>
          <w:sz w:val="28"/>
          <w:szCs w:val="24"/>
        </w:rPr>
        <w:t>Thu hồi IAS 40 (2000)</w:t>
      </w:r>
    </w:p>
    <w:p w:rsidR="00550F83" w:rsidRDefault="0092124B" w:rsidP="0048656B">
      <w:pPr>
        <w:tabs>
          <w:tab w:val="left" w:pos="720"/>
        </w:tabs>
        <w:spacing w:after="120" w:line="240" w:lineRule="auto"/>
        <w:ind w:left="720" w:right="14" w:hanging="720"/>
        <w:jc w:val="both"/>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 xml:space="preserve">Chuẩn mực này thay thế IAS 40 </w:t>
      </w:r>
      <w:r w:rsidRPr="0092124B">
        <w:rPr>
          <w:rFonts w:ascii="Times New Roman" w:hAnsi="Times New Roman" w:cs="Times New Roman"/>
          <w:i/>
          <w:sz w:val="24"/>
          <w:szCs w:val="24"/>
        </w:rPr>
        <w:t>Bất động sản đầu tư</w:t>
      </w:r>
      <w:r>
        <w:rPr>
          <w:rFonts w:ascii="Times New Roman" w:hAnsi="Times New Roman" w:cs="Times New Roman"/>
          <w:sz w:val="24"/>
          <w:szCs w:val="24"/>
        </w:rPr>
        <w:t xml:space="preserve"> (phát hành năm 2000).</w:t>
      </w:r>
    </w:p>
    <w:p w:rsidR="00550F83" w:rsidRDefault="00550F83" w:rsidP="0048656B">
      <w:pPr>
        <w:jc w:val="both"/>
        <w:rPr>
          <w:rFonts w:ascii="Times New Roman" w:hAnsi="Times New Roman" w:cs="Times New Roman"/>
          <w:sz w:val="24"/>
          <w:szCs w:val="24"/>
        </w:rPr>
      </w:pPr>
      <w:r>
        <w:rPr>
          <w:rFonts w:ascii="Times New Roman" w:hAnsi="Times New Roman" w:cs="Times New Roman"/>
          <w:sz w:val="24"/>
          <w:szCs w:val="24"/>
        </w:rPr>
        <w:lastRenderedPageBreak/>
        <w:br w:type="page"/>
      </w:r>
    </w:p>
    <w:p w:rsidR="0092124B" w:rsidRPr="00550F83" w:rsidRDefault="007F218A" w:rsidP="0048656B">
      <w:pPr>
        <w:pBdr>
          <w:bottom w:val="single" w:sz="6" w:space="1" w:color="auto"/>
        </w:pBdr>
        <w:spacing w:before="200" w:after="120" w:line="240" w:lineRule="auto"/>
        <w:ind w:right="14"/>
        <w:jc w:val="both"/>
        <w:rPr>
          <w:rFonts w:ascii="Arial" w:hAnsi="Arial" w:cs="Arial"/>
          <w:b/>
          <w:sz w:val="28"/>
          <w:szCs w:val="24"/>
        </w:rPr>
      </w:pPr>
      <w:r>
        <w:rPr>
          <w:rFonts w:ascii="Arial" w:hAnsi="Arial" w:cs="Arial"/>
          <w:b/>
          <w:sz w:val="28"/>
          <w:szCs w:val="24"/>
        </w:rPr>
        <w:lastRenderedPageBreak/>
        <w:t>Quyết định p</w:t>
      </w:r>
      <w:r w:rsidR="00550F83" w:rsidRPr="00550F83">
        <w:rPr>
          <w:rFonts w:ascii="Arial" w:hAnsi="Arial" w:cs="Arial"/>
          <w:b/>
          <w:sz w:val="28"/>
          <w:szCs w:val="24"/>
        </w:rPr>
        <w:t>hê duyệt củ</w:t>
      </w:r>
      <w:r w:rsidR="00233BE1">
        <w:rPr>
          <w:rFonts w:ascii="Arial" w:hAnsi="Arial" w:cs="Arial"/>
          <w:b/>
          <w:sz w:val="28"/>
          <w:szCs w:val="24"/>
        </w:rPr>
        <w:t>a H</w:t>
      </w:r>
      <w:r w:rsidR="00550F83" w:rsidRPr="00550F83">
        <w:rPr>
          <w:rFonts w:ascii="Arial" w:hAnsi="Arial" w:cs="Arial"/>
          <w:b/>
          <w:sz w:val="28"/>
          <w:szCs w:val="24"/>
        </w:rPr>
        <w:t>ội đồng cho IAS 40 phát hành tháng 12 năm 2003</w:t>
      </w:r>
    </w:p>
    <w:p w:rsidR="00160D90" w:rsidRDefault="00550F83" w:rsidP="0048656B">
      <w:pPr>
        <w:tabs>
          <w:tab w:val="left" w:pos="216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Chuẩn mực Kế toán Quốc tế số 40 </w:t>
      </w:r>
      <w:r w:rsidRPr="00550F83">
        <w:rPr>
          <w:rFonts w:ascii="Times New Roman" w:hAnsi="Times New Roman" w:cs="Times New Roman"/>
          <w:i/>
          <w:sz w:val="24"/>
          <w:szCs w:val="24"/>
        </w:rPr>
        <w:t>Bất động sản đầu tư</w:t>
      </w:r>
      <w:r>
        <w:rPr>
          <w:rFonts w:ascii="Times New Roman" w:hAnsi="Times New Roman" w:cs="Times New Roman"/>
          <w:sz w:val="24"/>
          <w:szCs w:val="24"/>
        </w:rPr>
        <w:t xml:space="preserve"> (sửa đổi</w:t>
      </w:r>
      <w:r w:rsidR="007F218A">
        <w:rPr>
          <w:rFonts w:ascii="Times New Roman" w:hAnsi="Times New Roman" w:cs="Times New Roman"/>
          <w:sz w:val="24"/>
          <w:szCs w:val="24"/>
        </w:rPr>
        <w:t xml:space="preserve"> năm</w:t>
      </w:r>
      <w:r>
        <w:rPr>
          <w:rFonts w:ascii="Times New Roman" w:hAnsi="Times New Roman" w:cs="Times New Roman"/>
          <w:sz w:val="24"/>
          <w:szCs w:val="24"/>
        </w:rPr>
        <w:t xml:space="preserve"> 2003) được phê duyệt để phát hành bởi </w:t>
      </w:r>
      <w:r w:rsidR="00F4034B">
        <w:rPr>
          <w:rFonts w:ascii="Times New Roman" w:hAnsi="Times New Roman" w:cs="Times New Roman"/>
          <w:sz w:val="24"/>
          <w:szCs w:val="24"/>
        </w:rPr>
        <w:t xml:space="preserve">toàn bộ </w:t>
      </w:r>
      <w:r>
        <w:rPr>
          <w:rFonts w:ascii="Times New Roman" w:hAnsi="Times New Roman" w:cs="Times New Roman"/>
          <w:sz w:val="24"/>
          <w:szCs w:val="24"/>
        </w:rPr>
        <w:t>mười bốn thành viên của Hội đồng Chuẩn mực Kế toán Quốc tế.</w:t>
      </w:r>
    </w:p>
    <w:p w:rsidR="00550F83"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Ngài David Tweedie</w:t>
      </w:r>
      <w:r>
        <w:rPr>
          <w:rFonts w:ascii="Times New Roman" w:hAnsi="Times New Roman" w:cs="Times New Roman"/>
          <w:sz w:val="24"/>
          <w:szCs w:val="24"/>
        </w:rPr>
        <w:tab/>
        <w:t>Chủ tịch</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Thomas E Jones</w:t>
      </w:r>
      <w:r>
        <w:rPr>
          <w:rFonts w:ascii="Times New Roman" w:hAnsi="Times New Roman" w:cs="Times New Roman"/>
          <w:sz w:val="24"/>
          <w:szCs w:val="24"/>
        </w:rPr>
        <w:tab/>
        <w:t>Phó Chủ tịch</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Mary E Barth</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Hans-Georg Bruns</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Anthony T Cope</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Reober P Garnett</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Gilbert Gélard</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James J Leisenring</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Warren J Mc Gregor</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Patricia L O’Malley</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Harry K Schmid</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John T Smith</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Geoffrey Whittington</w:t>
      </w:r>
    </w:p>
    <w:p w:rsidR="000B31BA" w:rsidRDefault="000B31BA"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Tatsumi Yamada</w:t>
      </w:r>
    </w:p>
    <w:p w:rsidR="000B31BA" w:rsidRDefault="000B31BA" w:rsidP="0048656B">
      <w:pPr>
        <w:jc w:val="both"/>
        <w:rPr>
          <w:rFonts w:ascii="Times New Roman" w:hAnsi="Times New Roman" w:cs="Times New Roman"/>
          <w:sz w:val="24"/>
          <w:szCs w:val="24"/>
        </w:rPr>
      </w:pPr>
      <w:r>
        <w:rPr>
          <w:rFonts w:ascii="Times New Roman" w:hAnsi="Times New Roman" w:cs="Times New Roman"/>
          <w:sz w:val="24"/>
          <w:szCs w:val="24"/>
        </w:rPr>
        <w:br w:type="page"/>
      </w:r>
    </w:p>
    <w:p w:rsidR="000B31BA" w:rsidRPr="00EA265F" w:rsidRDefault="00B524F8" w:rsidP="0048656B">
      <w:pPr>
        <w:pBdr>
          <w:bottom w:val="single" w:sz="6" w:space="1" w:color="auto"/>
        </w:pBdr>
        <w:spacing w:before="200" w:after="120" w:line="240" w:lineRule="auto"/>
        <w:ind w:right="14"/>
        <w:jc w:val="both"/>
        <w:rPr>
          <w:rFonts w:ascii="Arial" w:hAnsi="Arial" w:cs="Arial"/>
          <w:b/>
          <w:sz w:val="28"/>
          <w:szCs w:val="24"/>
        </w:rPr>
      </w:pPr>
      <w:r>
        <w:rPr>
          <w:rFonts w:ascii="Arial" w:hAnsi="Arial" w:cs="Arial"/>
          <w:b/>
          <w:sz w:val="28"/>
          <w:szCs w:val="24"/>
        </w:rPr>
        <w:lastRenderedPageBreak/>
        <w:t>Quyết định p</w:t>
      </w:r>
      <w:r w:rsidR="000B31BA" w:rsidRPr="00EA265F">
        <w:rPr>
          <w:rFonts w:ascii="Arial" w:hAnsi="Arial" w:cs="Arial"/>
          <w:b/>
          <w:sz w:val="28"/>
          <w:szCs w:val="24"/>
        </w:rPr>
        <w:t>hê duyệt bởi Hội đồng cho Chuyển đổi Bấ</w:t>
      </w:r>
      <w:r w:rsidR="00EA265F" w:rsidRPr="00EA265F">
        <w:rPr>
          <w:rFonts w:ascii="Arial" w:hAnsi="Arial" w:cs="Arial"/>
          <w:b/>
          <w:sz w:val="28"/>
          <w:szCs w:val="24"/>
        </w:rPr>
        <w:t>t động sản đầu tư (sửa đổi IAS 40) phát hành tháng 12 năm 2016</w:t>
      </w:r>
    </w:p>
    <w:p w:rsidR="006040EF" w:rsidRDefault="00EA265F" w:rsidP="0048656B">
      <w:pPr>
        <w:tabs>
          <w:tab w:val="left" w:pos="2160"/>
        </w:tabs>
        <w:spacing w:after="120" w:line="240" w:lineRule="auto"/>
        <w:ind w:right="14"/>
        <w:jc w:val="both"/>
        <w:rPr>
          <w:rFonts w:ascii="Times New Roman" w:hAnsi="Times New Roman" w:cs="Times New Roman"/>
          <w:sz w:val="24"/>
          <w:szCs w:val="24"/>
        </w:rPr>
      </w:pPr>
      <w:r w:rsidRPr="00EA265F">
        <w:rPr>
          <w:rFonts w:ascii="Times New Roman" w:hAnsi="Times New Roman" w:cs="Times New Roman"/>
          <w:i/>
          <w:sz w:val="24"/>
          <w:szCs w:val="24"/>
        </w:rPr>
        <w:t>Chuyển đổi Bất động sản đầu tư</w:t>
      </w:r>
      <w:r>
        <w:rPr>
          <w:rFonts w:ascii="Times New Roman" w:hAnsi="Times New Roman" w:cs="Times New Roman"/>
          <w:sz w:val="24"/>
          <w:szCs w:val="24"/>
        </w:rPr>
        <w:t xml:space="preserve"> (sửa đổi IAS 40) được phê duyệt để phát hành bởi toàn bộ </w:t>
      </w:r>
      <w:r w:rsidR="00F4034B">
        <w:rPr>
          <w:rFonts w:ascii="Times New Roman" w:hAnsi="Times New Roman" w:cs="Times New Roman"/>
          <w:sz w:val="24"/>
          <w:szCs w:val="24"/>
        </w:rPr>
        <w:t>mười hai</w:t>
      </w:r>
      <w:r>
        <w:rPr>
          <w:rFonts w:ascii="Times New Roman" w:hAnsi="Times New Roman" w:cs="Times New Roman"/>
          <w:sz w:val="24"/>
          <w:szCs w:val="24"/>
        </w:rPr>
        <w:t xml:space="preserve"> thành viên của Hội đồng Chuẩn mực Kế toán.</w:t>
      </w:r>
    </w:p>
    <w:p w:rsidR="00F4034B"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Hans Hoogervorst</w:t>
      </w:r>
      <w:r>
        <w:rPr>
          <w:rFonts w:ascii="Times New Roman" w:hAnsi="Times New Roman" w:cs="Times New Roman"/>
          <w:sz w:val="24"/>
          <w:szCs w:val="24"/>
        </w:rPr>
        <w:tab/>
        <w:t>Chủ tịch</w:t>
      </w:r>
    </w:p>
    <w:p w:rsidR="00F4034B"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Suzanne Lloyd</w:t>
      </w:r>
      <w:r>
        <w:rPr>
          <w:rFonts w:ascii="Times New Roman" w:hAnsi="Times New Roman" w:cs="Times New Roman"/>
          <w:sz w:val="24"/>
          <w:szCs w:val="24"/>
        </w:rPr>
        <w:tab/>
        <w:t>Phó Chủ tịch</w:t>
      </w:r>
    </w:p>
    <w:p w:rsidR="00F4034B"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Stephen Cooper</w:t>
      </w:r>
    </w:p>
    <w:p w:rsidR="00F4034B"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Philippe Danjou</w:t>
      </w:r>
    </w:p>
    <w:p w:rsidR="00F4034B"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Martin Edelmann</w:t>
      </w:r>
    </w:p>
    <w:p w:rsidR="00F4034B"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Amaro Gomes</w:t>
      </w:r>
    </w:p>
    <w:p w:rsidR="00F4034B"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Gary Kabureck</w:t>
      </w:r>
    </w:p>
    <w:p w:rsidR="00F4034B"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Takatsugu Ochi</w:t>
      </w:r>
    </w:p>
    <w:p w:rsidR="00F4034B"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Darrel Scott</w:t>
      </w:r>
    </w:p>
    <w:p w:rsidR="00F4034B"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Chungwoo Suh</w:t>
      </w:r>
    </w:p>
    <w:p w:rsidR="00F4034B"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Mary Tokar</w:t>
      </w:r>
    </w:p>
    <w:p w:rsidR="00F4034B" w:rsidRPr="00EA265F" w:rsidRDefault="00F4034B" w:rsidP="0048656B">
      <w:pPr>
        <w:tabs>
          <w:tab w:val="left" w:pos="3600"/>
        </w:tabs>
        <w:spacing w:after="120" w:line="240" w:lineRule="auto"/>
        <w:ind w:right="14"/>
        <w:jc w:val="both"/>
        <w:rPr>
          <w:rFonts w:ascii="Times New Roman" w:hAnsi="Times New Roman" w:cs="Times New Roman"/>
          <w:sz w:val="24"/>
          <w:szCs w:val="24"/>
        </w:rPr>
      </w:pPr>
      <w:r>
        <w:rPr>
          <w:rFonts w:ascii="Times New Roman" w:hAnsi="Times New Roman" w:cs="Times New Roman"/>
          <w:sz w:val="24"/>
          <w:szCs w:val="24"/>
        </w:rPr>
        <w:t>Wei-Guo Zhang</w:t>
      </w:r>
    </w:p>
    <w:p w:rsidR="00C628BA" w:rsidRPr="00663C13" w:rsidRDefault="00C628BA" w:rsidP="0048656B">
      <w:pPr>
        <w:tabs>
          <w:tab w:val="left" w:pos="2160"/>
        </w:tabs>
        <w:spacing w:after="120" w:line="240" w:lineRule="auto"/>
        <w:ind w:left="2160" w:right="14" w:hanging="720"/>
        <w:jc w:val="both"/>
        <w:rPr>
          <w:rFonts w:ascii="Times New Roman" w:hAnsi="Times New Roman" w:cs="Times New Roman"/>
          <w:sz w:val="24"/>
          <w:szCs w:val="24"/>
        </w:rPr>
      </w:pPr>
    </w:p>
    <w:sectPr w:rsidR="00C628BA" w:rsidRPr="00663C13" w:rsidSect="00E771F0">
      <w:headerReference w:type="even" r:id="rId8"/>
      <w:headerReference w:type="default" r:id="rId9"/>
      <w:footerReference w:type="even" r:id="rId10"/>
      <w:footerReference w:type="default" r:id="rId11"/>
      <w:pgSz w:w="11906" w:h="16838" w:code="9"/>
      <w:pgMar w:top="1224" w:right="1872" w:bottom="1224" w:left="1872"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A50" w:rsidRDefault="00137A50" w:rsidP="004B3078">
      <w:pPr>
        <w:spacing w:after="0" w:line="240" w:lineRule="auto"/>
      </w:pPr>
      <w:r>
        <w:separator/>
      </w:r>
    </w:p>
  </w:endnote>
  <w:endnote w:type="continuationSeparator" w:id="1">
    <w:p w:rsidR="00137A50" w:rsidRDefault="00137A50" w:rsidP="004B3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50" w:rsidRDefault="00137A50" w:rsidP="007D1332">
    <w:pPr>
      <w:pStyle w:val="Footer"/>
      <w:tabs>
        <w:tab w:val="clear" w:pos="4680"/>
        <w:tab w:val="center" w:pos="3960"/>
        <w:tab w:val="center" w:pos="7920"/>
      </w:tabs>
    </w:pPr>
    <w:r>
      <w:t>A15</w:t>
    </w:r>
    <w:fldSimple w:instr=" PAGE   \* MERGEFORMAT ">
      <w:r w:rsidR="0001256D">
        <w:rPr>
          <w:noProof/>
        </w:rPr>
        <w:t>38</w:t>
      </w:r>
    </w:fldSimple>
    <w:r>
      <w:tab/>
      <w:t>© Hội đồng IFRS</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50" w:rsidRDefault="00137A50" w:rsidP="007D1332">
    <w:pPr>
      <w:pStyle w:val="Footer"/>
      <w:tabs>
        <w:tab w:val="clear" w:pos="4680"/>
        <w:tab w:val="center" w:pos="3960"/>
        <w:tab w:val="center" w:pos="7920"/>
      </w:tabs>
    </w:pPr>
    <w:r>
      <w:tab/>
      <w:t>© Hội đồng IFRS</w:t>
    </w:r>
    <w:r>
      <w:tab/>
      <w:t>A15</w:t>
    </w:r>
    <w:fldSimple w:instr=" PAGE   \* MERGEFORMAT ">
      <w:r w:rsidR="0001256D">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A50" w:rsidRDefault="00137A50" w:rsidP="004B3078">
      <w:pPr>
        <w:spacing w:after="0" w:line="240" w:lineRule="auto"/>
      </w:pPr>
      <w:r>
        <w:separator/>
      </w:r>
    </w:p>
  </w:footnote>
  <w:footnote w:type="continuationSeparator" w:id="1">
    <w:p w:rsidR="00137A50" w:rsidRDefault="00137A50" w:rsidP="004B30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50" w:rsidRDefault="00137A50">
    <w:pPr>
      <w:pStyle w:val="Header"/>
    </w:pPr>
    <w:r>
      <w:t>IAS 40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50" w:rsidRPr="007D1332" w:rsidRDefault="00137A50" w:rsidP="007D1332">
    <w:pPr>
      <w:spacing w:line="240" w:lineRule="auto"/>
      <w:jc w:val="right"/>
    </w:pPr>
    <w:r w:rsidRPr="007D1332">
      <w:t>IAS 40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628EF"/>
    <w:multiLevelType w:val="hybridMultilevel"/>
    <w:tmpl w:val="B47C9976"/>
    <w:lvl w:ilvl="0" w:tplc="D2686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EB2F0E"/>
    <w:multiLevelType w:val="hybridMultilevel"/>
    <w:tmpl w:val="2270AC4A"/>
    <w:lvl w:ilvl="0" w:tplc="DCC06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E230C6"/>
    <w:multiLevelType w:val="hybridMultilevel"/>
    <w:tmpl w:val="5F26A614"/>
    <w:lvl w:ilvl="0" w:tplc="6D76E6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11B3EE1"/>
    <w:multiLevelType w:val="hybridMultilevel"/>
    <w:tmpl w:val="75E071C8"/>
    <w:lvl w:ilvl="0" w:tplc="83EC58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8409E1"/>
    <w:multiLevelType w:val="hybridMultilevel"/>
    <w:tmpl w:val="578C27B6"/>
    <w:lvl w:ilvl="0" w:tplc="956498B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857F07"/>
    <w:multiLevelType w:val="hybridMultilevel"/>
    <w:tmpl w:val="C02E5BBA"/>
    <w:lvl w:ilvl="0" w:tplc="AB464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110250"/>
    <w:multiLevelType w:val="hybridMultilevel"/>
    <w:tmpl w:val="99FAAE5C"/>
    <w:lvl w:ilvl="0" w:tplc="B404AE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footnote w:id="0"/>
    <w:footnote w:id="1"/>
  </w:footnotePr>
  <w:endnotePr>
    <w:endnote w:id="0"/>
    <w:endnote w:id="1"/>
  </w:endnotePr>
  <w:compat/>
  <w:rsids>
    <w:rsidRoot w:val="00551AF6"/>
    <w:rsid w:val="00006B70"/>
    <w:rsid w:val="000107CD"/>
    <w:rsid w:val="0001256D"/>
    <w:rsid w:val="00015EF1"/>
    <w:rsid w:val="0003355C"/>
    <w:rsid w:val="00037E21"/>
    <w:rsid w:val="0005150B"/>
    <w:rsid w:val="0005421A"/>
    <w:rsid w:val="00060A7B"/>
    <w:rsid w:val="00070862"/>
    <w:rsid w:val="00073FDF"/>
    <w:rsid w:val="00086526"/>
    <w:rsid w:val="000876C4"/>
    <w:rsid w:val="00097D1C"/>
    <w:rsid w:val="000B31BA"/>
    <w:rsid w:val="000C1A6B"/>
    <w:rsid w:val="000C5700"/>
    <w:rsid w:val="000C5E41"/>
    <w:rsid w:val="000D1DC0"/>
    <w:rsid w:val="000D1E33"/>
    <w:rsid w:val="000D3A07"/>
    <w:rsid w:val="000D788E"/>
    <w:rsid w:val="000E7417"/>
    <w:rsid w:val="000F0367"/>
    <w:rsid w:val="000F38CA"/>
    <w:rsid w:val="000F6641"/>
    <w:rsid w:val="00100172"/>
    <w:rsid w:val="00104AC0"/>
    <w:rsid w:val="001119FB"/>
    <w:rsid w:val="00113757"/>
    <w:rsid w:val="0011508F"/>
    <w:rsid w:val="0012660B"/>
    <w:rsid w:val="00131492"/>
    <w:rsid w:val="00132F52"/>
    <w:rsid w:val="00137A50"/>
    <w:rsid w:val="001414F8"/>
    <w:rsid w:val="00147B97"/>
    <w:rsid w:val="00160C84"/>
    <w:rsid w:val="00160D90"/>
    <w:rsid w:val="001705B2"/>
    <w:rsid w:val="0017064A"/>
    <w:rsid w:val="001763EB"/>
    <w:rsid w:val="0018078E"/>
    <w:rsid w:val="00187B4A"/>
    <w:rsid w:val="00194BF9"/>
    <w:rsid w:val="00196197"/>
    <w:rsid w:val="001979E6"/>
    <w:rsid w:val="001A4C2E"/>
    <w:rsid w:val="001A77BF"/>
    <w:rsid w:val="001B4717"/>
    <w:rsid w:val="001B502E"/>
    <w:rsid w:val="001C43DB"/>
    <w:rsid w:val="001D0A22"/>
    <w:rsid w:val="001E1538"/>
    <w:rsid w:val="001F6EF4"/>
    <w:rsid w:val="00202EC2"/>
    <w:rsid w:val="00213F6C"/>
    <w:rsid w:val="002260BE"/>
    <w:rsid w:val="002303B2"/>
    <w:rsid w:val="00233BE1"/>
    <w:rsid w:val="0025614A"/>
    <w:rsid w:val="00264295"/>
    <w:rsid w:val="00267E44"/>
    <w:rsid w:val="00273612"/>
    <w:rsid w:val="00275220"/>
    <w:rsid w:val="00277F4F"/>
    <w:rsid w:val="00281521"/>
    <w:rsid w:val="00281BDB"/>
    <w:rsid w:val="00283017"/>
    <w:rsid w:val="0028346E"/>
    <w:rsid w:val="00291468"/>
    <w:rsid w:val="00292294"/>
    <w:rsid w:val="00294F91"/>
    <w:rsid w:val="002A6388"/>
    <w:rsid w:val="002B0505"/>
    <w:rsid w:val="002D7533"/>
    <w:rsid w:val="002E2069"/>
    <w:rsid w:val="003009EF"/>
    <w:rsid w:val="00303321"/>
    <w:rsid w:val="00322643"/>
    <w:rsid w:val="003226A5"/>
    <w:rsid w:val="0032714F"/>
    <w:rsid w:val="00337057"/>
    <w:rsid w:val="0034791D"/>
    <w:rsid w:val="0035369D"/>
    <w:rsid w:val="00360653"/>
    <w:rsid w:val="00375C31"/>
    <w:rsid w:val="00383262"/>
    <w:rsid w:val="003854C9"/>
    <w:rsid w:val="00387ECA"/>
    <w:rsid w:val="00391F47"/>
    <w:rsid w:val="003A15AC"/>
    <w:rsid w:val="003A6FD7"/>
    <w:rsid w:val="003F64FA"/>
    <w:rsid w:val="00400F51"/>
    <w:rsid w:val="004063E2"/>
    <w:rsid w:val="0040738A"/>
    <w:rsid w:val="00411CF0"/>
    <w:rsid w:val="00423DB9"/>
    <w:rsid w:val="0042597B"/>
    <w:rsid w:val="00425C3D"/>
    <w:rsid w:val="00425F9F"/>
    <w:rsid w:val="00434703"/>
    <w:rsid w:val="00451146"/>
    <w:rsid w:val="0046564A"/>
    <w:rsid w:val="004723ED"/>
    <w:rsid w:val="00474A29"/>
    <w:rsid w:val="0047585E"/>
    <w:rsid w:val="0048482B"/>
    <w:rsid w:val="0048656B"/>
    <w:rsid w:val="00487F17"/>
    <w:rsid w:val="0049075C"/>
    <w:rsid w:val="004A11AE"/>
    <w:rsid w:val="004A38B3"/>
    <w:rsid w:val="004B3078"/>
    <w:rsid w:val="004E049C"/>
    <w:rsid w:val="004F25AC"/>
    <w:rsid w:val="004F3D24"/>
    <w:rsid w:val="004F3DAC"/>
    <w:rsid w:val="00501167"/>
    <w:rsid w:val="00507324"/>
    <w:rsid w:val="005073B1"/>
    <w:rsid w:val="0050750D"/>
    <w:rsid w:val="0050751D"/>
    <w:rsid w:val="00523185"/>
    <w:rsid w:val="0052493E"/>
    <w:rsid w:val="00535ACC"/>
    <w:rsid w:val="00541D1B"/>
    <w:rsid w:val="005435A0"/>
    <w:rsid w:val="00545E7C"/>
    <w:rsid w:val="00550F83"/>
    <w:rsid w:val="005515D8"/>
    <w:rsid w:val="00551AF6"/>
    <w:rsid w:val="0056238D"/>
    <w:rsid w:val="0057209D"/>
    <w:rsid w:val="00574299"/>
    <w:rsid w:val="00575148"/>
    <w:rsid w:val="0057675C"/>
    <w:rsid w:val="00585A11"/>
    <w:rsid w:val="00586D18"/>
    <w:rsid w:val="00587BE8"/>
    <w:rsid w:val="00594639"/>
    <w:rsid w:val="00595415"/>
    <w:rsid w:val="005954A0"/>
    <w:rsid w:val="005B18DD"/>
    <w:rsid w:val="005B4B9F"/>
    <w:rsid w:val="005B76A5"/>
    <w:rsid w:val="005B7B1B"/>
    <w:rsid w:val="005C1C86"/>
    <w:rsid w:val="005C52A8"/>
    <w:rsid w:val="005C78D1"/>
    <w:rsid w:val="005D169C"/>
    <w:rsid w:val="005D286C"/>
    <w:rsid w:val="005D54E2"/>
    <w:rsid w:val="005E63FF"/>
    <w:rsid w:val="00601F6E"/>
    <w:rsid w:val="00602DA5"/>
    <w:rsid w:val="006040EF"/>
    <w:rsid w:val="00606994"/>
    <w:rsid w:val="00607801"/>
    <w:rsid w:val="006079E4"/>
    <w:rsid w:val="00607CBE"/>
    <w:rsid w:val="006115DE"/>
    <w:rsid w:val="00612F5D"/>
    <w:rsid w:val="00613375"/>
    <w:rsid w:val="00615DCB"/>
    <w:rsid w:val="00620A27"/>
    <w:rsid w:val="006217EB"/>
    <w:rsid w:val="00626096"/>
    <w:rsid w:val="00627FF2"/>
    <w:rsid w:val="00632019"/>
    <w:rsid w:val="00640E85"/>
    <w:rsid w:val="00647405"/>
    <w:rsid w:val="006548DA"/>
    <w:rsid w:val="00663C13"/>
    <w:rsid w:val="0067414A"/>
    <w:rsid w:val="00680470"/>
    <w:rsid w:val="00682209"/>
    <w:rsid w:val="00685514"/>
    <w:rsid w:val="006940DE"/>
    <w:rsid w:val="006A3BFF"/>
    <w:rsid w:val="006A3C3C"/>
    <w:rsid w:val="006B021F"/>
    <w:rsid w:val="006B33D5"/>
    <w:rsid w:val="006B6C08"/>
    <w:rsid w:val="006C29B0"/>
    <w:rsid w:val="006C2BB7"/>
    <w:rsid w:val="006C50F5"/>
    <w:rsid w:val="006D0B77"/>
    <w:rsid w:val="006D55FA"/>
    <w:rsid w:val="006D66DB"/>
    <w:rsid w:val="006E2073"/>
    <w:rsid w:val="006F2725"/>
    <w:rsid w:val="00700EED"/>
    <w:rsid w:val="00722470"/>
    <w:rsid w:val="0072600B"/>
    <w:rsid w:val="007263B6"/>
    <w:rsid w:val="00746478"/>
    <w:rsid w:val="007510E4"/>
    <w:rsid w:val="007531BD"/>
    <w:rsid w:val="0075506E"/>
    <w:rsid w:val="00766E1F"/>
    <w:rsid w:val="00783CAF"/>
    <w:rsid w:val="00784C59"/>
    <w:rsid w:val="007A31B2"/>
    <w:rsid w:val="007A3FA0"/>
    <w:rsid w:val="007A56BA"/>
    <w:rsid w:val="007B0C43"/>
    <w:rsid w:val="007B2594"/>
    <w:rsid w:val="007B4925"/>
    <w:rsid w:val="007B74C6"/>
    <w:rsid w:val="007C0F4E"/>
    <w:rsid w:val="007C4C0C"/>
    <w:rsid w:val="007D100D"/>
    <w:rsid w:val="007D1332"/>
    <w:rsid w:val="007D1FFC"/>
    <w:rsid w:val="007D560E"/>
    <w:rsid w:val="007E48C4"/>
    <w:rsid w:val="007E6E4C"/>
    <w:rsid w:val="007F1E3E"/>
    <w:rsid w:val="007F218A"/>
    <w:rsid w:val="00811CCC"/>
    <w:rsid w:val="0081691D"/>
    <w:rsid w:val="00820DEB"/>
    <w:rsid w:val="00823BDC"/>
    <w:rsid w:val="008269BA"/>
    <w:rsid w:val="00836D77"/>
    <w:rsid w:val="008467A3"/>
    <w:rsid w:val="0084730D"/>
    <w:rsid w:val="00847654"/>
    <w:rsid w:val="00852B26"/>
    <w:rsid w:val="008552E0"/>
    <w:rsid w:val="00873C5E"/>
    <w:rsid w:val="00883437"/>
    <w:rsid w:val="00887C75"/>
    <w:rsid w:val="008910F7"/>
    <w:rsid w:val="00891EF6"/>
    <w:rsid w:val="00892E28"/>
    <w:rsid w:val="0089756B"/>
    <w:rsid w:val="008A0D20"/>
    <w:rsid w:val="008A3FC9"/>
    <w:rsid w:val="008A6F5F"/>
    <w:rsid w:val="008A71D3"/>
    <w:rsid w:val="008B1500"/>
    <w:rsid w:val="008B1C18"/>
    <w:rsid w:val="008B2F77"/>
    <w:rsid w:val="008C5CDA"/>
    <w:rsid w:val="008D044A"/>
    <w:rsid w:val="008E686F"/>
    <w:rsid w:val="008F0DD8"/>
    <w:rsid w:val="00910B19"/>
    <w:rsid w:val="00914F95"/>
    <w:rsid w:val="0092124B"/>
    <w:rsid w:val="009309A8"/>
    <w:rsid w:val="00935ECF"/>
    <w:rsid w:val="009500EA"/>
    <w:rsid w:val="00973215"/>
    <w:rsid w:val="00973CD8"/>
    <w:rsid w:val="009761E9"/>
    <w:rsid w:val="00977BE9"/>
    <w:rsid w:val="009A4071"/>
    <w:rsid w:val="009B3645"/>
    <w:rsid w:val="009B71AB"/>
    <w:rsid w:val="009E5714"/>
    <w:rsid w:val="009F0D56"/>
    <w:rsid w:val="009F7733"/>
    <w:rsid w:val="00A02C73"/>
    <w:rsid w:val="00A07142"/>
    <w:rsid w:val="00A22C41"/>
    <w:rsid w:val="00A23A4D"/>
    <w:rsid w:val="00A32076"/>
    <w:rsid w:val="00A334B0"/>
    <w:rsid w:val="00A34A0D"/>
    <w:rsid w:val="00A34E97"/>
    <w:rsid w:val="00A35412"/>
    <w:rsid w:val="00A47999"/>
    <w:rsid w:val="00A50E5D"/>
    <w:rsid w:val="00A5571E"/>
    <w:rsid w:val="00A56926"/>
    <w:rsid w:val="00A63D04"/>
    <w:rsid w:val="00A64689"/>
    <w:rsid w:val="00A67AE2"/>
    <w:rsid w:val="00A71BE5"/>
    <w:rsid w:val="00A72E0F"/>
    <w:rsid w:val="00A76948"/>
    <w:rsid w:val="00A8027C"/>
    <w:rsid w:val="00A82F12"/>
    <w:rsid w:val="00A866A1"/>
    <w:rsid w:val="00A931B6"/>
    <w:rsid w:val="00A96E1E"/>
    <w:rsid w:val="00AA2158"/>
    <w:rsid w:val="00AA721D"/>
    <w:rsid w:val="00AB03B7"/>
    <w:rsid w:val="00AB4D8D"/>
    <w:rsid w:val="00AB63C2"/>
    <w:rsid w:val="00AE170C"/>
    <w:rsid w:val="00B0148A"/>
    <w:rsid w:val="00B072A2"/>
    <w:rsid w:val="00B21026"/>
    <w:rsid w:val="00B274B3"/>
    <w:rsid w:val="00B31F2C"/>
    <w:rsid w:val="00B44410"/>
    <w:rsid w:val="00B50FBF"/>
    <w:rsid w:val="00B524F8"/>
    <w:rsid w:val="00B549A9"/>
    <w:rsid w:val="00B61FA5"/>
    <w:rsid w:val="00B67589"/>
    <w:rsid w:val="00B70821"/>
    <w:rsid w:val="00B70EB8"/>
    <w:rsid w:val="00B97975"/>
    <w:rsid w:val="00BA01CF"/>
    <w:rsid w:val="00BC4AE4"/>
    <w:rsid w:val="00BC624F"/>
    <w:rsid w:val="00BD0C7E"/>
    <w:rsid w:val="00BD506F"/>
    <w:rsid w:val="00BE43B1"/>
    <w:rsid w:val="00BF0E1D"/>
    <w:rsid w:val="00BF4390"/>
    <w:rsid w:val="00BF478A"/>
    <w:rsid w:val="00C0001B"/>
    <w:rsid w:val="00C013E8"/>
    <w:rsid w:val="00C0556B"/>
    <w:rsid w:val="00C10EBA"/>
    <w:rsid w:val="00C137DD"/>
    <w:rsid w:val="00C165D9"/>
    <w:rsid w:val="00C3642B"/>
    <w:rsid w:val="00C40340"/>
    <w:rsid w:val="00C46C76"/>
    <w:rsid w:val="00C53D22"/>
    <w:rsid w:val="00C60656"/>
    <w:rsid w:val="00C628BA"/>
    <w:rsid w:val="00C65532"/>
    <w:rsid w:val="00C71012"/>
    <w:rsid w:val="00C766EC"/>
    <w:rsid w:val="00C8182C"/>
    <w:rsid w:val="00C82E32"/>
    <w:rsid w:val="00C874D1"/>
    <w:rsid w:val="00C87BD9"/>
    <w:rsid w:val="00C91291"/>
    <w:rsid w:val="00C92556"/>
    <w:rsid w:val="00C929F2"/>
    <w:rsid w:val="00C92AFB"/>
    <w:rsid w:val="00CA11E5"/>
    <w:rsid w:val="00CB0232"/>
    <w:rsid w:val="00CB1029"/>
    <w:rsid w:val="00CB1187"/>
    <w:rsid w:val="00CB17FD"/>
    <w:rsid w:val="00CD39DE"/>
    <w:rsid w:val="00CD6011"/>
    <w:rsid w:val="00CE4DBB"/>
    <w:rsid w:val="00CF1772"/>
    <w:rsid w:val="00D00FCB"/>
    <w:rsid w:val="00D03220"/>
    <w:rsid w:val="00D07E6E"/>
    <w:rsid w:val="00D12D3F"/>
    <w:rsid w:val="00D13A3D"/>
    <w:rsid w:val="00D26410"/>
    <w:rsid w:val="00D27C62"/>
    <w:rsid w:val="00D36C5A"/>
    <w:rsid w:val="00D40FE5"/>
    <w:rsid w:val="00D54691"/>
    <w:rsid w:val="00D54FF9"/>
    <w:rsid w:val="00D71407"/>
    <w:rsid w:val="00D82BAD"/>
    <w:rsid w:val="00D8319B"/>
    <w:rsid w:val="00D836E1"/>
    <w:rsid w:val="00D933C1"/>
    <w:rsid w:val="00D96F7F"/>
    <w:rsid w:val="00D97B42"/>
    <w:rsid w:val="00DA3251"/>
    <w:rsid w:val="00DA5C22"/>
    <w:rsid w:val="00DA6951"/>
    <w:rsid w:val="00DA77CD"/>
    <w:rsid w:val="00DA7EED"/>
    <w:rsid w:val="00DB725E"/>
    <w:rsid w:val="00DB7B7C"/>
    <w:rsid w:val="00DB7B81"/>
    <w:rsid w:val="00DC1870"/>
    <w:rsid w:val="00DC4F49"/>
    <w:rsid w:val="00DC71D2"/>
    <w:rsid w:val="00DD2EBE"/>
    <w:rsid w:val="00DD5649"/>
    <w:rsid w:val="00DD57DD"/>
    <w:rsid w:val="00DD6F35"/>
    <w:rsid w:val="00DE6EF5"/>
    <w:rsid w:val="00DF0BD6"/>
    <w:rsid w:val="00E10B2F"/>
    <w:rsid w:val="00E2362F"/>
    <w:rsid w:val="00E35CD1"/>
    <w:rsid w:val="00E53DA0"/>
    <w:rsid w:val="00E64493"/>
    <w:rsid w:val="00E66884"/>
    <w:rsid w:val="00E7008B"/>
    <w:rsid w:val="00E7458B"/>
    <w:rsid w:val="00E771F0"/>
    <w:rsid w:val="00E875E3"/>
    <w:rsid w:val="00EA265F"/>
    <w:rsid w:val="00EB0833"/>
    <w:rsid w:val="00EC27DC"/>
    <w:rsid w:val="00EC39C2"/>
    <w:rsid w:val="00ED1A07"/>
    <w:rsid w:val="00EE0319"/>
    <w:rsid w:val="00EE0E95"/>
    <w:rsid w:val="00EF3D7E"/>
    <w:rsid w:val="00EF60D4"/>
    <w:rsid w:val="00F0055C"/>
    <w:rsid w:val="00F005F9"/>
    <w:rsid w:val="00F04D46"/>
    <w:rsid w:val="00F06253"/>
    <w:rsid w:val="00F15FDD"/>
    <w:rsid w:val="00F2230B"/>
    <w:rsid w:val="00F3041F"/>
    <w:rsid w:val="00F367A5"/>
    <w:rsid w:val="00F4034B"/>
    <w:rsid w:val="00F44100"/>
    <w:rsid w:val="00F46BA7"/>
    <w:rsid w:val="00F521D4"/>
    <w:rsid w:val="00F57881"/>
    <w:rsid w:val="00F713EE"/>
    <w:rsid w:val="00F73DD6"/>
    <w:rsid w:val="00F83A3E"/>
    <w:rsid w:val="00F84526"/>
    <w:rsid w:val="00FA0294"/>
    <w:rsid w:val="00FA391F"/>
    <w:rsid w:val="00FA7C6E"/>
    <w:rsid w:val="00FB3908"/>
    <w:rsid w:val="00FB5691"/>
    <w:rsid w:val="00FC3C09"/>
    <w:rsid w:val="00FE2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078"/>
  </w:style>
  <w:style w:type="paragraph" w:styleId="Footer">
    <w:name w:val="footer"/>
    <w:basedOn w:val="Normal"/>
    <w:link w:val="FooterChar"/>
    <w:uiPriority w:val="99"/>
    <w:unhideWhenUsed/>
    <w:rsid w:val="004B3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078"/>
  </w:style>
  <w:style w:type="table" w:styleId="TableGrid">
    <w:name w:val="Table Grid"/>
    <w:basedOn w:val="TableNormal"/>
    <w:uiPriority w:val="39"/>
    <w:rsid w:val="006A3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72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33488-63A2-4AD3-986E-B5D9908B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14639</TotalTime>
  <Pages>25</Pages>
  <Words>8077</Words>
  <Characters>46043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hieutn6</dc:creator>
  <cp:keywords/>
  <dc:description/>
  <cp:lastModifiedBy>phananhquan</cp:lastModifiedBy>
  <cp:revision>257</cp:revision>
  <dcterms:created xsi:type="dcterms:W3CDTF">2019-06-21T01:38:00Z</dcterms:created>
  <dcterms:modified xsi:type="dcterms:W3CDTF">2019-10-23T02:10:00Z</dcterms:modified>
</cp:coreProperties>
</file>