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33" w:rsidRPr="00F22FA7" w:rsidRDefault="00247933" w:rsidP="00AD3A25">
      <w:pPr>
        <w:widowControl w:val="0"/>
        <w:spacing w:after="0"/>
        <w:rPr>
          <w:rFonts w:ascii="Arial" w:eastAsia="Arial" w:hAnsi="Arial" w:cs="Arial"/>
        </w:rPr>
      </w:pPr>
    </w:p>
    <w:tbl>
      <w:tblPr>
        <w:tblStyle w:val="a"/>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41"/>
        <w:gridCol w:w="6804"/>
      </w:tblGrid>
      <w:tr w:rsidR="00247933" w:rsidRPr="00E0036F">
        <w:trPr>
          <w:trHeight w:val="240"/>
        </w:trPr>
        <w:tc>
          <w:tcPr>
            <w:tcW w:w="6941" w:type="dxa"/>
            <w:shd w:val="clear" w:color="auto" w:fill="BDD7EE"/>
          </w:tcPr>
          <w:p w:rsidR="00247933" w:rsidRPr="00E0036F" w:rsidRDefault="003559DB" w:rsidP="00AD3A25">
            <w:pPr>
              <w:spacing w:line="259" w:lineRule="auto"/>
              <w:jc w:val="center"/>
              <w:rPr>
                <w:rFonts w:ascii="Arial" w:eastAsia="Arial" w:hAnsi="Arial" w:cs="Arial"/>
                <w:b/>
                <w:sz w:val="20"/>
                <w:szCs w:val="20"/>
              </w:rPr>
            </w:pPr>
            <w:r w:rsidRPr="00E0036F">
              <w:rPr>
                <w:rFonts w:ascii="Arial" w:eastAsia="Arial" w:hAnsi="Arial" w:cs="Arial"/>
                <w:b/>
                <w:sz w:val="20"/>
                <w:szCs w:val="20"/>
              </w:rPr>
              <w:t>English</w:t>
            </w:r>
          </w:p>
        </w:tc>
        <w:tc>
          <w:tcPr>
            <w:tcW w:w="6804" w:type="dxa"/>
            <w:shd w:val="clear" w:color="auto" w:fill="BDD7EE"/>
          </w:tcPr>
          <w:p w:rsidR="00247933" w:rsidRPr="00E0036F" w:rsidRDefault="003559DB" w:rsidP="00AD3A25">
            <w:pPr>
              <w:spacing w:line="259" w:lineRule="auto"/>
              <w:jc w:val="center"/>
              <w:rPr>
                <w:rFonts w:ascii="Arial" w:eastAsia="Arial" w:hAnsi="Arial" w:cs="Arial"/>
                <w:b/>
                <w:sz w:val="20"/>
                <w:szCs w:val="20"/>
              </w:rPr>
            </w:pPr>
            <w:r w:rsidRPr="00E0036F">
              <w:rPr>
                <w:rFonts w:ascii="Arial" w:eastAsia="Arial" w:hAnsi="Arial" w:cs="Arial"/>
                <w:b/>
                <w:sz w:val="20"/>
                <w:szCs w:val="20"/>
              </w:rPr>
              <w:t>Tiếng Việt</w:t>
            </w:r>
          </w:p>
        </w:tc>
      </w:tr>
      <w:tr w:rsidR="00247933" w:rsidRPr="00E0036F" w:rsidTr="00B16721">
        <w:trPr>
          <w:trHeight w:val="416"/>
        </w:trPr>
        <w:tc>
          <w:tcPr>
            <w:tcW w:w="6941" w:type="dxa"/>
          </w:tcPr>
          <w:p w:rsidR="00247933" w:rsidRPr="00E0036F" w:rsidRDefault="003559DB" w:rsidP="00AD3A25">
            <w:pPr>
              <w:spacing w:line="259" w:lineRule="auto"/>
              <w:rPr>
                <w:rFonts w:ascii="Arial" w:eastAsia="Arial" w:hAnsi="Arial" w:cs="Arial"/>
                <w:b/>
                <w:sz w:val="24"/>
                <w:szCs w:val="24"/>
              </w:rPr>
            </w:pPr>
            <w:r w:rsidRPr="00E0036F">
              <w:rPr>
                <w:rFonts w:ascii="Arial" w:eastAsia="Arial" w:hAnsi="Arial" w:cs="Arial"/>
                <w:b/>
                <w:sz w:val="24"/>
                <w:szCs w:val="24"/>
              </w:rPr>
              <w:t>IFRIC 2</w:t>
            </w:r>
            <w:r w:rsidRPr="00E0036F">
              <w:rPr>
                <w:rFonts w:ascii="Arial" w:eastAsia="Arial" w:hAnsi="Arial" w:cs="Arial"/>
                <w:b/>
                <w:sz w:val="24"/>
                <w:szCs w:val="24"/>
              </w:rPr>
              <w:br/>
            </w:r>
          </w:p>
          <w:p w:rsidR="00247933" w:rsidRPr="00E0036F" w:rsidRDefault="003559DB" w:rsidP="00AD3A25">
            <w:pPr>
              <w:spacing w:line="259" w:lineRule="auto"/>
              <w:rPr>
                <w:rFonts w:ascii="Arial" w:eastAsia="Arial" w:hAnsi="Arial" w:cs="Arial"/>
                <w:sz w:val="20"/>
                <w:szCs w:val="20"/>
              </w:rPr>
            </w:pPr>
            <w:r w:rsidRPr="00E0036F">
              <w:rPr>
                <w:rFonts w:ascii="Arial" w:eastAsia="Arial" w:hAnsi="Arial" w:cs="Arial"/>
                <w:b/>
                <w:sz w:val="32"/>
                <w:szCs w:val="32"/>
              </w:rPr>
              <w:t>Members’ Shares in Co-operative Entities and Similar Instruments</w:t>
            </w:r>
            <w:r w:rsidRPr="00E0036F">
              <w:rPr>
                <w:rFonts w:ascii="Arial" w:eastAsia="Arial" w:hAnsi="Arial" w:cs="Arial"/>
                <w:sz w:val="32"/>
                <w:szCs w:val="32"/>
              </w:rPr>
              <w:br/>
            </w:r>
          </w:p>
          <w:p w:rsidR="00247933" w:rsidRPr="00E0036F" w:rsidRDefault="00247933" w:rsidP="00AD3A25">
            <w:pPr>
              <w:spacing w:line="259" w:lineRule="auto"/>
              <w:jc w:val="both"/>
              <w:rPr>
                <w:rFonts w:ascii="Arial" w:eastAsia="Arial" w:hAnsi="Arial" w:cs="Arial"/>
                <w:sz w:val="20"/>
                <w:szCs w:val="20"/>
              </w:rPr>
            </w:pPr>
          </w:p>
          <w:p w:rsidR="00247933" w:rsidRPr="00E0036F" w:rsidRDefault="003559DB" w:rsidP="00AD3A25">
            <w:pPr>
              <w:spacing w:line="259" w:lineRule="auto"/>
              <w:jc w:val="both"/>
              <w:rPr>
                <w:rFonts w:ascii="Arial" w:eastAsia="Arial" w:hAnsi="Arial" w:cs="Arial"/>
                <w:sz w:val="20"/>
                <w:szCs w:val="20"/>
              </w:rPr>
            </w:pPr>
            <w:r w:rsidRPr="00E0036F">
              <w:rPr>
                <w:rFonts w:ascii="Arial" w:eastAsia="Arial" w:hAnsi="Arial" w:cs="Arial"/>
                <w:sz w:val="20"/>
                <w:szCs w:val="20"/>
              </w:rPr>
              <w:t xml:space="preserve">In November 2004 the International Accounting Standards Board issued IFRIC 2 </w:t>
            </w:r>
            <w:r w:rsidRPr="00E0036F">
              <w:rPr>
                <w:rFonts w:ascii="Arial" w:eastAsia="Arial" w:hAnsi="Arial" w:cs="Arial"/>
                <w:i/>
                <w:sz w:val="20"/>
                <w:szCs w:val="20"/>
              </w:rPr>
              <w:t>Members’ Shares in Co-operative Entities and Similar Instruments</w:t>
            </w:r>
            <w:r w:rsidRPr="00E0036F">
              <w:rPr>
                <w:rFonts w:ascii="Arial" w:eastAsia="Arial" w:hAnsi="Arial" w:cs="Arial"/>
                <w:sz w:val="20"/>
                <w:szCs w:val="20"/>
              </w:rPr>
              <w:t>. It was developed by the Interpretations Committee.</w:t>
            </w:r>
          </w:p>
          <w:p w:rsidR="00247933" w:rsidRPr="00E0036F" w:rsidRDefault="00247933" w:rsidP="00AD3A25">
            <w:pPr>
              <w:spacing w:line="259" w:lineRule="auto"/>
              <w:jc w:val="both"/>
              <w:rPr>
                <w:rFonts w:ascii="Arial" w:eastAsia="Arial" w:hAnsi="Arial" w:cs="Arial"/>
                <w:sz w:val="20"/>
                <w:szCs w:val="20"/>
              </w:rPr>
            </w:pPr>
          </w:p>
          <w:p w:rsidR="00247933" w:rsidRPr="00E0036F" w:rsidRDefault="003559DB" w:rsidP="00AD3A25">
            <w:pPr>
              <w:spacing w:line="259" w:lineRule="auto"/>
              <w:jc w:val="both"/>
              <w:rPr>
                <w:rFonts w:ascii="Arial" w:eastAsia="Arial" w:hAnsi="Arial" w:cs="Arial"/>
                <w:sz w:val="20"/>
                <w:szCs w:val="20"/>
              </w:rPr>
            </w:pPr>
            <w:r w:rsidRPr="00E0036F">
              <w:rPr>
                <w:rFonts w:ascii="Arial" w:eastAsia="Arial" w:hAnsi="Arial" w:cs="Arial"/>
                <w:sz w:val="20"/>
                <w:szCs w:val="20"/>
              </w:rPr>
              <w:t xml:space="preserve">Other Standards have made minor consequential amendments to IFRIC 2. They include </w:t>
            </w:r>
            <w:r w:rsidRPr="00E0036F">
              <w:rPr>
                <w:rFonts w:ascii="Arial" w:eastAsia="Arial" w:hAnsi="Arial" w:cs="Arial"/>
                <w:i/>
                <w:sz w:val="20"/>
                <w:szCs w:val="20"/>
              </w:rPr>
              <w:t xml:space="preserve">Annual Improvements to IFRSs 2009–2011 Cycle </w:t>
            </w:r>
            <w:r w:rsidRPr="00E0036F">
              <w:rPr>
                <w:rFonts w:ascii="Arial" w:eastAsia="Arial" w:hAnsi="Arial" w:cs="Arial"/>
                <w:sz w:val="20"/>
                <w:szCs w:val="20"/>
              </w:rPr>
              <w:t xml:space="preserve">(issued May 2012), IFRS 13 </w:t>
            </w:r>
            <w:r w:rsidRPr="00E0036F">
              <w:rPr>
                <w:rFonts w:ascii="Arial" w:eastAsia="Arial" w:hAnsi="Arial" w:cs="Arial"/>
                <w:i/>
                <w:sz w:val="20"/>
                <w:szCs w:val="20"/>
              </w:rPr>
              <w:t xml:space="preserve">Fair Value Measurement </w:t>
            </w:r>
            <w:r w:rsidRPr="00E0036F">
              <w:rPr>
                <w:rFonts w:ascii="Arial" w:eastAsia="Arial" w:hAnsi="Arial" w:cs="Arial"/>
                <w:sz w:val="20"/>
                <w:szCs w:val="20"/>
              </w:rPr>
              <w:t xml:space="preserve">(issued May 2011), IFRS 9 </w:t>
            </w:r>
            <w:r w:rsidRPr="00E0036F">
              <w:rPr>
                <w:rFonts w:ascii="Arial" w:eastAsia="Arial" w:hAnsi="Arial" w:cs="Arial"/>
                <w:i/>
                <w:sz w:val="20"/>
                <w:szCs w:val="20"/>
              </w:rPr>
              <w:t xml:space="preserve">Financial Instruments </w:t>
            </w:r>
            <w:r w:rsidRPr="00E0036F">
              <w:rPr>
                <w:rFonts w:ascii="Arial" w:eastAsia="Arial" w:hAnsi="Arial" w:cs="Arial"/>
                <w:sz w:val="20"/>
                <w:szCs w:val="20"/>
              </w:rPr>
              <w:t xml:space="preserve">(Hedge Accounting and amendments to IFRS 9, IFRS 7 and IAS 39) (issued November 2013) and IFRS 9 </w:t>
            </w:r>
            <w:r w:rsidRPr="00E0036F">
              <w:rPr>
                <w:rFonts w:ascii="Arial" w:eastAsia="Arial" w:hAnsi="Arial" w:cs="Arial"/>
                <w:i/>
                <w:sz w:val="20"/>
                <w:szCs w:val="20"/>
              </w:rPr>
              <w:t xml:space="preserve">Financial Instruments </w:t>
            </w:r>
            <w:r w:rsidRPr="00E0036F">
              <w:rPr>
                <w:rFonts w:ascii="Arial" w:eastAsia="Arial" w:hAnsi="Arial" w:cs="Arial"/>
                <w:sz w:val="20"/>
                <w:szCs w:val="20"/>
              </w:rPr>
              <w:t>(issued July 2014).</w:t>
            </w:r>
          </w:p>
          <w:p w:rsidR="00247933" w:rsidRPr="00E0036F" w:rsidRDefault="00247933" w:rsidP="00AD3A25">
            <w:pPr>
              <w:spacing w:line="259" w:lineRule="auto"/>
              <w:jc w:val="both"/>
              <w:rPr>
                <w:rFonts w:ascii="Arial" w:eastAsia="Arial" w:hAnsi="Arial" w:cs="Arial"/>
                <w:sz w:val="20"/>
                <w:szCs w:val="20"/>
              </w:rPr>
            </w:pPr>
          </w:p>
          <w:p w:rsidR="00247933" w:rsidRPr="00E0036F" w:rsidRDefault="003559DB" w:rsidP="00AD3A25">
            <w:pPr>
              <w:spacing w:line="259" w:lineRule="auto"/>
              <w:rPr>
                <w:rFonts w:ascii="Arial" w:eastAsia="Arial" w:hAnsi="Arial" w:cs="Arial"/>
                <w:b/>
                <w:sz w:val="20"/>
                <w:szCs w:val="20"/>
              </w:rPr>
            </w:pPr>
            <w:r w:rsidRPr="00E0036F">
              <w:rPr>
                <w:rFonts w:ascii="Arial" w:eastAsia="Arial" w:hAnsi="Arial" w:cs="Arial"/>
                <w:sz w:val="20"/>
                <w:szCs w:val="20"/>
              </w:rPr>
              <w:t xml:space="preserve">CONTENTS               </w:t>
            </w:r>
            <w:r w:rsidRPr="00E0036F">
              <w:rPr>
                <w:rFonts w:ascii="Arial" w:eastAsia="Arial" w:hAnsi="Arial" w:cs="Arial"/>
                <w:b/>
                <w:sz w:val="20"/>
                <w:szCs w:val="20"/>
              </w:rPr>
              <w:t xml:space="preserve">                                                         </w:t>
            </w:r>
            <w:r w:rsidRPr="00E0036F">
              <w:rPr>
                <w:rFonts w:ascii="Arial" w:eastAsia="Arial" w:hAnsi="Arial" w:cs="Arial"/>
                <w:sz w:val="20"/>
                <w:szCs w:val="20"/>
              </w:rPr>
              <w:br/>
            </w:r>
            <w:r w:rsidRPr="00E0036F">
              <w:rPr>
                <w:rFonts w:ascii="Arial" w:eastAsia="Arial" w:hAnsi="Arial" w:cs="Arial"/>
                <w:i/>
                <w:sz w:val="20"/>
                <w:szCs w:val="20"/>
              </w:rPr>
              <w:t xml:space="preserve">                                                                                          from paragraph</w:t>
            </w:r>
            <w:r w:rsidRPr="00E0036F">
              <w:rPr>
                <w:rFonts w:ascii="Arial" w:eastAsia="Arial" w:hAnsi="Arial" w:cs="Arial"/>
                <w:b/>
                <w:sz w:val="20"/>
                <w:szCs w:val="20"/>
              </w:rPr>
              <w:t xml:space="preserve">                </w:t>
            </w:r>
            <w:r w:rsidRPr="00E0036F">
              <w:rPr>
                <w:rFonts w:ascii="Arial" w:eastAsia="Arial" w:hAnsi="Arial" w:cs="Arial"/>
                <w:i/>
                <w:sz w:val="20"/>
                <w:szCs w:val="20"/>
              </w:rPr>
              <w:br/>
            </w:r>
            <w:r w:rsidRPr="00E0036F">
              <w:rPr>
                <w:rFonts w:ascii="Arial" w:eastAsia="Arial" w:hAnsi="Arial" w:cs="Arial"/>
                <w:b/>
              </w:rPr>
              <w:t>IFRIC INTERPRETATION 2</w:t>
            </w:r>
            <w:r w:rsidRPr="00E0036F">
              <w:rPr>
                <w:rFonts w:ascii="Arial" w:eastAsia="Arial" w:hAnsi="Arial" w:cs="Arial"/>
                <w:b/>
                <w:sz w:val="20"/>
                <w:szCs w:val="20"/>
              </w:rPr>
              <w:t xml:space="preserve"> </w:t>
            </w:r>
          </w:p>
          <w:p w:rsidR="00F22FA7" w:rsidRPr="00E0036F" w:rsidRDefault="003559DB" w:rsidP="00AD3A25">
            <w:pPr>
              <w:spacing w:line="259" w:lineRule="auto"/>
              <w:rPr>
                <w:rFonts w:ascii="Arial" w:eastAsia="Arial" w:hAnsi="Arial" w:cs="Arial"/>
                <w:b/>
                <w:i/>
                <w:sz w:val="24"/>
                <w:szCs w:val="24"/>
              </w:rPr>
            </w:pPr>
            <w:r w:rsidRPr="00E0036F">
              <w:rPr>
                <w:rFonts w:ascii="Arial" w:eastAsia="Arial" w:hAnsi="Arial" w:cs="Arial"/>
                <w:b/>
                <w:i/>
                <w:sz w:val="24"/>
                <w:szCs w:val="24"/>
              </w:rPr>
              <w:t>MEMBERS’ SHARES IN CO-OPERATIVE ENTITIES AND SIMILAR INSTRUMENTS</w:t>
            </w:r>
          </w:p>
          <w:p w:rsidR="00247933" w:rsidRPr="00E0036F" w:rsidRDefault="003559DB" w:rsidP="00AD3A25">
            <w:pPr>
              <w:spacing w:line="259" w:lineRule="auto"/>
              <w:rPr>
                <w:rFonts w:ascii="Arial" w:eastAsia="Arial" w:hAnsi="Arial" w:cs="Arial"/>
                <w:b/>
                <w:sz w:val="20"/>
                <w:szCs w:val="20"/>
              </w:rPr>
            </w:pPr>
            <w:r w:rsidRPr="00E0036F">
              <w:rPr>
                <w:rFonts w:ascii="Arial" w:eastAsia="Arial" w:hAnsi="Arial" w:cs="Arial"/>
                <w:b/>
                <w:i/>
                <w:sz w:val="24"/>
                <w:szCs w:val="24"/>
              </w:rPr>
              <w:br/>
            </w:r>
            <w:r w:rsidRPr="00E0036F">
              <w:rPr>
                <w:rFonts w:ascii="Arial" w:eastAsia="Arial" w:hAnsi="Arial" w:cs="Arial"/>
                <w:b/>
                <w:sz w:val="20"/>
                <w:szCs w:val="20"/>
              </w:rPr>
              <w:t>REFERENCES</w:t>
            </w:r>
            <w:r w:rsidRPr="00E0036F">
              <w:rPr>
                <w:rFonts w:ascii="Arial" w:eastAsia="Arial" w:hAnsi="Arial" w:cs="Arial"/>
                <w:b/>
                <w:sz w:val="20"/>
                <w:szCs w:val="20"/>
              </w:rPr>
              <w:br/>
              <w:t xml:space="preserve">BACKGROUND                                                                                    </w:t>
            </w:r>
            <w:r w:rsidR="00F22FA7" w:rsidRPr="00E0036F">
              <w:rPr>
                <w:rFonts w:ascii="Arial" w:eastAsia="Arial" w:hAnsi="Arial" w:cs="Arial"/>
                <w:b/>
                <w:sz w:val="20"/>
                <w:szCs w:val="20"/>
              </w:rPr>
              <w:t xml:space="preserve"> </w:t>
            </w:r>
            <w:r w:rsidRPr="00E0036F">
              <w:rPr>
                <w:rFonts w:ascii="Arial" w:eastAsia="Arial" w:hAnsi="Arial" w:cs="Arial"/>
                <w:b/>
                <w:sz w:val="20"/>
                <w:szCs w:val="20"/>
              </w:rPr>
              <w:t>1</w:t>
            </w:r>
            <w:r w:rsidRPr="00E0036F">
              <w:rPr>
                <w:rFonts w:ascii="Arial" w:eastAsia="Arial" w:hAnsi="Arial" w:cs="Arial"/>
                <w:b/>
                <w:sz w:val="20"/>
                <w:szCs w:val="20"/>
              </w:rPr>
              <w:br/>
              <w:t xml:space="preserve">SCOPE                                                                                                  </w:t>
            </w:r>
            <w:r w:rsidR="00F22FA7" w:rsidRPr="00E0036F">
              <w:rPr>
                <w:rFonts w:ascii="Arial" w:eastAsia="Arial" w:hAnsi="Arial" w:cs="Arial"/>
                <w:b/>
                <w:sz w:val="20"/>
                <w:szCs w:val="20"/>
              </w:rPr>
              <w:t xml:space="preserve"> </w:t>
            </w:r>
            <w:r w:rsidRPr="00E0036F">
              <w:rPr>
                <w:rFonts w:ascii="Arial" w:eastAsia="Arial" w:hAnsi="Arial" w:cs="Arial"/>
                <w:b/>
                <w:sz w:val="20"/>
                <w:szCs w:val="20"/>
              </w:rPr>
              <w:t>3</w:t>
            </w:r>
            <w:r w:rsidRPr="00E0036F">
              <w:rPr>
                <w:rFonts w:ascii="Arial" w:eastAsia="Arial" w:hAnsi="Arial" w:cs="Arial"/>
                <w:b/>
                <w:sz w:val="20"/>
                <w:szCs w:val="20"/>
              </w:rPr>
              <w:br/>
              <w:t xml:space="preserve">ISSUE                                                                                                    </w:t>
            </w:r>
            <w:r w:rsidR="00F22FA7" w:rsidRPr="00E0036F">
              <w:rPr>
                <w:rFonts w:ascii="Arial" w:eastAsia="Arial" w:hAnsi="Arial" w:cs="Arial"/>
                <w:b/>
                <w:sz w:val="20"/>
                <w:szCs w:val="20"/>
              </w:rPr>
              <w:t xml:space="preserve"> </w:t>
            </w:r>
            <w:r w:rsidRPr="00E0036F">
              <w:rPr>
                <w:rFonts w:ascii="Arial" w:eastAsia="Arial" w:hAnsi="Arial" w:cs="Arial"/>
                <w:b/>
                <w:sz w:val="20"/>
                <w:szCs w:val="20"/>
              </w:rPr>
              <w:t>4</w:t>
            </w:r>
            <w:r w:rsidRPr="00E0036F">
              <w:rPr>
                <w:rFonts w:ascii="Arial" w:eastAsia="Arial" w:hAnsi="Arial" w:cs="Arial"/>
                <w:b/>
                <w:sz w:val="20"/>
                <w:szCs w:val="20"/>
              </w:rPr>
              <w:br/>
              <w:t xml:space="preserve">CONSENSUS                                                                                        </w:t>
            </w:r>
            <w:r w:rsidR="00F22FA7" w:rsidRPr="00E0036F">
              <w:rPr>
                <w:rFonts w:ascii="Arial" w:eastAsia="Arial" w:hAnsi="Arial" w:cs="Arial"/>
                <w:b/>
                <w:sz w:val="20"/>
                <w:szCs w:val="20"/>
              </w:rPr>
              <w:t xml:space="preserve"> </w:t>
            </w:r>
            <w:r w:rsidRPr="00E0036F">
              <w:rPr>
                <w:rFonts w:ascii="Arial" w:eastAsia="Arial" w:hAnsi="Arial" w:cs="Arial"/>
                <w:b/>
                <w:sz w:val="20"/>
                <w:szCs w:val="20"/>
              </w:rPr>
              <w:t>5</w:t>
            </w:r>
            <w:r w:rsidRPr="00E0036F">
              <w:rPr>
                <w:rFonts w:ascii="Arial" w:eastAsia="Arial" w:hAnsi="Arial" w:cs="Arial"/>
                <w:b/>
                <w:sz w:val="20"/>
                <w:szCs w:val="20"/>
              </w:rPr>
              <w:br/>
              <w:t xml:space="preserve">DISCLOSURE                                                                                      </w:t>
            </w:r>
            <w:r w:rsidR="00F22FA7" w:rsidRPr="00E0036F">
              <w:rPr>
                <w:rFonts w:ascii="Arial" w:eastAsia="Arial" w:hAnsi="Arial" w:cs="Arial"/>
                <w:b/>
                <w:sz w:val="20"/>
                <w:szCs w:val="20"/>
              </w:rPr>
              <w:t xml:space="preserve"> </w:t>
            </w:r>
            <w:r w:rsidRPr="00E0036F">
              <w:rPr>
                <w:rFonts w:ascii="Arial" w:eastAsia="Arial" w:hAnsi="Arial" w:cs="Arial"/>
                <w:b/>
                <w:sz w:val="20"/>
                <w:szCs w:val="20"/>
              </w:rPr>
              <w:t>13</w:t>
            </w:r>
            <w:r w:rsidRPr="00E0036F">
              <w:rPr>
                <w:rFonts w:ascii="Arial" w:eastAsia="Arial" w:hAnsi="Arial" w:cs="Arial"/>
                <w:b/>
                <w:sz w:val="20"/>
                <w:szCs w:val="20"/>
              </w:rPr>
              <w:br/>
              <w:t xml:space="preserve">EFFECTIVE DATE                                                                               </w:t>
            </w:r>
            <w:r w:rsidR="00F22FA7" w:rsidRPr="00E0036F">
              <w:rPr>
                <w:rFonts w:ascii="Arial" w:eastAsia="Arial" w:hAnsi="Arial" w:cs="Arial"/>
                <w:b/>
                <w:sz w:val="20"/>
                <w:szCs w:val="20"/>
              </w:rPr>
              <w:t xml:space="preserve"> </w:t>
            </w:r>
            <w:r w:rsidRPr="00E0036F">
              <w:rPr>
                <w:rFonts w:ascii="Arial" w:eastAsia="Arial" w:hAnsi="Arial" w:cs="Arial"/>
                <w:b/>
                <w:sz w:val="20"/>
                <w:szCs w:val="20"/>
              </w:rPr>
              <w:t>14</w:t>
            </w:r>
            <w:r w:rsidRPr="00E0036F">
              <w:rPr>
                <w:rFonts w:ascii="Arial" w:eastAsia="Arial" w:hAnsi="Arial" w:cs="Arial"/>
                <w:b/>
                <w:sz w:val="20"/>
                <w:szCs w:val="20"/>
              </w:rPr>
              <w:br/>
              <w:t>APPENDIX</w:t>
            </w:r>
            <w:r w:rsidRPr="00E0036F">
              <w:rPr>
                <w:rFonts w:ascii="Arial" w:eastAsia="Arial" w:hAnsi="Arial" w:cs="Arial"/>
                <w:b/>
                <w:sz w:val="20"/>
                <w:szCs w:val="20"/>
              </w:rPr>
              <w:br/>
              <w:t>Examples of application of the consensus</w:t>
            </w:r>
          </w:p>
          <w:p w:rsidR="00247933" w:rsidRPr="00E0036F" w:rsidRDefault="00914B72" w:rsidP="00AD3A25">
            <w:pPr>
              <w:spacing w:line="259" w:lineRule="auto"/>
              <w:rPr>
                <w:rFonts w:ascii="Arial" w:eastAsia="Arial" w:hAnsi="Arial" w:cs="Arial"/>
                <w:b/>
                <w:color w:val="A6A6A6" w:themeColor="background1" w:themeShade="A6"/>
                <w:sz w:val="20"/>
                <w:szCs w:val="20"/>
              </w:rPr>
            </w:pPr>
            <w:bookmarkStart w:id="0" w:name="_gjdgxs" w:colFirst="0" w:colLast="0"/>
            <w:bookmarkEnd w:id="0"/>
            <w:r w:rsidRPr="00914B72">
              <w:rPr>
                <w:rFonts w:ascii="Arial" w:eastAsia="Arial" w:hAnsi="Arial" w:cs="Arial"/>
                <w:b/>
                <w:noProof/>
                <w:color w:val="FFFFFF" w:themeColor="background1"/>
                <w:sz w:val="20"/>
                <w:szCs w:val="20"/>
              </w:rPr>
              <w:pict>
                <v:rect id="Rectangle 3" o:spid="_x0000_s1026" style="position:absolute;margin-left:-.25pt;margin-top:8.9pt;width:337.8pt;height:19.2pt;z-index:2517360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" filled="f" strokecolor="black [3213]"/>
              </w:pict>
            </w:r>
            <w:r w:rsidR="003559DB" w:rsidRPr="00E0036F">
              <w:rPr>
                <w:rFonts w:ascii="Arial" w:eastAsia="Arial" w:hAnsi="Arial" w:cs="Arial"/>
                <w:b/>
                <w:sz w:val="20"/>
                <w:szCs w:val="20"/>
              </w:rPr>
              <w:br/>
            </w:r>
            <w:r w:rsidR="003559DB" w:rsidRPr="00E0036F">
              <w:rPr>
                <w:rFonts w:ascii="Arial" w:eastAsia="Arial" w:hAnsi="Arial" w:cs="Arial"/>
                <w:b/>
                <w:color w:val="A6A6A6" w:themeColor="background1" w:themeShade="A6"/>
                <w:sz w:val="20"/>
                <w:szCs w:val="20"/>
              </w:rPr>
              <w:lastRenderedPageBreak/>
              <w:t>FOR THE BASIS FOR CONCLUSIONS, SEE PART C OF THIS EDITION</w:t>
            </w:r>
            <w:r w:rsidR="003559DB" w:rsidRPr="00E0036F">
              <w:rPr>
                <w:rFonts w:ascii="Arial" w:eastAsia="Arial" w:hAnsi="Arial" w:cs="Arial"/>
                <w:color w:val="A6A6A6" w:themeColor="background1" w:themeShade="A6"/>
                <w:sz w:val="20"/>
                <w:szCs w:val="20"/>
              </w:rPr>
              <w:br/>
            </w:r>
          </w:p>
          <w:p w:rsidR="00F22FA7" w:rsidRPr="00E0036F" w:rsidRDefault="003559DB" w:rsidP="00AD3A25">
            <w:pPr>
              <w:spacing w:line="259" w:lineRule="auto"/>
              <w:rPr>
                <w:rFonts w:ascii="Arial" w:eastAsia="Arial" w:hAnsi="Arial" w:cs="Arial"/>
                <w:b/>
                <w:color w:val="A6A6A6" w:themeColor="background1" w:themeShade="A6"/>
                <w:sz w:val="20"/>
                <w:szCs w:val="20"/>
              </w:rPr>
            </w:pPr>
            <w:r w:rsidRPr="00E0036F">
              <w:rPr>
                <w:rFonts w:ascii="Arial" w:eastAsia="Arial" w:hAnsi="Arial" w:cs="Arial"/>
                <w:b/>
                <w:color w:val="A6A6A6" w:themeColor="background1" w:themeShade="A6"/>
                <w:sz w:val="20"/>
                <w:szCs w:val="20"/>
              </w:rPr>
              <w:t>BASIS FOR CONCLUSIONS</w:t>
            </w:r>
          </w:p>
          <w:p w:rsidR="00F22FA7" w:rsidRPr="00E0036F" w:rsidRDefault="00F22FA7" w:rsidP="00AD3A25">
            <w:pPr>
              <w:spacing w:line="259" w:lineRule="auto"/>
              <w:rPr>
                <w:rFonts w:ascii="Arial" w:eastAsia="Helvetica Neue" w:hAnsi="Arial" w:cs="Arial"/>
                <w:sz w:val="20"/>
                <w:szCs w:val="20"/>
              </w:rPr>
            </w:pPr>
          </w:p>
          <w:p w:rsidR="00247933" w:rsidRPr="00E0036F" w:rsidRDefault="00914B72" w:rsidP="00AD3A25">
            <w:pPr>
              <w:spacing w:line="259" w:lineRule="auto"/>
              <w:rPr>
                <w:rFonts w:ascii="Arial" w:eastAsia="Helvetica Neue" w:hAnsi="Arial" w:cs="Arial"/>
                <w:sz w:val="20"/>
                <w:szCs w:val="20"/>
              </w:rPr>
            </w:pPr>
            <w:r w:rsidRPr="00914B72">
              <w:rPr>
                <w:rFonts w:ascii="Arial" w:eastAsia="Arial" w:hAnsi="Arial" w:cs="Arial"/>
                <w:b/>
                <w:noProof/>
                <w:color w:val="FFFFFF" w:themeColor="background1"/>
                <w:sz w:val="20"/>
                <w:szCs w:val="20"/>
              </w:rPr>
              <w:pict>
                <v:rect id="Rectangle 1" o:spid="_x0000_s1045" style="position:absolute;margin-left:-3.85pt;margin-top:9.85pt;width:342.6pt;height:57.6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" filled="f" strokecolor="black [3213]"/>
              </w:pict>
            </w:r>
          </w:p>
          <w:p w:rsidR="00247933" w:rsidRPr="00E0036F" w:rsidRDefault="003559DB" w:rsidP="00AD3A25">
            <w:pPr>
              <w:spacing w:line="259" w:lineRule="auto"/>
              <w:jc w:val="both"/>
              <w:rPr>
                <w:rFonts w:ascii="Arial" w:eastAsia="Helvetica Neue" w:hAnsi="Arial" w:cs="Arial"/>
                <w:sz w:val="20"/>
                <w:szCs w:val="20"/>
              </w:rPr>
            </w:pPr>
            <w:r w:rsidRPr="00E0036F">
              <w:rPr>
                <w:rFonts w:ascii="Arial" w:eastAsia="Arial" w:hAnsi="Arial" w:cs="Arial"/>
                <w:sz w:val="20"/>
                <w:szCs w:val="20"/>
              </w:rPr>
              <w:t xml:space="preserve">IFRIC Interpretation 2 </w:t>
            </w:r>
            <w:r w:rsidRPr="00E0036F">
              <w:rPr>
                <w:rFonts w:ascii="Arial" w:eastAsia="Arial" w:hAnsi="Arial" w:cs="Arial"/>
                <w:i/>
                <w:sz w:val="20"/>
                <w:szCs w:val="20"/>
              </w:rPr>
              <w:t xml:space="preserve">Members’ Shares in Co-operative Entities and Similar Instruments </w:t>
            </w:r>
            <w:r w:rsidRPr="00E0036F">
              <w:rPr>
                <w:rFonts w:ascii="Arial" w:eastAsia="Arial" w:hAnsi="Arial" w:cs="Arial"/>
                <w:sz w:val="20"/>
                <w:szCs w:val="20"/>
              </w:rPr>
              <w:t xml:space="preserve">(IFRIC 2) is set out in paragraphs 1–19 and the Appendix. IFRIC 2 is accompanied by a Basis for Conclusions. The scope and authority of Interpretations are set out in the </w:t>
            </w:r>
            <w:r w:rsidRPr="00E0036F">
              <w:rPr>
                <w:rFonts w:ascii="Arial" w:eastAsia="Arial" w:hAnsi="Arial" w:cs="Arial"/>
                <w:i/>
                <w:sz w:val="20"/>
                <w:szCs w:val="20"/>
              </w:rPr>
              <w:t>Preface to IFRS Standards</w:t>
            </w:r>
            <w:r w:rsidRPr="00E0036F">
              <w:rPr>
                <w:rFonts w:ascii="Arial" w:eastAsia="Arial" w:hAnsi="Arial" w:cs="Arial"/>
                <w:sz w:val="20"/>
                <w:szCs w:val="20"/>
              </w:rPr>
              <w:t>.</w:t>
            </w:r>
            <w:r w:rsidRPr="00E0036F">
              <w:rPr>
                <w:rFonts w:ascii="Arial" w:eastAsia="Arial" w:hAnsi="Arial" w:cs="Arial"/>
                <w:sz w:val="20"/>
                <w:szCs w:val="20"/>
              </w:rPr>
              <w:br/>
            </w:r>
          </w:p>
          <w:p w:rsidR="00A060CE" w:rsidRPr="00E0036F" w:rsidRDefault="00F22FA7" w:rsidP="00AD3A25">
            <w:pPr>
              <w:spacing w:line="259" w:lineRule="auto"/>
              <w:jc w:val="both"/>
              <w:rPr>
                <w:rFonts w:ascii="Arial" w:hAnsi="Arial" w:cs="Arial"/>
                <w:sz w:val="20"/>
                <w:szCs w:val="20"/>
              </w:rPr>
            </w:pPr>
            <w:r w:rsidRPr="00E0036F">
              <w:rPr>
                <w:rFonts w:ascii="Arial" w:eastAsia="Helvetica Neue" w:hAnsi="Arial" w:cs="Arial"/>
                <w:sz w:val="20"/>
                <w:szCs w:val="20"/>
              </w:rPr>
              <w:t>  </w:t>
            </w:r>
            <w:r w:rsidRPr="00E0036F">
              <w:rPr>
                <w:rFonts w:ascii="Arial" w:hAnsi="Arial" w:cs="Arial"/>
                <w:sz w:val="20"/>
                <w:szCs w:val="20"/>
              </w:rPr>
              <w:t> </w:t>
            </w:r>
          </w:p>
          <w:p w:rsidR="00A060CE" w:rsidRPr="00E0036F" w:rsidRDefault="00A060CE" w:rsidP="00AD3A25">
            <w:pPr>
              <w:spacing w:line="259" w:lineRule="auto"/>
              <w:jc w:val="both"/>
              <w:rPr>
                <w:rFonts w:ascii="Arial" w:eastAsia="Helvetica Neue" w:hAnsi="Arial" w:cs="Arial"/>
                <w:sz w:val="20"/>
                <w:szCs w:val="20"/>
              </w:rPr>
            </w:pPr>
          </w:p>
          <w:p w:rsidR="00247933" w:rsidRPr="00E0036F" w:rsidRDefault="003559DB" w:rsidP="00AD3A25">
            <w:pPr>
              <w:spacing w:line="259" w:lineRule="auto"/>
              <w:rPr>
                <w:rFonts w:ascii="Arial" w:eastAsia="Arial" w:hAnsi="Arial" w:cs="Arial"/>
                <w:b/>
                <w:sz w:val="20"/>
                <w:szCs w:val="20"/>
              </w:rPr>
            </w:pPr>
            <w:r w:rsidRPr="00E0036F">
              <w:rPr>
                <w:rFonts w:ascii="Arial" w:eastAsia="Arial" w:hAnsi="Arial" w:cs="Arial"/>
                <w:b/>
                <w:sz w:val="28"/>
                <w:szCs w:val="28"/>
              </w:rPr>
              <w:t>IFRIC Interpretation 2</w:t>
            </w:r>
            <w:r w:rsidRPr="00E0036F">
              <w:rPr>
                <w:rFonts w:ascii="Arial" w:eastAsia="Arial" w:hAnsi="Arial" w:cs="Arial"/>
                <w:b/>
                <w:sz w:val="28"/>
                <w:szCs w:val="28"/>
              </w:rPr>
              <w:br/>
            </w:r>
            <w:r w:rsidRPr="00E0036F">
              <w:rPr>
                <w:rFonts w:ascii="Arial" w:eastAsia="Arial" w:hAnsi="Arial" w:cs="Arial"/>
                <w:b/>
                <w:i/>
                <w:sz w:val="28"/>
                <w:szCs w:val="28"/>
              </w:rPr>
              <w:t>Members’ Shares in Co-operative Entities and Similar Instruments</w:t>
            </w:r>
            <w:r w:rsidRPr="00E0036F">
              <w:rPr>
                <w:rFonts w:ascii="Arial" w:eastAsia="Arial" w:hAnsi="Arial" w:cs="Arial"/>
                <w:b/>
                <w:i/>
                <w:sz w:val="28"/>
                <w:szCs w:val="28"/>
              </w:rPr>
              <w:br/>
            </w:r>
          </w:p>
          <w:p w:rsidR="00CB7EC8" w:rsidRPr="00E0036F" w:rsidRDefault="003559DB" w:rsidP="00AD3A25">
            <w:pPr>
              <w:spacing w:line="259" w:lineRule="auto"/>
              <w:rPr>
                <w:rFonts w:ascii="Arial" w:eastAsia="Arial" w:hAnsi="Arial" w:cs="Arial"/>
                <w:b/>
                <w:sz w:val="24"/>
                <w:szCs w:val="24"/>
              </w:rPr>
            </w:pPr>
            <w:r w:rsidRPr="00E0036F">
              <w:rPr>
                <w:rFonts w:ascii="Arial" w:eastAsia="Arial" w:hAnsi="Arial" w:cs="Arial"/>
                <w:b/>
                <w:sz w:val="24"/>
                <w:szCs w:val="24"/>
              </w:rPr>
              <w:t>References</w:t>
            </w:r>
          </w:p>
          <w:p w:rsidR="00247933" w:rsidRPr="00E0036F" w:rsidRDefault="00914B72" w:rsidP="00AD3A25">
            <w:pPr>
              <w:spacing w:line="259" w:lineRule="auto"/>
              <w:ind w:left="314" w:firstLine="597"/>
              <w:rPr>
                <w:rFonts w:ascii="Arial" w:eastAsia="Arial" w:hAnsi="Arial" w:cs="Arial"/>
                <w:sz w:val="17"/>
                <w:szCs w:val="17"/>
              </w:rPr>
            </w:pPr>
            <w:r w:rsidRPr="00914B72">
              <w:rPr>
                <w:rFonts w:ascii="Arial" w:hAnsi="Arial" w:cs="Arial"/>
                <w:noProof/>
              </w:rPr>
              <w:pict>
                <v:shapetype id="_x0000_t32" coordsize="21600,21600" o:spt="32" o:oned="t" path="m,l21600,21600e" filled="f">
                  <v:path arrowok="t" fillok="f" o:connecttype="none"/>
                  <o:lock v:ext="edit" shapetype="t"/>
                </v:shapetype>
                <v:shape id="Straight Arrow Connector 10" o:spid="_x0000_s1044" type="#_x0000_t32" style="position:absolute;left:0;text-align:left;margin-left:-.05pt;margin-top:.1pt;width:328.75pt;height:1.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" strokecolor="black [3200]">
                  <v:stroke startarrowwidth="narrow" startarrowlength="short" endarrowwidth="narrow" endarrowlength="short" joinstyle="miter"/>
                </v:shape>
              </w:pict>
            </w:r>
            <w:r w:rsidR="003559DB" w:rsidRPr="00E0036F">
              <w:rPr>
                <w:rFonts w:ascii="Arial" w:eastAsia="Arial" w:hAnsi="Arial" w:cs="Arial"/>
                <w:b/>
                <w:sz w:val="20"/>
                <w:szCs w:val="20"/>
              </w:rPr>
              <w:br/>
            </w:r>
            <w:r w:rsidR="003559DB" w:rsidRPr="00E0036F">
              <w:rPr>
                <w:rFonts w:ascii="Arial" w:eastAsia="Arial" w:hAnsi="Arial" w:cs="Arial"/>
                <w:sz w:val="17"/>
                <w:szCs w:val="17"/>
              </w:rPr>
              <w:t xml:space="preserve">• IFRS 9 </w:t>
            </w:r>
            <w:r w:rsidR="003559DB" w:rsidRPr="00E0036F">
              <w:rPr>
                <w:rFonts w:ascii="Arial" w:eastAsia="Arial" w:hAnsi="Arial" w:cs="Arial"/>
                <w:i/>
                <w:sz w:val="17"/>
                <w:szCs w:val="17"/>
              </w:rPr>
              <w:t>Financial Instruments</w:t>
            </w:r>
            <w:r w:rsidR="003559DB" w:rsidRPr="00E0036F">
              <w:rPr>
                <w:rFonts w:ascii="Arial" w:eastAsia="Arial" w:hAnsi="Arial" w:cs="Arial"/>
                <w:i/>
                <w:sz w:val="17"/>
                <w:szCs w:val="17"/>
              </w:rPr>
              <w:br/>
            </w:r>
            <w:r w:rsidR="003559DB" w:rsidRPr="00E0036F">
              <w:rPr>
                <w:rFonts w:ascii="Arial" w:eastAsia="Arial" w:hAnsi="Arial" w:cs="Arial"/>
                <w:sz w:val="17"/>
                <w:szCs w:val="17"/>
              </w:rPr>
              <w:t xml:space="preserve">• IFRS 13 </w:t>
            </w:r>
            <w:r w:rsidR="003559DB" w:rsidRPr="00E0036F">
              <w:rPr>
                <w:rFonts w:ascii="Arial" w:eastAsia="Arial" w:hAnsi="Arial" w:cs="Arial"/>
                <w:i/>
                <w:sz w:val="17"/>
                <w:szCs w:val="17"/>
              </w:rPr>
              <w:t>Fair Value Measurement</w:t>
            </w:r>
            <w:r w:rsidR="003559DB" w:rsidRPr="00E0036F">
              <w:rPr>
                <w:rFonts w:ascii="Arial" w:eastAsia="Arial" w:hAnsi="Arial" w:cs="Arial"/>
                <w:i/>
                <w:sz w:val="17"/>
                <w:szCs w:val="17"/>
              </w:rPr>
              <w:br/>
            </w:r>
            <w:r w:rsidR="003559DB" w:rsidRPr="00E0036F">
              <w:rPr>
                <w:rFonts w:ascii="Arial" w:eastAsia="Arial" w:hAnsi="Arial" w:cs="Arial"/>
                <w:sz w:val="17"/>
                <w:szCs w:val="17"/>
              </w:rPr>
              <w:t xml:space="preserve">• IAS 32 </w:t>
            </w:r>
            <w:r w:rsidR="003559DB" w:rsidRPr="00E0036F">
              <w:rPr>
                <w:rFonts w:ascii="Arial" w:eastAsia="Arial" w:hAnsi="Arial" w:cs="Arial"/>
                <w:i/>
                <w:sz w:val="17"/>
                <w:szCs w:val="17"/>
              </w:rPr>
              <w:t xml:space="preserve">Financial Instruments: Disclosure and Presentation </w:t>
            </w:r>
            <w:r w:rsidR="003559DB" w:rsidRPr="00E0036F">
              <w:rPr>
                <w:rFonts w:ascii="Arial" w:eastAsia="Arial" w:hAnsi="Arial" w:cs="Arial"/>
                <w:sz w:val="17"/>
                <w:szCs w:val="17"/>
              </w:rPr>
              <w:t>(as revised in 2003)</w:t>
            </w:r>
            <w:r w:rsidR="003559DB" w:rsidRPr="00E0036F">
              <w:rPr>
                <w:rFonts w:ascii="Arial" w:eastAsia="Arial" w:hAnsi="Arial" w:cs="Arial"/>
                <w:sz w:val="17"/>
                <w:szCs w:val="17"/>
                <w:vertAlign w:val="superscript"/>
              </w:rPr>
              <w:t>1</w:t>
            </w:r>
          </w:p>
          <w:p w:rsidR="00247933" w:rsidRPr="00E0036F" w:rsidRDefault="003559DB" w:rsidP="00AD3A25">
            <w:pPr>
              <w:spacing w:line="259" w:lineRule="auto"/>
              <w:rPr>
                <w:rFonts w:ascii="Arial" w:eastAsia="Arial" w:hAnsi="Arial" w:cs="Arial"/>
                <w:b/>
              </w:rPr>
            </w:pPr>
            <w:r w:rsidRPr="00E0036F">
              <w:rPr>
                <w:rFonts w:ascii="Arial" w:eastAsia="Arial" w:hAnsi="Arial" w:cs="Arial"/>
                <w:sz w:val="20"/>
                <w:szCs w:val="20"/>
              </w:rPr>
              <w:br/>
            </w:r>
            <w:r w:rsidRPr="00E0036F">
              <w:rPr>
                <w:rFonts w:ascii="Arial" w:eastAsia="Arial" w:hAnsi="Arial" w:cs="Arial"/>
                <w:b/>
                <w:sz w:val="24"/>
                <w:szCs w:val="24"/>
              </w:rPr>
              <w:t>Background</w:t>
            </w:r>
          </w:p>
          <w:p w:rsidR="00CB7EC8" w:rsidRPr="00E0036F" w:rsidRDefault="00914B72" w:rsidP="00AD3A25">
            <w:pPr>
              <w:spacing w:line="259" w:lineRule="auto"/>
              <w:rPr>
                <w:rFonts w:ascii="Arial" w:eastAsia="Arial" w:hAnsi="Arial" w:cs="Arial"/>
                <w:sz w:val="20"/>
                <w:szCs w:val="20"/>
              </w:rPr>
            </w:pPr>
            <w:r w:rsidRPr="00914B72">
              <w:rPr>
                <w:rFonts w:ascii="Arial" w:hAnsi="Arial" w:cs="Arial"/>
                <w:noProof/>
              </w:rPr>
              <w:pict>
                <v:shape id="Straight Arrow Connector 17" o:spid="_x0000_s1043" type="#_x0000_t32" style="position:absolute;margin-left:-.05pt;margin-top:.1pt;width:328.75pt;height:1.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" strokecolor="black [3200]">
                  <v:stroke startarrowwidth="narrow" startarrowlength="short" endarrowwidth="narrow" endarrowlength="short" joinstyle="miter"/>
                </v:shape>
              </w:pict>
            </w:r>
          </w:p>
          <w:p w:rsidR="00EA79AA" w:rsidRPr="00E0036F" w:rsidRDefault="003559DB" w:rsidP="00AD1C2F">
            <w:pPr>
              <w:numPr>
                <w:ilvl w:val="0"/>
                <w:numId w:val="4"/>
              </w:numPr>
              <w:spacing w:line="259" w:lineRule="auto"/>
              <w:ind w:left="396" w:hanging="362"/>
              <w:jc w:val="both"/>
              <w:rPr>
                <w:rFonts w:ascii="Arial" w:eastAsia="Arial" w:hAnsi="Arial" w:cs="Arial"/>
                <w:sz w:val="20"/>
                <w:szCs w:val="20"/>
              </w:rPr>
            </w:pPr>
            <w:r w:rsidRPr="00E0036F">
              <w:rPr>
                <w:rFonts w:ascii="Arial" w:eastAsia="Arial" w:hAnsi="Arial" w:cs="Arial"/>
                <w:sz w:val="20"/>
                <w:szCs w:val="20"/>
              </w:rPr>
              <w:t xml:space="preserve">Co-operatives and other similar entities are formed by groups of persons to meet common economic or social needs. National laws typically define a co-operative as a society endeavouring to promote its members’ economic advancement by way of a joint business operation (the principle of self-help). </w:t>
            </w:r>
          </w:p>
          <w:p w:rsidR="00EA79AA" w:rsidRPr="00E0036F" w:rsidRDefault="00914B72" w:rsidP="00EA79AA">
            <w:pPr>
              <w:spacing w:line="259" w:lineRule="auto"/>
              <w:ind w:left="396"/>
              <w:jc w:val="both"/>
              <w:rPr>
                <w:rFonts w:ascii="Arial" w:eastAsia="Arial" w:hAnsi="Arial" w:cs="Arial"/>
                <w:sz w:val="20"/>
                <w:szCs w:val="20"/>
              </w:rPr>
            </w:pPr>
            <w:r w:rsidRPr="00914B72">
              <w:rPr>
                <w:rFonts w:ascii="Arial" w:hAnsi="Arial" w:cs="Arial"/>
                <w:noProof/>
              </w:rPr>
              <w:pict>
                <v:shape id="Straight Arrow Connector 24" o:spid="_x0000_s1042" type="#_x0000_t32" style="position:absolute;left:0;text-align:left;margin-left:.15pt;margin-top:6.8pt;width:328.75pt;height:3.6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" strokecolor="black [3200]">
                  <v:stroke startarrowwidth="narrow" startarrowlength="short" endarrowwidth="narrow" endarrowlength="short" joinstyle="miter"/>
                </v:shape>
              </w:pict>
            </w:r>
          </w:p>
          <w:p w:rsidR="00EA79AA" w:rsidRPr="00E0036F" w:rsidRDefault="00EA79AA" w:rsidP="00371CF7">
            <w:pPr>
              <w:pStyle w:val="ListParagraph"/>
              <w:numPr>
                <w:ilvl w:val="0"/>
                <w:numId w:val="11"/>
              </w:numPr>
              <w:spacing w:line="259" w:lineRule="auto"/>
              <w:ind w:left="256" w:hanging="222"/>
              <w:jc w:val="both"/>
              <w:rPr>
                <w:rFonts w:ascii="Arial" w:eastAsia="Arial" w:hAnsi="Arial" w:cs="Arial"/>
                <w:sz w:val="17"/>
                <w:szCs w:val="17"/>
              </w:rPr>
            </w:pPr>
            <w:r w:rsidRPr="00E0036F">
              <w:rPr>
                <w:rFonts w:ascii="Arial" w:eastAsia="Arial" w:hAnsi="Arial" w:cs="Arial"/>
                <w:sz w:val="17"/>
                <w:szCs w:val="17"/>
              </w:rPr>
              <w:t xml:space="preserve">In August 2005, IAS 32 was amended as IAS 32 </w:t>
            </w:r>
            <w:r w:rsidRPr="00E0036F">
              <w:rPr>
                <w:rFonts w:ascii="Arial" w:eastAsia="Arial" w:hAnsi="Arial" w:cs="Arial"/>
                <w:i/>
                <w:sz w:val="17"/>
                <w:szCs w:val="17"/>
              </w:rPr>
              <w:t>Financial Instruments: Presentation</w:t>
            </w:r>
            <w:r w:rsidRPr="00E0036F">
              <w:rPr>
                <w:rFonts w:ascii="Arial" w:eastAsia="Arial" w:hAnsi="Arial" w:cs="Arial"/>
                <w:sz w:val="17"/>
                <w:szCs w:val="17"/>
              </w:rPr>
              <w:t>. In February 2008 the IASB amended IAS 32 by requiring instruments to be classified as equity if those instruments have all the features and meet the conditions in paragraphs 16A and 16B or paragraphs 16C and 16D of IAS 32.</w:t>
            </w:r>
          </w:p>
          <w:p w:rsidR="00EA79AA" w:rsidRPr="00E0036F" w:rsidRDefault="00EA79AA" w:rsidP="00EA79AA">
            <w:pPr>
              <w:spacing w:line="259" w:lineRule="auto"/>
              <w:jc w:val="both"/>
              <w:rPr>
                <w:rFonts w:ascii="Arial" w:eastAsia="Arial" w:hAnsi="Arial" w:cs="Arial"/>
                <w:b/>
                <w:sz w:val="20"/>
                <w:szCs w:val="20"/>
              </w:rPr>
            </w:pPr>
          </w:p>
          <w:p w:rsidR="00247933" w:rsidRPr="00E0036F" w:rsidRDefault="003559DB" w:rsidP="00EA79AA">
            <w:pPr>
              <w:spacing w:line="259" w:lineRule="auto"/>
              <w:ind w:left="396"/>
              <w:jc w:val="both"/>
              <w:rPr>
                <w:rFonts w:ascii="Arial" w:eastAsia="Arial" w:hAnsi="Arial" w:cs="Arial"/>
                <w:sz w:val="20"/>
                <w:szCs w:val="20"/>
              </w:rPr>
            </w:pPr>
            <w:r w:rsidRPr="00E0036F">
              <w:rPr>
                <w:rFonts w:ascii="Arial" w:eastAsia="Arial" w:hAnsi="Arial" w:cs="Arial"/>
                <w:sz w:val="20"/>
                <w:szCs w:val="20"/>
              </w:rPr>
              <w:t xml:space="preserve">Members’ interests in a co-operative are often characterised as members’ shares, units or the like, and are referred to below as </w:t>
            </w:r>
            <w:r w:rsidRPr="00E0036F">
              <w:rPr>
                <w:rFonts w:ascii="Arial" w:eastAsia="Arial" w:hAnsi="Arial" w:cs="Arial"/>
                <w:sz w:val="20"/>
                <w:szCs w:val="20"/>
              </w:rPr>
              <w:lastRenderedPageBreak/>
              <w:t>‘members’ shares’.</w:t>
            </w:r>
          </w:p>
          <w:p w:rsidR="00EA79AA" w:rsidRPr="00E0036F" w:rsidRDefault="00EA79AA" w:rsidP="00AD3A25">
            <w:pPr>
              <w:spacing w:line="259" w:lineRule="auto"/>
              <w:jc w:val="both"/>
              <w:rPr>
                <w:rFonts w:ascii="Arial" w:eastAsia="Arial" w:hAnsi="Arial" w:cs="Arial"/>
                <w:sz w:val="20"/>
                <w:szCs w:val="20"/>
              </w:rPr>
            </w:pPr>
          </w:p>
          <w:p w:rsidR="00EA79AA" w:rsidRPr="00E0036F" w:rsidRDefault="00EA79AA" w:rsidP="00AD3A25">
            <w:pPr>
              <w:spacing w:line="259" w:lineRule="auto"/>
              <w:jc w:val="both"/>
              <w:rPr>
                <w:rFonts w:ascii="Arial" w:eastAsia="Arial" w:hAnsi="Arial" w:cs="Arial"/>
                <w:sz w:val="20"/>
                <w:szCs w:val="20"/>
              </w:rPr>
            </w:pPr>
          </w:p>
          <w:p w:rsidR="00247933" w:rsidRPr="00E0036F" w:rsidRDefault="003559DB" w:rsidP="00B16721">
            <w:pPr>
              <w:numPr>
                <w:ilvl w:val="0"/>
                <w:numId w:val="4"/>
              </w:numPr>
              <w:spacing w:line="259" w:lineRule="auto"/>
              <w:ind w:left="395" w:hanging="362"/>
              <w:jc w:val="both"/>
              <w:rPr>
                <w:rFonts w:ascii="Arial" w:eastAsia="Arial" w:hAnsi="Arial" w:cs="Arial"/>
                <w:sz w:val="20"/>
                <w:szCs w:val="20"/>
              </w:rPr>
            </w:pPr>
            <w:r w:rsidRPr="00E0036F">
              <w:rPr>
                <w:rFonts w:ascii="Arial" w:eastAsia="Arial" w:hAnsi="Arial" w:cs="Arial"/>
                <w:sz w:val="20"/>
                <w:szCs w:val="20"/>
              </w:rPr>
              <w:t>IAS 32 establishes principles for the classification of financial instruments as financial liabilities or equity. In particular, those principles apply to the classification of puttable instruments that allow the holder to put those instruments to the issuer for cash or another financial instrument. The application of those principles to members’ shares in co-operative entities and similar instruments is difficult. Some of the International Accounting Standards Board’s constituents have asked for help in understanding how the principles in IAS 32 apply to members’ shares and similar instruments that have certain features, and the circumstances in which those features affect the classification as liabilities or equity.</w:t>
            </w:r>
          </w:p>
          <w:p w:rsidR="00247933" w:rsidRPr="00E0036F" w:rsidRDefault="00247933" w:rsidP="00AD3A25">
            <w:pPr>
              <w:spacing w:line="259" w:lineRule="auto"/>
              <w:jc w:val="both"/>
              <w:rPr>
                <w:rFonts w:ascii="Arial" w:eastAsia="Arial" w:hAnsi="Arial" w:cs="Arial"/>
                <w:b/>
                <w:sz w:val="20"/>
                <w:szCs w:val="20"/>
              </w:rPr>
            </w:pPr>
          </w:p>
          <w:p w:rsidR="00CB7EC8" w:rsidRPr="00E0036F" w:rsidRDefault="00CB7EC8" w:rsidP="00AD3A25">
            <w:pPr>
              <w:spacing w:line="259" w:lineRule="auto"/>
              <w:jc w:val="both"/>
              <w:rPr>
                <w:rFonts w:ascii="Arial" w:eastAsia="Arial" w:hAnsi="Arial" w:cs="Arial"/>
                <w:b/>
                <w:sz w:val="20"/>
                <w:szCs w:val="20"/>
              </w:rPr>
            </w:pPr>
          </w:p>
          <w:p w:rsidR="00CB7EC8" w:rsidRPr="00E0036F" w:rsidRDefault="003559DB" w:rsidP="00AD3A25">
            <w:pPr>
              <w:spacing w:line="259" w:lineRule="auto"/>
              <w:jc w:val="both"/>
              <w:rPr>
                <w:rFonts w:ascii="Arial" w:eastAsia="Arial" w:hAnsi="Arial" w:cs="Arial"/>
                <w:b/>
                <w:sz w:val="24"/>
                <w:szCs w:val="24"/>
              </w:rPr>
            </w:pPr>
            <w:r w:rsidRPr="00E0036F">
              <w:rPr>
                <w:rFonts w:ascii="Arial" w:eastAsia="Arial" w:hAnsi="Arial" w:cs="Arial"/>
                <w:b/>
                <w:sz w:val="24"/>
                <w:szCs w:val="24"/>
              </w:rPr>
              <w:t>Scope</w:t>
            </w:r>
          </w:p>
          <w:p w:rsidR="00247933" w:rsidRPr="00E0036F" w:rsidRDefault="00914B72" w:rsidP="00AD3A25">
            <w:pPr>
              <w:spacing w:line="259" w:lineRule="auto"/>
              <w:jc w:val="both"/>
              <w:rPr>
                <w:rFonts w:ascii="Arial" w:eastAsia="Arial" w:hAnsi="Arial" w:cs="Arial"/>
                <w:sz w:val="20"/>
                <w:szCs w:val="20"/>
              </w:rPr>
            </w:pPr>
            <w:r w:rsidRPr="00914B72">
              <w:rPr>
                <w:rFonts w:ascii="Arial" w:hAnsi="Arial" w:cs="Arial"/>
                <w:noProof/>
              </w:rPr>
              <w:pict>
                <v:shape id="Straight Arrow Connector 15" o:spid="_x0000_s1041" type="#_x0000_t32" style="position:absolute;left:0;text-align:left;margin-left:-.05pt;margin-top:.1pt;width:333.75pt;height:1.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" strokecolor="black [3200]">
                  <v:stroke startarrowwidth="narrow" startarrowlength="short" endarrowwidth="narrow" endarrowlength="short" joinstyle="miter"/>
                </v:shape>
              </w:pict>
            </w:r>
          </w:p>
          <w:p w:rsidR="00247933" w:rsidRPr="00E0036F" w:rsidRDefault="003559DB" w:rsidP="00B16721">
            <w:pPr>
              <w:numPr>
                <w:ilvl w:val="0"/>
                <w:numId w:val="3"/>
              </w:numPr>
              <w:spacing w:line="259" w:lineRule="auto"/>
              <w:ind w:left="395" w:hanging="362"/>
              <w:jc w:val="both"/>
              <w:rPr>
                <w:rFonts w:ascii="Arial" w:eastAsia="Arial" w:hAnsi="Arial" w:cs="Arial"/>
                <w:sz w:val="20"/>
                <w:szCs w:val="20"/>
              </w:rPr>
            </w:pPr>
            <w:r w:rsidRPr="00E0036F">
              <w:rPr>
                <w:rFonts w:ascii="Arial" w:eastAsia="Arial" w:hAnsi="Arial" w:cs="Arial"/>
                <w:sz w:val="20"/>
                <w:szCs w:val="20"/>
              </w:rPr>
              <w:t>This Interpretation applies to financial instruments within the scope of IAS 32, including financial instruments issued to members of co-operative entities that evidence the members’ ownership interest in the entity. This Interpretation does not apply to financial instruments that will or may be settled in the entity’s own equity instruments.</w:t>
            </w:r>
          </w:p>
          <w:p w:rsidR="00E92898" w:rsidRPr="00E0036F" w:rsidRDefault="00E92898" w:rsidP="00B16721">
            <w:pPr>
              <w:spacing w:line="259" w:lineRule="auto"/>
              <w:ind w:left="395" w:hanging="362"/>
              <w:jc w:val="both"/>
              <w:rPr>
                <w:rFonts w:ascii="Arial" w:eastAsia="Arial" w:hAnsi="Arial" w:cs="Arial"/>
                <w:sz w:val="20"/>
                <w:szCs w:val="20"/>
              </w:rPr>
            </w:pPr>
          </w:p>
          <w:p w:rsidR="00371CF7" w:rsidRPr="00E0036F" w:rsidRDefault="00371CF7" w:rsidP="00371CF7">
            <w:pPr>
              <w:spacing w:line="259" w:lineRule="auto"/>
              <w:ind w:left="33"/>
              <w:jc w:val="both"/>
              <w:rPr>
                <w:rFonts w:ascii="Arial" w:eastAsia="Arial" w:hAnsi="Arial" w:cs="Arial"/>
                <w:b/>
              </w:rPr>
            </w:pPr>
          </w:p>
          <w:p w:rsidR="00E92898" w:rsidRPr="00E0036F" w:rsidRDefault="00E92898" w:rsidP="00371CF7">
            <w:pPr>
              <w:spacing w:line="259" w:lineRule="auto"/>
              <w:ind w:left="33"/>
              <w:jc w:val="both"/>
              <w:rPr>
                <w:rFonts w:ascii="Arial" w:eastAsia="Arial" w:hAnsi="Arial" w:cs="Arial"/>
                <w:sz w:val="24"/>
                <w:szCs w:val="24"/>
              </w:rPr>
            </w:pPr>
            <w:r w:rsidRPr="00E0036F">
              <w:rPr>
                <w:rFonts w:ascii="Arial" w:eastAsia="Arial" w:hAnsi="Arial" w:cs="Arial"/>
                <w:b/>
                <w:sz w:val="24"/>
                <w:szCs w:val="24"/>
              </w:rPr>
              <w:t>Issue</w:t>
            </w:r>
            <w:r w:rsidRPr="00E0036F">
              <w:rPr>
                <w:rFonts w:ascii="Arial" w:eastAsia="Arial" w:hAnsi="Arial" w:cs="Arial"/>
                <w:b/>
                <w:sz w:val="24"/>
                <w:szCs w:val="24"/>
              </w:rPr>
              <w:br/>
            </w:r>
            <w:r w:rsidR="00914B72" w:rsidRPr="00914B72">
              <w:rPr>
                <w:rFonts w:ascii="Arial" w:hAnsi="Arial" w:cs="Arial"/>
                <w:noProof/>
              </w:rPr>
              <w:pict>
                <v:shape id="Straight Arrow Connector 4" o:spid="_x0000_s1040" type="#_x0000_t32" style="position:absolute;left:0;text-align:left;margin-left:-.5pt;margin-top:15.25pt;width:333.75pt;height:1.7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" strokecolor="black [3200]">
                  <v:stroke startarrowwidth="narrow" startarrowlength="short" endarrowwidth="narrow" endarrowlength="short" joinstyle="miter"/>
                </v:shape>
              </w:pict>
            </w:r>
          </w:p>
          <w:p w:rsidR="00E92898" w:rsidRPr="00E0036F" w:rsidRDefault="00CB7EC8" w:rsidP="00B16721">
            <w:pPr>
              <w:numPr>
                <w:ilvl w:val="0"/>
                <w:numId w:val="3"/>
              </w:numPr>
              <w:spacing w:line="259" w:lineRule="auto"/>
              <w:ind w:left="395" w:hanging="362"/>
              <w:jc w:val="both"/>
              <w:rPr>
                <w:rFonts w:ascii="Arial" w:eastAsia="Arial" w:hAnsi="Arial" w:cs="Arial"/>
                <w:sz w:val="20"/>
                <w:szCs w:val="20"/>
              </w:rPr>
            </w:pPr>
            <w:r w:rsidRPr="00E0036F">
              <w:rPr>
                <w:rFonts w:ascii="Arial" w:eastAsia="Arial" w:hAnsi="Arial" w:cs="Arial"/>
                <w:sz w:val="20"/>
                <w:szCs w:val="20"/>
              </w:rPr>
              <w:t>Many financial instruments, including members’ shares, have characteristics of equity, including voting rights and rights to participate in dividend distributions. Some financial instruments give the holder the right to request redemption for cash or another financial asset, but may include or be subject to limits on whether the financial instruments will be redeemed. How should those redemption terms be evaluated in determining whether the financial instruments should be classified as liabilities or equity?</w:t>
            </w:r>
          </w:p>
          <w:p w:rsidR="00935FDF" w:rsidRPr="00E0036F" w:rsidRDefault="00914B72" w:rsidP="00AD3A25">
            <w:pPr>
              <w:spacing w:line="259" w:lineRule="auto"/>
              <w:jc w:val="both"/>
              <w:rPr>
                <w:rFonts w:ascii="Arial" w:eastAsia="Arial" w:hAnsi="Arial" w:cs="Arial"/>
                <w:sz w:val="20"/>
                <w:szCs w:val="20"/>
              </w:rPr>
            </w:pPr>
            <w:r w:rsidRPr="00914B72">
              <w:rPr>
                <w:rFonts w:ascii="Arial" w:hAnsi="Arial" w:cs="Arial"/>
                <w:noProof/>
                <w:sz w:val="24"/>
                <w:szCs w:val="24"/>
              </w:rPr>
              <w:pict>
                <v:shape id="Straight Arrow Connector 26" o:spid="_x0000_s1039" type="#_x0000_t32" style="position:absolute;left:0;text-align:left;margin-left:-.05pt;margin-top:27.35pt;width:333.75pt;height:1.7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" strokecolor="black [3200]">
                  <v:stroke startarrowwidth="narrow" startarrowlength="short" endarrowwidth="narrow" endarrowlength="short" joinstyle="miter"/>
                </v:shape>
              </w:pict>
            </w:r>
            <w:r w:rsidR="00935FDF" w:rsidRPr="00E0036F">
              <w:rPr>
                <w:rFonts w:ascii="Arial" w:eastAsia="Arial" w:hAnsi="Arial" w:cs="Arial"/>
                <w:sz w:val="20"/>
                <w:szCs w:val="20"/>
              </w:rPr>
              <w:br/>
            </w:r>
            <w:r w:rsidR="00935FDF" w:rsidRPr="00E0036F">
              <w:rPr>
                <w:rFonts w:ascii="Arial" w:eastAsia="Arial" w:hAnsi="Arial" w:cs="Arial"/>
                <w:b/>
                <w:sz w:val="24"/>
                <w:szCs w:val="24"/>
              </w:rPr>
              <w:lastRenderedPageBreak/>
              <w:t>Consensus</w:t>
            </w:r>
            <w:r w:rsidR="00935FDF" w:rsidRPr="00E0036F">
              <w:rPr>
                <w:rFonts w:ascii="Arial" w:eastAsia="Arial" w:hAnsi="Arial" w:cs="Arial"/>
                <w:b/>
                <w:sz w:val="24"/>
                <w:szCs w:val="24"/>
              </w:rPr>
              <w:br/>
            </w:r>
          </w:p>
          <w:p w:rsidR="00935FDF" w:rsidRPr="00E0036F" w:rsidRDefault="00935FDF" w:rsidP="00B16721">
            <w:pPr>
              <w:numPr>
                <w:ilvl w:val="0"/>
                <w:numId w:val="3"/>
              </w:numPr>
              <w:spacing w:line="259" w:lineRule="auto"/>
              <w:ind w:left="465" w:hanging="432"/>
              <w:jc w:val="both"/>
              <w:rPr>
                <w:rFonts w:ascii="Arial" w:eastAsia="Arial" w:hAnsi="Arial" w:cs="Arial"/>
                <w:sz w:val="20"/>
                <w:szCs w:val="20"/>
              </w:rPr>
            </w:pPr>
            <w:r w:rsidRPr="00E0036F">
              <w:rPr>
                <w:rFonts w:ascii="Arial" w:eastAsia="Arial" w:hAnsi="Arial" w:cs="Arial"/>
                <w:sz w:val="20"/>
                <w:szCs w:val="20"/>
              </w:rPr>
              <w:t>The contractual right of the holder of a financial instrument (including members’ shares in co-operative entities) to request redemption does not, in itself, require that financial instrument to be classified as a financial liability. Rather, the entity must consider all of the terms and conditions of the financial instrument in determining its classification as a financial liability or equity. Those terms and conditions include relevant local laws, regulations and the entity’s governing charter in effect at the date of classification, but not expected future amendments to those laws, regulations or charter.</w:t>
            </w:r>
          </w:p>
          <w:p w:rsidR="00935FDF" w:rsidRPr="00E0036F" w:rsidRDefault="00935FDF" w:rsidP="00B16721">
            <w:pPr>
              <w:spacing w:line="259" w:lineRule="auto"/>
              <w:ind w:left="465" w:hanging="432"/>
              <w:jc w:val="both"/>
              <w:rPr>
                <w:rFonts w:ascii="Arial" w:eastAsia="Arial" w:hAnsi="Arial" w:cs="Arial"/>
                <w:sz w:val="20"/>
                <w:szCs w:val="20"/>
              </w:rPr>
            </w:pPr>
          </w:p>
          <w:p w:rsidR="00507D3E" w:rsidRPr="00E0036F" w:rsidRDefault="00507D3E" w:rsidP="00B16721">
            <w:pPr>
              <w:spacing w:line="259" w:lineRule="auto"/>
              <w:ind w:left="465" w:hanging="432"/>
              <w:jc w:val="both"/>
              <w:rPr>
                <w:rFonts w:ascii="Arial" w:eastAsia="Arial" w:hAnsi="Arial" w:cs="Arial"/>
                <w:sz w:val="20"/>
                <w:szCs w:val="20"/>
              </w:rPr>
            </w:pPr>
          </w:p>
          <w:p w:rsidR="00935FDF" w:rsidRPr="00E0036F" w:rsidRDefault="00935FDF" w:rsidP="00B16721">
            <w:pPr>
              <w:numPr>
                <w:ilvl w:val="0"/>
                <w:numId w:val="3"/>
              </w:numPr>
              <w:spacing w:line="259" w:lineRule="auto"/>
              <w:ind w:left="465" w:hanging="432"/>
              <w:jc w:val="both"/>
              <w:rPr>
                <w:rFonts w:ascii="Arial" w:eastAsia="Arial" w:hAnsi="Arial" w:cs="Arial"/>
                <w:sz w:val="20"/>
                <w:szCs w:val="20"/>
              </w:rPr>
            </w:pPr>
            <w:r w:rsidRPr="00E0036F">
              <w:rPr>
                <w:rFonts w:ascii="Arial" w:eastAsia="Arial" w:hAnsi="Arial" w:cs="Arial"/>
                <w:sz w:val="20"/>
                <w:szCs w:val="20"/>
              </w:rPr>
              <w:t xml:space="preserve">Members’ shares that would be classified as equity if the members did not have a right to request redemption are equity if either of the conditions described in paragraphs 7 and 8 is present or the members’ shares have all the features and meet the conditions in paragraphs 16A and 16B or paragraphs 16C and 16D of IAS 32. Demand deposits, including current accounts, deposit accounts and similar contracts that arise when members act as customers are financial liabilities of the entity. </w:t>
            </w:r>
          </w:p>
          <w:p w:rsidR="00935FDF" w:rsidRPr="00E0036F" w:rsidRDefault="00935FDF" w:rsidP="00B16721">
            <w:pPr>
              <w:spacing w:line="259" w:lineRule="auto"/>
              <w:ind w:left="465" w:hanging="432"/>
              <w:jc w:val="both"/>
              <w:rPr>
                <w:rFonts w:ascii="Arial" w:eastAsia="Arial" w:hAnsi="Arial" w:cs="Arial"/>
                <w:sz w:val="20"/>
                <w:szCs w:val="20"/>
              </w:rPr>
            </w:pPr>
          </w:p>
          <w:p w:rsidR="00935FDF" w:rsidRPr="00E0036F" w:rsidRDefault="00935FDF" w:rsidP="00B16721">
            <w:pPr>
              <w:numPr>
                <w:ilvl w:val="0"/>
                <w:numId w:val="3"/>
              </w:numPr>
              <w:spacing w:line="259" w:lineRule="auto"/>
              <w:ind w:left="465" w:hanging="432"/>
              <w:jc w:val="both"/>
              <w:rPr>
                <w:rFonts w:ascii="Arial" w:eastAsia="Arial" w:hAnsi="Arial" w:cs="Arial"/>
                <w:sz w:val="20"/>
                <w:szCs w:val="20"/>
              </w:rPr>
            </w:pPr>
            <w:r w:rsidRPr="00E0036F">
              <w:rPr>
                <w:rFonts w:ascii="Arial" w:eastAsia="Arial" w:hAnsi="Arial" w:cs="Arial"/>
                <w:sz w:val="20"/>
                <w:szCs w:val="20"/>
              </w:rPr>
              <w:t>Members’ shares are equity if the entity has an unconditional right to refuse redemption of the members’ shares.</w:t>
            </w:r>
          </w:p>
          <w:p w:rsidR="00935FDF" w:rsidRPr="00E0036F" w:rsidRDefault="00935FDF" w:rsidP="00B16721">
            <w:pPr>
              <w:pStyle w:val="ListParagraph"/>
              <w:spacing w:line="259" w:lineRule="auto"/>
              <w:ind w:left="465" w:hanging="432"/>
              <w:rPr>
                <w:rFonts w:ascii="Arial" w:eastAsia="Arial" w:hAnsi="Arial" w:cs="Arial"/>
                <w:sz w:val="20"/>
                <w:szCs w:val="20"/>
              </w:rPr>
            </w:pPr>
          </w:p>
          <w:p w:rsidR="00935FDF" w:rsidRPr="00E0036F" w:rsidRDefault="003559DB" w:rsidP="00B16721">
            <w:pPr>
              <w:numPr>
                <w:ilvl w:val="0"/>
                <w:numId w:val="3"/>
              </w:numPr>
              <w:spacing w:line="259" w:lineRule="auto"/>
              <w:ind w:left="465" w:hanging="432"/>
              <w:jc w:val="both"/>
              <w:rPr>
                <w:rFonts w:ascii="Arial" w:eastAsia="Arial" w:hAnsi="Arial" w:cs="Arial"/>
                <w:sz w:val="20"/>
                <w:szCs w:val="20"/>
              </w:rPr>
            </w:pPr>
            <w:r w:rsidRPr="00E0036F">
              <w:rPr>
                <w:rFonts w:ascii="Arial" w:eastAsia="Arial" w:hAnsi="Arial" w:cs="Arial"/>
                <w:sz w:val="20"/>
                <w:szCs w:val="20"/>
              </w:rPr>
              <w:t>Local law, regulation or the entity’s governing charter can impose various types of prohibitions on the redemption of members’ shares, eg unconditional prohibitions or prohibitions based on liquidity criteria. If redemption is unconditionally prohibited by local law, regulation or the entity’s governing charter, members’ shares are equity. However, provisions in local law, regulation or the entity’s governing charter that prohibit redemption only if conditions—such as liquidity constraints—are met (or are not met) do not result in members’ shares being equity.</w:t>
            </w:r>
          </w:p>
          <w:p w:rsidR="00935FDF" w:rsidRPr="00E0036F" w:rsidRDefault="00935FDF" w:rsidP="00B16721">
            <w:pPr>
              <w:pStyle w:val="ListParagraph"/>
              <w:spacing w:line="259" w:lineRule="auto"/>
              <w:ind w:left="317" w:hanging="284"/>
              <w:rPr>
                <w:rFonts w:ascii="Arial" w:eastAsia="Arial" w:hAnsi="Arial" w:cs="Arial"/>
                <w:sz w:val="20"/>
                <w:szCs w:val="20"/>
              </w:rPr>
            </w:pPr>
          </w:p>
          <w:p w:rsidR="00935FDF" w:rsidRPr="00E0036F" w:rsidRDefault="00935FDF" w:rsidP="00B16721">
            <w:pPr>
              <w:pStyle w:val="ListParagraph"/>
              <w:spacing w:line="259" w:lineRule="auto"/>
              <w:ind w:left="317" w:hanging="284"/>
              <w:rPr>
                <w:rFonts w:ascii="Arial" w:eastAsia="Arial" w:hAnsi="Arial" w:cs="Arial"/>
                <w:sz w:val="20"/>
                <w:szCs w:val="20"/>
              </w:rPr>
            </w:pPr>
          </w:p>
          <w:p w:rsidR="00B16721" w:rsidRPr="00E0036F" w:rsidRDefault="00B16721" w:rsidP="00B16721">
            <w:pPr>
              <w:pStyle w:val="ListParagraph"/>
              <w:spacing w:line="259" w:lineRule="auto"/>
              <w:ind w:left="317" w:hanging="284"/>
              <w:rPr>
                <w:rFonts w:ascii="Arial" w:eastAsia="Arial" w:hAnsi="Arial" w:cs="Arial"/>
                <w:sz w:val="20"/>
                <w:szCs w:val="20"/>
              </w:rPr>
            </w:pPr>
          </w:p>
          <w:p w:rsidR="00B16721" w:rsidRPr="00E0036F" w:rsidRDefault="00B16721" w:rsidP="00B16721">
            <w:pPr>
              <w:pStyle w:val="ListParagraph"/>
              <w:spacing w:line="259" w:lineRule="auto"/>
              <w:ind w:left="317" w:hanging="284"/>
              <w:rPr>
                <w:rFonts w:ascii="Arial" w:eastAsia="Arial" w:hAnsi="Arial" w:cs="Arial"/>
                <w:sz w:val="20"/>
                <w:szCs w:val="20"/>
              </w:rPr>
            </w:pPr>
          </w:p>
          <w:p w:rsidR="00935FDF" w:rsidRPr="00E0036F" w:rsidRDefault="003559DB" w:rsidP="00B16721">
            <w:pPr>
              <w:numPr>
                <w:ilvl w:val="0"/>
                <w:numId w:val="3"/>
              </w:numPr>
              <w:spacing w:line="259" w:lineRule="auto"/>
              <w:ind w:left="395" w:hanging="362"/>
              <w:jc w:val="both"/>
              <w:rPr>
                <w:rFonts w:ascii="Arial" w:eastAsia="Arial" w:hAnsi="Arial" w:cs="Arial"/>
                <w:sz w:val="20"/>
                <w:szCs w:val="20"/>
              </w:rPr>
            </w:pPr>
            <w:r w:rsidRPr="00E0036F">
              <w:rPr>
                <w:rFonts w:ascii="Arial" w:eastAsia="Arial" w:hAnsi="Arial" w:cs="Arial"/>
                <w:sz w:val="20"/>
                <w:szCs w:val="20"/>
              </w:rPr>
              <w:lastRenderedPageBreak/>
              <w:t>An unconditional prohibition may be absolute, in that all redemptions are prohibited. An unconditional prohibition may be partial, in that it prohibits redemption of members’ shares if redemption would cause the number of members’ shares or amount of paid-in capital from members’ shares to fall below a specified level. Members’ shares in excess of the prohibition against redemption are liabilities, unless the entity has the unconditional right to refuse redemption as described in paragraph 7 or the members’ shares have all the features and meet the conditions in paragraphs 16A and 16B or paragraphs 16C and 16D of IAS 32. In some cases, the number of shares or the amount of paid-in capital subject to a redemption prohibition may change from time to time. Such a change in the redemption prohibition leads to a transfer between financial liabilities and equity.</w:t>
            </w:r>
          </w:p>
          <w:p w:rsidR="00935FDF" w:rsidRPr="00E0036F" w:rsidRDefault="00935FDF" w:rsidP="00B16721">
            <w:pPr>
              <w:spacing w:line="259" w:lineRule="auto"/>
              <w:ind w:left="395" w:hanging="362"/>
              <w:jc w:val="both"/>
              <w:rPr>
                <w:rFonts w:ascii="Arial" w:eastAsia="Arial" w:hAnsi="Arial" w:cs="Arial"/>
                <w:sz w:val="20"/>
                <w:szCs w:val="20"/>
              </w:rPr>
            </w:pPr>
          </w:p>
          <w:p w:rsidR="00935FDF" w:rsidRPr="00E0036F" w:rsidRDefault="00935FDF" w:rsidP="00B16721">
            <w:pPr>
              <w:spacing w:line="259" w:lineRule="auto"/>
              <w:ind w:left="395" w:hanging="362"/>
              <w:jc w:val="both"/>
              <w:rPr>
                <w:rFonts w:ascii="Arial" w:eastAsia="Arial" w:hAnsi="Arial" w:cs="Arial"/>
                <w:sz w:val="20"/>
                <w:szCs w:val="20"/>
              </w:rPr>
            </w:pPr>
          </w:p>
          <w:p w:rsidR="00935FDF" w:rsidRPr="00E0036F" w:rsidRDefault="003559DB" w:rsidP="00B16721">
            <w:pPr>
              <w:numPr>
                <w:ilvl w:val="0"/>
                <w:numId w:val="3"/>
              </w:numPr>
              <w:spacing w:line="259" w:lineRule="auto"/>
              <w:ind w:left="395" w:hanging="362"/>
              <w:jc w:val="both"/>
              <w:rPr>
                <w:rFonts w:ascii="Arial" w:eastAsia="Arial" w:hAnsi="Arial" w:cs="Arial"/>
                <w:sz w:val="20"/>
                <w:szCs w:val="20"/>
              </w:rPr>
            </w:pPr>
            <w:r w:rsidRPr="00E0036F">
              <w:rPr>
                <w:rFonts w:ascii="Arial" w:eastAsia="Arial" w:hAnsi="Arial" w:cs="Arial"/>
                <w:sz w:val="20"/>
                <w:szCs w:val="20"/>
              </w:rPr>
              <w:t>At initial recognition, the entity shall measure its financial liability for</w:t>
            </w:r>
            <w:r w:rsidRPr="00E0036F">
              <w:rPr>
                <w:rFonts w:ascii="Arial" w:eastAsia="Arial" w:hAnsi="Arial" w:cs="Arial"/>
                <w:sz w:val="20"/>
                <w:szCs w:val="20"/>
              </w:rPr>
              <w:br/>
              <w:t>redemption at fair value. In the case of members’ shares with a redemption feature, the entity measures the fair value of the financial liability for redemption at no less than the maximum amount payable under the redemption provisions of its governing charter or applicable law discounted from the first date that the amount could be required to be paid (see example 3).</w:t>
            </w:r>
          </w:p>
          <w:p w:rsidR="00935FDF" w:rsidRPr="00E0036F" w:rsidRDefault="00935FDF" w:rsidP="00B16721">
            <w:pPr>
              <w:spacing w:line="259" w:lineRule="auto"/>
              <w:ind w:left="395" w:hanging="362"/>
              <w:rPr>
                <w:rFonts w:ascii="Arial" w:eastAsia="Arial" w:hAnsi="Arial" w:cs="Arial"/>
                <w:sz w:val="20"/>
                <w:szCs w:val="20"/>
              </w:rPr>
            </w:pPr>
          </w:p>
          <w:p w:rsidR="00935FDF" w:rsidRPr="00E0036F" w:rsidRDefault="003559DB" w:rsidP="00B16721">
            <w:pPr>
              <w:numPr>
                <w:ilvl w:val="0"/>
                <w:numId w:val="3"/>
              </w:numPr>
              <w:spacing w:line="259" w:lineRule="auto"/>
              <w:ind w:left="395" w:hanging="362"/>
              <w:jc w:val="both"/>
              <w:rPr>
                <w:rFonts w:ascii="Arial" w:eastAsia="Arial" w:hAnsi="Arial" w:cs="Arial"/>
                <w:sz w:val="20"/>
                <w:szCs w:val="20"/>
              </w:rPr>
            </w:pPr>
            <w:r w:rsidRPr="00E0036F">
              <w:rPr>
                <w:rFonts w:ascii="Arial" w:eastAsia="Arial" w:hAnsi="Arial" w:cs="Arial"/>
                <w:sz w:val="20"/>
                <w:szCs w:val="20"/>
              </w:rPr>
              <w:t>As required by paragraph 35 of IAS 32, distributions to holders of equity instruments are recognised directly in equity. Interest, dividends and other returns relating to financial instruments classified as financial liabilities are expenses, regardless of whether those amounts paid are legally characterised as dividends, interest or otherwise.</w:t>
            </w:r>
          </w:p>
          <w:p w:rsidR="00935FDF" w:rsidRPr="00E0036F" w:rsidRDefault="00935FDF" w:rsidP="00B16721">
            <w:pPr>
              <w:pStyle w:val="ListParagraph"/>
              <w:spacing w:line="259" w:lineRule="auto"/>
              <w:ind w:left="395" w:hanging="362"/>
              <w:rPr>
                <w:rFonts w:ascii="Arial" w:eastAsia="Arial" w:hAnsi="Arial" w:cs="Arial"/>
                <w:sz w:val="20"/>
                <w:szCs w:val="20"/>
              </w:rPr>
            </w:pPr>
          </w:p>
          <w:p w:rsidR="00935FDF" w:rsidRPr="00E0036F" w:rsidRDefault="00935FDF" w:rsidP="00B16721">
            <w:pPr>
              <w:pStyle w:val="ListParagraph"/>
              <w:spacing w:line="259" w:lineRule="auto"/>
              <w:ind w:left="395" w:hanging="362"/>
              <w:rPr>
                <w:rFonts w:ascii="Arial" w:eastAsia="Arial" w:hAnsi="Arial" w:cs="Arial"/>
                <w:sz w:val="20"/>
                <w:szCs w:val="20"/>
              </w:rPr>
            </w:pPr>
          </w:p>
          <w:p w:rsidR="00127573" w:rsidRPr="00E0036F" w:rsidRDefault="003559DB" w:rsidP="00B16721">
            <w:pPr>
              <w:numPr>
                <w:ilvl w:val="0"/>
                <w:numId w:val="3"/>
              </w:numPr>
              <w:spacing w:line="259" w:lineRule="auto"/>
              <w:ind w:left="395" w:hanging="362"/>
              <w:jc w:val="both"/>
              <w:rPr>
                <w:rFonts w:ascii="Arial" w:eastAsia="Arial" w:hAnsi="Arial" w:cs="Arial"/>
                <w:sz w:val="20"/>
                <w:szCs w:val="20"/>
              </w:rPr>
            </w:pPr>
            <w:r w:rsidRPr="00E0036F">
              <w:rPr>
                <w:rFonts w:ascii="Arial" w:eastAsia="Arial" w:hAnsi="Arial" w:cs="Arial"/>
                <w:sz w:val="20"/>
                <w:szCs w:val="20"/>
              </w:rPr>
              <w:t>The Appendix, which is an integral part of the consensus, provides examples of the application of this consensus.</w:t>
            </w:r>
          </w:p>
          <w:p w:rsidR="00127573" w:rsidRPr="00E0036F" w:rsidRDefault="00127573" w:rsidP="00B16721">
            <w:pPr>
              <w:spacing w:line="259" w:lineRule="auto"/>
              <w:ind w:left="317" w:hanging="284"/>
              <w:jc w:val="both"/>
              <w:rPr>
                <w:rFonts w:ascii="Arial" w:eastAsia="Arial" w:hAnsi="Arial" w:cs="Arial"/>
                <w:sz w:val="20"/>
                <w:szCs w:val="20"/>
              </w:rPr>
            </w:pPr>
          </w:p>
          <w:p w:rsidR="00B16721" w:rsidRPr="00E0036F" w:rsidRDefault="00B16721" w:rsidP="00AD3A25">
            <w:pPr>
              <w:spacing w:line="259" w:lineRule="auto"/>
              <w:rPr>
                <w:rFonts w:ascii="Arial" w:eastAsia="Arial" w:hAnsi="Arial" w:cs="Arial"/>
                <w:b/>
              </w:rPr>
            </w:pPr>
          </w:p>
          <w:p w:rsidR="00127573" w:rsidRPr="00E0036F" w:rsidRDefault="00127573" w:rsidP="00AD3A25">
            <w:pPr>
              <w:spacing w:line="259" w:lineRule="auto"/>
              <w:rPr>
                <w:rFonts w:ascii="Arial" w:eastAsia="Arial" w:hAnsi="Arial" w:cs="Arial"/>
                <w:b/>
                <w:sz w:val="24"/>
                <w:szCs w:val="24"/>
              </w:rPr>
            </w:pPr>
            <w:r w:rsidRPr="00E0036F">
              <w:rPr>
                <w:rFonts w:ascii="Arial" w:eastAsia="Arial" w:hAnsi="Arial" w:cs="Arial"/>
                <w:b/>
                <w:sz w:val="24"/>
                <w:szCs w:val="24"/>
              </w:rPr>
              <w:t>Disclosure</w:t>
            </w:r>
          </w:p>
          <w:p w:rsidR="00127573" w:rsidRPr="00E0036F" w:rsidRDefault="00914B72" w:rsidP="00B16721">
            <w:pPr>
              <w:spacing w:line="259" w:lineRule="auto"/>
              <w:ind w:left="317" w:hanging="284"/>
              <w:rPr>
                <w:rFonts w:ascii="Arial" w:eastAsia="Arial" w:hAnsi="Arial" w:cs="Arial"/>
                <w:b/>
                <w:sz w:val="20"/>
                <w:szCs w:val="20"/>
              </w:rPr>
            </w:pPr>
            <w:r w:rsidRPr="00914B72">
              <w:rPr>
                <w:rFonts w:ascii="Arial" w:hAnsi="Arial" w:cs="Arial"/>
                <w:noProof/>
              </w:rPr>
              <w:pict>
                <v:shape id="Straight Arrow Connector 28" o:spid="_x0000_s1038" type="#_x0000_t32" style="position:absolute;left:0;text-align:left;margin-left:-.5pt;margin-top:.25pt;width:333.75pt;height:1.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" strokecolor="black [3200]">
                  <v:stroke startarrowwidth="narrow" startarrowlength="short" endarrowwidth="narrow" endarrowlength="short" joinstyle="miter"/>
                </v:shape>
              </w:pict>
            </w:r>
          </w:p>
          <w:p w:rsidR="00127573" w:rsidRPr="00E0036F" w:rsidRDefault="00127573" w:rsidP="00507D3E">
            <w:pPr>
              <w:numPr>
                <w:ilvl w:val="0"/>
                <w:numId w:val="3"/>
              </w:numPr>
              <w:spacing w:line="259" w:lineRule="auto"/>
              <w:ind w:left="460" w:hanging="427"/>
              <w:jc w:val="both"/>
              <w:rPr>
                <w:rFonts w:ascii="Arial" w:eastAsia="Arial" w:hAnsi="Arial" w:cs="Arial"/>
                <w:sz w:val="20"/>
                <w:szCs w:val="20"/>
              </w:rPr>
            </w:pPr>
            <w:r w:rsidRPr="00E0036F">
              <w:rPr>
                <w:rFonts w:ascii="Arial" w:eastAsia="Arial" w:hAnsi="Arial" w:cs="Arial"/>
                <w:sz w:val="20"/>
                <w:szCs w:val="20"/>
              </w:rPr>
              <w:t xml:space="preserve">When a change in the redemption prohibition leads to a transfer </w:t>
            </w:r>
            <w:r w:rsidRPr="00E0036F">
              <w:rPr>
                <w:rFonts w:ascii="Arial" w:eastAsia="Arial" w:hAnsi="Arial" w:cs="Arial"/>
                <w:sz w:val="20"/>
                <w:szCs w:val="20"/>
              </w:rPr>
              <w:lastRenderedPageBreak/>
              <w:t>between financial liabilities and equity, the entity shall disclose separately the amount, timing and reason for the transfer.</w:t>
            </w:r>
          </w:p>
          <w:p w:rsidR="00127573" w:rsidRPr="00E0036F" w:rsidRDefault="00127573" w:rsidP="00AD3A25">
            <w:pPr>
              <w:spacing w:line="259" w:lineRule="auto"/>
              <w:jc w:val="both"/>
              <w:rPr>
                <w:rFonts w:ascii="Arial" w:eastAsia="Arial" w:hAnsi="Arial" w:cs="Arial"/>
                <w:sz w:val="20"/>
                <w:szCs w:val="20"/>
              </w:rPr>
            </w:pPr>
          </w:p>
          <w:p w:rsidR="00127573" w:rsidRPr="00E0036F" w:rsidRDefault="00914B72" w:rsidP="00AD3A25">
            <w:pPr>
              <w:spacing w:line="259" w:lineRule="auto"/>
              <w:rPr>
                <w:rFonts w:ascii="Arial" w:eastAsia="Arial" w:hAnsi="Arial" w:cs="Arial"/>
                <w:sz w:val="20"/>
                <w:szCs w:val="20"/>
              </w:rPr>
            </w:pPr>
            <w:r w:rsidRPr="00914B72">
              <w:rPr>
                <w:rFonts w:ascii="Arial" w:hAnsi="Arial" w:cs="Arial"/>
                <w:noProof/>
                <w:sz w:val="24"/>
                <w:szCs w:val="24"/>
              </w:rPr>
              <w:pict>
                <v:shape id="Straight Arrow Connector 31" o:spid="_x0000_s1037" type="#_x0000_t32" style="position:absolute;margin-left:-.5pt;margin-top:15.1pt;width:333.75pt;height:1.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" strokecolor="black [3200]">
                  <v:stroke startarrowwidth="narrow" startarrowlength="short" endarrowwidth="narrow" endarrowlength="short" joinstyle="miter"/>
                </v:shape>
              </w:pict>
            </w:r>
            <w:r w:rsidR="00127573" w:rsidRPr="00E0036F">
              <w:rPr>
                <w:rFonts w:ascii="Arial" w:eastAsia="Arial" w:hAnsi="Arial" w:cs="Arial"/>
                <w:b/>
                <w:sz w:val="24"/>
                <w:szCs w:val="24"/>
              </w:rPr>
              <w:t>Effective date</w:t>
            </w:r>
            <w:r w:rsidR="00127573" w:rsidRPr="00E0036F">
              <w:rPr>
                <w:rFonts w:ascii="Arial" w:eastAsia="Arial" w:hAnsi="Arial" w:cs="Arial"/>
                <w:b/>
                <w:sz w:val="24"/>
                <w:szCs w:val="24"/>
              </w:rPr>
              <w:br/>
            </w:r>
          </w:p>
          <w:p w:rsidR="00127573" w:rsidRPr="00E0036F" w:rsidRDefault="003559DB" w:rsidP="00507D3E">
            <w:pPr>
              <w:numPr>
                <w:ilvl w:val="0"/>
                <w:numId w:val="3"/>
              </w:numPr>
              <w:spacing w:line="259" w:lineRule="auto"/>
              <w:ind w:left="439" w:hanging="406"/>
              <w:jc w:val="both"/>
              <w:rPr>
                <w:rFonts w:ascii="Arial" w:eastAsia="Arial" w:hAnsi="Arial" w:cs="Arial"/>
                <w:sz w:val="20"/>
                <w:szCs w:val="20"/>
              </w:rPr>
            </w:pPr>
            <w:r w:rsidRPr="00E0036F">
              <w:rPr>
                <w:rFonts w:ascii="Arial" w:eastAsia="Arial" w:hAnsi="Arial" w:cs="Arial"/>
                <w:sz w:val="20"/>
                <w:szCs w:val="20"/>
              </w:rPr>
              <w:t>The effective date and transition requirements of this Interpretation are the same as those for IAS 32 (as revised in 2003). An entity shall apply this Interpretation for annual periods beginning on or after 1 January 2005. If an entity applies this Interpretation for a period beginning before 1 January 2005, it shall disclose that fact. This Interpretation shall be applied retrospectively.</w:t>
            </w:r>
          </w:p>
          <w:p w:rsidR="00127573" w:rsidRPr="00E0036F" w:rsidRDefault="00127573" w:rsidP="00B16721">
            <w:pPr>
              <w:spacing w:line="259" w:lineRule="auto"/>
              <w:ind w:left="395" w:hanging="362"/>
              <w:jc w:val="both"/>
              <w:rPr>
                <w:rFonts w:ascii="Arial" w:eastAsia="Arial" w:hAnsi="Arial" w:cs="Arial"/>
                <w:sz w:val="20"/>
                <w:szCs w:val="20"/>
              </w:rPr>
            </w:pPr>
          </w:p>
          <w:p w:rsidR="00EC6B41" w:rsidRPr="00E0036F" w:rsidRDefault="00EC6B41" w:rsidP="00B16721">
            <w:pPr>
              <w:spacing w:line="259" w:lineRule="auto"/>
              <w:ind w:left="395" w:hanging="362"/>
              <w:jc w:val="both"/>
              <w:rPr>
                <w:rFonts w:ascii="Arial" w:eastAsia="Arial" w:hAnsi="Arial" w:cs="Arial"/>
                <w:sz w:val="20"/>
                <w:szCs w:val="20"/>
              </w:rPr>
            </w:pPr>
          </w:p>
          <w:p w:rsidR="00127573" w:rsidRPr="00E0036F" w:rsidRDefault="00127573" w:rsidP="00B16721">
            <w:pPr>
              <w:spacing w:line="259" w:lineRule="auto"/>
              <w:ind w:left="458" w:hanging="425"/>
              <w:jc w:val="both"/>
              <w:rPr>
                <w:rFonts w:ascii="Arial" w:eastAsia="Arial" w:hAnsi="Arial" w:cs="Arial"/>
                <w:sz w:val="20"/>
                <w:szCs w:val="20"/>
              </w:rPr>
            </w:pPr>
            <w:proofErr w:type="gramStart"/>
            <w:r w:rsidRPr="00E0036F">
              <w:rPr>
                <w:rFonts w:ascii="Arial" w:eastAsia="Arial" w:hAnsi="Arial" w:cs="Arial"/>
                <w:sz w:val="20"/>
                <w:szCs w:val="20"/>
              </w:rPr>
              <w:t xml:space="preserve">14A </w:t>
            </w:r>
            <w:r w:rsidR="00B16721" w:rsidRPr="00E0036F">
              <w:rPr>
                <w:rFonts w:ascii="Arial" w:eastAsia="Arial" w:hAnsi="Arial" w:cs="Arial"/>
                <w:sz w:val="20"/>
                <w:szCs w:val="20"/>
              </w:rPr>
              <w:t xml:space="preserve"> </w:t>
            </w:r>
            <w:r w:rsidRPr="00E0036F">
              <w:rPr>
                <w:rFonts w:ascii="Arial" w:eastAsia="Arial" w:hAnsi="Arial" w:cs="Arial"/>
                <w:sz w:val="20"/>
                <w:szCs w:val="20"/>
              </w:rPr>
              <w:t>An</w:t>
            </w:r>
            <w:proofErr w:type="gramEnd"/>
            <w:r w:rsidRPr="00E0036F">
              <w:rPr>
                <w:rFonts w:ascii="Arial" w:eastAsia="Arial" w:hAnsi="Arial" w:cs="Arial"/>
                <w:sz w:val="20"/>
                <w:szCs w:val="20"/>
              </w:rPr>
              <w:t xml:space="preserve"> entity shall apply the amendments in paragraphs 6, 9, A1 and A12 for annual periods beginning on or after 1 January 2009. If an entity applies </w:t>
            </w:r>
            <w:r w:rsidRPr="00E0036F">
              <w:rPr>
                <w:rFonts w:ascii="Arial" w:eastAsia="Arial" w:hAnsi="Arial" w:cs="Arial"/>
                <w:i/>
                <w:sz w:val="20"/>
                <w:szCs w:val="20"/>
              </w:rPr>
              <w:t xml:space="preserve">Puttable Financial Instruments and Obligations Arising on Liquidation </w:t>
            </w:r>
            <w:r w:rsidRPr="00E0036F">
              <w:rPr>
                <w:rFonts w:ascii="Arial" w:eastAsia="Arial" w:hAnsi="Arial" w:cs="Arial"/>
                <w:sz w:val="20"/>
                <w:szCs w:val="20"/>
              </w:rPr>
              <w:t>(Amendments to IAS 32 and IAS 1), issued in February 2008, for an earlier period, the amendments in paragraphs 6, 9, A1 and A12 shall be applied for that earlier period.</w:t>
            </w:r>
          </w:p>
          <w:p w:rsidR="00127573" w:rsidRPr="00E0036F" w:rsidRDefault="00127573" w:rsidP="00B16721">
            <w:pPr>
              <w:pStyle w:val="ListParagraph"/>
              <w:spacing w:line="259" w:lineRule="auto"/>
              <w:ind w:left="395" w:hanging="362"/>
              <w:rPr>
                <w:rFonts w:ascii="Arial" w:eastAsia="Arial" w:hAnsi="Arial" w:cs="Arial"/>
                <w:sz w:val="20"/>
                <w:szCs w:val="20"/>
              </w:rPr>
            </w:pPr>
          </w:p>
          <w:p w:rsidR="00127573" w:rsidRPr="00E0036F" w:rsidRDefault="003559DB" w:rsidP="00B16721">
            <w:pPr>
              <w:numPr>
                <w:ilvl w:val="0"/>
                <w:numId w:val="3"/>
              </w:numPr>
              <w:spacing w:line="259" w:lineRule="auto"/>
              <w:ind w:left="395" w:hanging="362"/>
              <w:jc w:val="both"/>
              <w:rPr>
                <w:rFonts w:ascii="Arial" w:eastAsia="Arial" w:hAnsi="Arial" w:cs="Arial"/>
                <w:sz w:val="20"/>
                <w:szCs w:val="20"/>
              </w:rPr>
            </w:pPr>
            <w:r w:rsidRPr="00E0036F">
              <w:rPr>
                <w:rFonts w:ascii="Arial" w:eastAsia="Arial" w:hAnsi="Arial" w:cs="Arial"/>
                <w:sz w:val="20"/>
                <w:szCs w:val="20"/>
              </w:rPr>
              <w:t>[Deleted]</w:t>
            </w:r>
          </w:p>
          <w:p w:rsidR="00127573" w:rsidRPr="00E0036F" w:rsidRDefault="00127573" w:rsidP="00B16721">
            <w:pPr>
              <w:pStyle w:val="ListParagraph"/>
              <w:spacing w:line="259" w:lineRule="auto"/>
              <w:ind w:left="395" w:hanging="362"/>
              <w:rPr>
                <w:rFonts w:ascii="Arial" w:eastAsia="Arial" w:hAnsi="Arial" w:cs="Arial"/>
                <w:sz w:val="20"/>
                <w:szCs w:val="20"/>
              </w:rPr>
            </w:pPr>
          </w:p>
          <w:p w:rsidR="00127573" w:rsidRPr="00E0036F" w:rsidRDefault="003559DB" w:rsidP="00B16721">
            <w:pPr>
              <w:numPr>
                <w:ilvl w:val="0"/>
                <w:numId w:val="3"/>
              </w:numPr>
              <w:spacing w:line="259" w:lineRule="auto"/>
              <w:ind w:left="395" w:hanging="362"/>
              <w:jc w:val="both"/>
              <w:rPr>
                <w:rFonts w:ascii="Arial" w:eastAsia="Arial" w:hAnsi="Arial" w:cs="Arial"/>
                <w:sz w:val="20"/>
                <w:szCs w:val="20"/>
              </w:rPr>
            </w:pPr>
            <w:r w:rsidRPr="00E0036F">
              <w:rPr>
                <w:rFonts w:ascii="Arial" w:eastAsia="Arial" w:hAnsi="Arial" w:cs="Arial"/>
                <w:sz w:val="20"/>
                <w:szCs w:val="20"/>
              </w:rPr>
              <w:t>IFRS 13, issued in May 2011, amended paragraph A8. An entity shall apply that amendment when it applies IFRS 13.</w:t>
            </w:r>
          </w:p>
          <w:p w:rsidR="00127573" w:rsidRPr="00E0036F" w:rsidRDefault="00127573" w:rsidP="00B16721">
            <w:pPr>
              <w:pStyle w:val="ListParagraph"/>
              <w:spacing w:line="259" w:lineRule="auto"/>
              <w:ind w:left="395" w:hanging="362"/>
              <w:rPr>
                <w:rFonts w:ascii="Arial" w:eastAsia="Arial" w:hAnsi="Arial" w:cs="Arial"/>
                <w:i/>
                <w:sz w:val="20"/>
                <w:szCs w:val="20"/>
              </w:rPr>
            </w:pPr>
          </w:p>
          <w:p w:rsidR="00127573" w:rsidRPr="00E0036F" w:rsidRDefault="003559DB" w:rsidP="00B16721">
            <w:pPr>
              <w:numPr>
                <w:ilvl w:val="0"/>
                <w:numId w:val="3"/>
              </w:numPr>
              <w:spacing w:line="259" w:lineRule="auto"/>
              <w:ind w:left="395" w:hanging="362"/>
              <w:jc w:val="both"/>
              <w:rPr>
                <w:rFonts w:ascii="Arial" w:eastAsia="Arial" w:hAnsi="Arial" w:cs="Arial"/>
                <w:sz w:val="20"/>
                <w:szCs w:val="20"/>
              </w:rPr>
            </w:pPr>
            <w:r w:rsidRPr="00E0036F">
              <w:rPr>
                <w:rFonts w:ascii="Arial" w:eastAsia="Arial" w:hAnsi="Arial" w:cs="Arial"/>
                <w:i/>
                <w:sz w:val="20"/>
                <w:szCs w:val="20"/>
              </w:rPr>
              <w:t>Annual Improvements 2009–2011 Cycle</w:t>
            </w:r>
            <w:r w:rsidRPr="00E0036F">
              <w:rPr>
                <w:rFonts w:ascii="Arial" w:eastAsia="Arial" w:hAnsi="Arial" w:cs="Arial"/>
                <w:sz w:val="20"/>
                <w:szCs w:val="20"/>
              </w:rPr>
              <w:t xml:space="preserve">, issued in May 2012, amended paragraph 11. An entity shall apply that amendment retrospectively in accordance with IAS 8 </w:t>
            </w:r>
            <w:r w:rsidRPr="00E0036F">
              <w:rPr>
                <w:rFonts w:ascii="Arial" w:eastAsia="Arial" w:hAnsi="Arial" w:cs="Arial"/>
                <w:i/>
                <w:sz w:val="20"/>
                <w:szCs w:val="20"/>
              </w:rPr>
              <w:t xml:space="preserve">Accounting Policies, Changes in Accounting Estimates and Errors </w:t>
            </w:r>
            <w:r w:rsidRPr="00E0036F">
              <w:rPr>
                <w:rFonts w:ascii="Arial" w:eastAsia="Arial" w:hAnsi="Arial" w:cs="Arial"/>
                <w:sz w:val="20"/>
                <w:szCs w:val="20"/>
              </w:rPr>
              <w:t xml:space="preserve">for annual periods beginning on or after 1 January 2013. If an entity applies that amendment to IAS 32 as a part of the </w:t>
            </w:r>
            <w:r w:rsidR="00B16721" w:rsidRPr="00E0036F">
              <w:rPr>
                <w:rFonts w:ascii="Arial" w:eastAsia="Arial" w:hAnsi="Arial" w:cs="Arial"/>
                <w:i/>
                <w:sz w:val="20"/>
                <w:szCs w:val="20"/>
              </w:rPr>
              <w:t xml:space="preserve">Annual Improvements </w:t>
            </w:r>
            <w:r w:rsidRPr="00E0036F">
              <w:rPr>
                <w:rFonts w:ascii="Arial" w:eastAsia="Arial" w:hAnsi="Arial" w:cs="Arial"/>
                <w:i/>
                <w:sz w:val="20"/>
                <w:szCs w:val="20"/>
              </w:rPr>
              <w:t xml:space="preserve">2009–2011 Cycle </w:t>
            </w:r>
            <w:r w:rsidRPr="00E0036F">
              <w:rPr>
                <w:rFonts w:ascii="Arial" w:eastAsia="Arial" w:hAnsi="Arial" w:cs="Arial"/>
                <w:sz w:val="20"/>
                <w:szCs w:val="20"/>
              </w:rPr>
              <w:t>(issued in May 2012) for an earlier period, the amendment in paragraph 11 shall be applied for that earlier period.</w:t>
            </w:r>
          </w:p>
          <w:p w:rsidR="00127573" w:rsidRPr="00E0036F" w:rsidRDefault="00127573" w:rsidP="00B16721">
            <w:pPr>
              <w:pStyle w:val="ListParagraph"/>
              <w:spacing w:line="259" w:lineRule="auto"/>
              <w:ind w:left="317" w:hanging="284"/>
              <w:rPr>
                <w:rFonts w:ascii="Arial" w:eastAsia="Arial" w:hAnsi="Arial" w:cs="Arial"/>
                <w:sz w:val="20"/>
                <w:szCs w:val="20"/>
              </w:rPr>
            </w:pPr>
          </w:p>
          <w:p w:rsidR="00127573" w:rsidRPr="00E0036F" w:rsidRDefault="003559DB" w:rsidP="00B16721">
            <w:pPr>
              <w:numPr>
                <w:ilvl w:val="0"/>
                <w:numId w:val="3"/>
              </w:numPr>
              <w:spacing w:line="259" w:lineRule="auto"/>
              <w:ind w:left="409" w:hanging="376"/>
              <w:jc w:val="both"/>
              <w:rPr>
                <w:rFonts w:ascii="Arial" w:eastAsia="Arial" w:hAnsi="Arial" w:cs="Arial"/>
                <w:sz w:val="20"/>
                <w:szCs w:val="20"/>
              </w:rPr>
            </w:pPr>
            <w:r w:rsidRPr="00E0036F">
              <w:rPr>
                <w:rFonts w:ascii="Arial" w:eastAsia="Arial" w:hAnsi="Arial" w:cs="Arial"/>
                <w:sz w:val="20"/>
                <w:szCs w:val="20"/>
              </w:rPr>
              <w:t>[Deleted]</w:t>
            </w:r>
          </w:p>
          <w:p w:rsidR="00127573" w:rsidRPr="00E0036F" w:rsidRDefault="00127573" w:rsidP="00B16721">
            <w:pPr>
              <w:pStyle w:val="ListParagraph"/>
              <w:spacing w:line="259" w:lineRule="auto"/>
              <w:ind w:left="409" w:hanging="376"/>
              <w:rPr>
                <w:rFonts w:ascii="Arial" w:eastAsia="Arial" w:hAnsi="Arial" w:cs="Arial"/>
                <w:sz w:val="20"/>
                <w:szCs w:val="20"/>
              </w:rPr>
            </w:pPr>
          </w:p>
          <w:p w:rsidR="00247933" w:rsidRPr="00E0036F" w:rsidRDefault="003559DB" w:rsidP="00B16721">
            <w:pPr>
              <w:numPr>
                <w:ilvl w:val="0"/>
                <w:numId w:val="3"/>
              </w:numPr>
              <w:spacing w:line="259" w:lineRule="auto"/>
              <w:ind w:left="409" w:hanging="376"/>
              <w:jc w:val="both"/>
              <w:rPr>
                <w:rFonts w:ascii="Arial" w:eastAsia="Arial" w:hAnsi="Arial" w:cs="Arial"/>
                <w:sz w:val="20"/>
                <w:szCs w:val="20"/>
              </w:rPr>
            </w:pPr>
            <w:r w:rsidRPr="00E0036F">
              <w:rPr>
                <w:rFonts w:ascii="Arial" w:eastAsia="Arial" w:hAnsi="Arial" w:cs="Arial"/>
                <w:sz w:val="20"/>
                <w:szCs w:val="20"/>
              </w:rPr>
              <w:t xml:space="preserve">IFRS 9, as issued in July 2014, amended paragraphs A8 and A10 and </w:t>
            </w:r>
            <w:r w:rsidRPr="00E0036F">
              <w:rPr>
                <w:rFonts w:ascii="Arial" w:eastAsia="Arial" w:hAnsi="Arial" w:cs="Arial"/>
                <w:sz w:val="20"/>
                <w:szCs w:val="20"/>
              </w:rPr>
              <w:lastRenderedPageBreak/>
              <w:t>deleted paragraphs 15 and 18. An entity shall apply those amendments when it applies IFRS 9.</w:t>
            </w:r>
          </w:p>
        </w:tc>
        <w:tc>
          <w:tcPr>
            <w:tcW w:w="6804" w:type="dxa"/>
          </w:tcPr>
          <w:p w:rsidR="00247933" w:rsidRPr="00E0036F" w:rsidRDefault="003559DB" w:rsidP="00AD3A25">
            <w:pPr>
              <w:spacing w:line="259" w:lineRule="auto"/>
              <w:jc w:val="both"/>
              <w:rPr>
                <w:rFonts w:ascii="Arial" w:eastAsia="Arial" w:hAnsi="Arial" w:cs="Arial"/>
                <w:b/>
                <w:sz w:val="24"/>
                <w:szCs w:val="24"/>
              </w:rPr>
            </w:pPr>
            <w:r w:rsidRPr="00E0036F">
              <w:rPr>
                <w:rFonts w:ascii="Arial" w:eastAsia="Arial" w:hAnsi="Arial" w:cs="Arial"/>
                <w:b/>
                <w:sz w:val="24"/>
                <w:szCs w:val="24"/>
              </w:rPr>
              <w:lastRenderedPageBreak/>
              <w:t>IFRIC</w:t>
            </w:r>
            <w:r w:rsidR="00E0036F" w:rsidRPr="00E0036F">
              <w:rPr>
                <w:rFonts w:ascii="Arial" w:eastAsia="Arial" w:hAnsi="Arial" w:cs="Arial"/>
                <w:b/>
                <w:sz w:val="24"/>
                <w:szCs w:val="24"/>
              </w:rPr>
              <w:t xml:space="preserve"> </w:t>
            </w:r>
            <w:r w:rsidRPr="00E0036F">
              <w:rPr>
                <w:rFonts w:ascii="Arial" w:eastAsia="Arial" w:hAnsi="Arial" w:cs="Arial"/>
                <w:b/>
                <w:sz w:val="24"/>
                <w:szCs w:val="24"/>
              </w:rPr>
              <w:t>2</w:t>
            </w:r>
          </w:p>
          <w:p w:rsidR="00247933" w:rsidRPr="00E0036F" w:rsidRDefault="00247933" w:rsidP="00AD3A25">
            <w:pPr>
              <w:spacing w:line="259" w:lineRule="auto"/>
              <w:jc w:val="both"/>
              <w:rPr>
                <w:rFonts w:ascii="Arial" w:eastAsia="Arial" w:hAnsi="Arial" w:cs="Arial"/>
                <w:b/>
                <w:sz w:val="20"/>
                <w:szCs w:val="20"/>
              </w:rPr>
            </w:pPr>
          </w:p>
          <w:p w:rsidR="00247933" w:rsidRPr="00E0036F" w:rsidRDefault="003559DB" w:rsidP="00AD3A25">
            <w:pPr>
              <w:spacing w:line="259" w:lineRule="auto"/>
              <w:jc w:val="both"/>
              <w:rPr>
                <w:rFonts w:ascii="Arial" w:eastAsia="Arial" w:hAnsi="Arial" w:cs="Arial"/>
                <w:b/>
                <w:sz w:val="32"/>
                <w:szCs w:val="32"/>
              </w:rPr>
            </w:pPr>
            <w:r w:rsidRPr="00E0036F">
              <w:rPr>
                <w:rFonts w:ascii="Arial" w:eastAsia="Arial" w:hAnsi="Arial" w:cs="Arial"/>
                <w:b/>
                <w:sz w:val="32"/>
                <w:szCs w:val="32"/>
              </w:rPr>
              <w:t>Cổ phần của các thành viên trong các đơn vị hợp tác xã và các công cụ tương tự</w:t>
            </w:r>
          </w:p>
          <w:p w:rsidR="00247933" w:rsidRPr="00E0036F" w:rsidRDefault="00247933" w:rsidP="00AD3A25">
            <w:pPr>
              <w:spacing w:line="259" w:lineRule="auto"/>
              <w:jc w:val="both"/>
              <w:rPr>
                <w:rFonts w:ascii="Arial" w:eastAsia="Arial" w:hAnsi="Arial" w:cs="Arial"/>
                <w:sz w:val="20"/>
                <w:szCs w:val="20"/>
              </w:rPr>
            </w:pPr>
          </w:p>
          <w:p w:rsidR="00A060CE" w:rsidRPr="00E0036F" w:rsidRDefault="00A060CE" w:rsidP="00AD3A25">
            <w:pPr>
              <w:spacing w:line="259" w:lineRule="auto"/>
              <w:jc w:val="both"/>
              <w:rPr>
                <w:rFonts w:ascii="Arial" w:eastAsia="Arial" w:hAnsi="Arial" w:cs="Arial"/>
                <w:sz w:val="20"/>
                <w:szCs w:val="20"/>
              </w:rPr>
            </w:pPr>
          </w:p>
          <w:p w:rsidR="00247933" w:rsidRPr="00E0036F" w:rsidRDefault="003559DB" w:rsidP="00AD3A25">
            <w:pPr>
              <w:spacing w:line="259" w:lineRule="auto"/>
              <w:jc w:val="both"/>
              <w:rPr>
                <w:rFonts w:ascii="Arial" w:eastAsia="Arial" w:hAnsi="Arial" w:cs="Arial"/>
                <w:sz w:val="20"/>
                <w:szCs w:val="20"/>
              </w:rPr>
            </w:pPr>
            <w:r w:rsidRPr="00E0036F">
              <w:rPr>
                <w:rFonts w:ascii="Arial" w:eastAsia="Arial" w:hAnsi="Arial" w:cs="Arial"/>
                <w:sz w:val="20"/>
                <w:szCs w:val="20"/>
              </w:rPr>
              <w:t xml:space="preserve">Tháng 11 năm 2004 Ủy ban chuẩn mực kế toán quốc tế ban hành IFRIC 2 </w:t>
            </w:r>
            <w:r w:rsidRPr="00E0036F">
              <w:rPr>
                <w:rFonts w:ascii="Arial" w:eastAsia="Arial" w:hAnsi="Arial" w:cs="Arial"/>
                <w:i/>
                <w:sz w:val="20"/>
                <w:szCs w:val="20"/>
              </w:rPr>
              <w:t>Cổ phần của các thành viên trong các đơn vị hợp tác xã và các công cụ tương tự</w:t>
            </w:r>
            <w:r w:rsidRPr="00E0036F">
              <w:rPr>
                <w:rFonts w:ascii="Arial" w:eastAsia="Arial" w:hAnsi="Arial" w:cs="Arial"/>
                <w:sz w:val="20"/>
                <w:szCs w:val="20"/>
              </w:rPr>
              <w:t xml:space="preserve">. Hướng dẫn này được phát triển bởi Ủy ban Giải trình. </w:t>
            </w:r>
          </w:p>
          <w:p w:rsidR="00247933" w:rsidRPr="00E0036F" w:rsidRDefault="00247933" w:rsidP="00AD3A25">
            <w:pPr>
              <w:spacing w:line="259" w:lineRule="auto"/>
              <w:jc w:val="both"/>
              <w:rPr>
                <w:rFonts w:ascii="Arial" w:eastAsia="Arial" w:hAnsi="Arial" w:cs="Arial"/>
                <w:sz w:val="20"/>
                <w:szCs w:val="20"/>
              </w:rPr>
            </w:pPr>
          </w:p>
          <w:p w:rsidR="00247933" w:rsidRPr="00E0036F" w:rsidRDefault="003559DB" w:rsidP="00AD3A25">
            <w:pPr>
              <w:spacing w:line="259" w:lineRule="auto"/>
              <w:jc w:val="both"/>
              <w:rPr>
                <w:rFonts w:ascii="Arial" w:eastAsia="Arial" w:hAnsi="Arial" w:cs="Arial"/>
                <w:sz w:val="20"/>
                <w:szCs w:val="20"/>
              </w:rPr>
            </w:pPr>
            <w:r w:rsidRPr="00E0036F">
              <w:rPr>
                <w:rFonts w:ascii="Arial" w:eastAsia="Arial" w:hAnsi="Arial" w:cs="Arial"/>
                <w:sz w:val="20"/>
                <w:szCs w:val="20"/>
              </w:rPr>
              <w:t>Các chuẩn mự</w:t>
            </w:r>
            <w:r w:rsidR="00C901E7" w:rsidRPr="00E0036F">
              <w:rPr>
                <w:rFonts w:ascii="Arial" w:eastAsia="Arial" w:hAnsi="Arial" w:cs="Arial"/>
                <w:sz w:val="20"/>
                <w:szCs w:val="20"/>
              </w:rPr>
              <w:t xml:space="preserve">c khác đã có các </w:t>
            </w:r>
            <w:r w:rsidRPr="00E0036F">
              <w:rPr>
                <w:rFonts w:ascii="Arial" w:eastAsia="Arial" w:hAnsi="Arial" w:cs="Arial"/>
                <w:sz w:val="20"/>
                <w:szCs w:val="20"/>
              </w:rPr>
              <w:t xml:space="preserve">thay đổi nhỏ từ tác động của IFRIC 2. Các chuẩn mực đó bao gồm </w:t>
            </w:r>
            <w:r w:rsidRPr="00E0036F">
              <w:rPr>
                <w:rFonts w:ascii="Arial" w:eastAsia="Arial" w:hAnsi="Arial" w:cs="Arial"/>
                <w:i/>
                <w:sz w:val="20"/>
                <w:szCs w:val="20"/>
              </w:rPr>
              <w:t>Các cải tiến IFRS hàng năm giai đoạn 2009-2011</w:t>
            </w:r>
            <w:r w:rsidRPr="00E0036F">
              <w:rPr>
                <w:rFonts w:ascii="Arial" w:eastAsia="Arial" w:hAnsi="Arial" w:cs="Arial"/>
                <w:sz w:val="20"/>
                <w:szCs w:val="20"/>
              </w:rPr>
              <w:t xml:space="preserve"> (ban h</w:t>
            </w:r>
            <w:r w:rsidR="00C901E7" w:rsidRPr="00E0036F">
              <w:rPr>
                <w:rFonts w:ascii="Arial" w:eastAsia="Arial" w:hAnsi="Arial" w:cs="Arial"/>
                <w:sz w:val="20"/>
                <w:szCs w:val="20"/>
              </w:rPr>
              <w:t>ành tháng 05 năm 2012), IFRS 13</w:t>
            </w:r>
            <w:r w:rsidRPr="00E0036F">
              <w:rPr>
                <w:rFonts w:ascii="Arial" w:eastAsia="Arial" w:hAnsi="Arial" w:cs="Arial"/>
                <w:sz w:val="20"/>
                <w:szCs w:val="20"/>
              </w:rPr>
              <w:t xml:space="preserve"> </w:t>
            </w:r>
            <w:r w:rsidRPr="00E0036F">
              <w:rPr>
                <w:rFonts w:ascii="Arial" w:eastAsia="Arial" w:hAnsi="Arial" w:cs="Arial"/>
                <w:i/>
                <w:sz w:val="20"/>
                <w:szCs w:val="20"/>
              </w:rPr>
              <w:t>Đo lường giá trị hợp lý</w:t>
            </w:r>
            <w:r w:rsidRPr="00E0036F">
              <w:rPr>
                <w:rFonts w:ascii="Arial" w:eastAsia="Arial" w:hAnsi="Arial" w:cs="Arial"/>
                <w:sz w:val="20"/>
                <w:szCs w:val="20"/>
              </w:rPr>
              <w:t xml:space="preserve"> (ban hành tháng 05 năm 2011), IFRS </w:t>
            </w:r>
            <w:r w:rsidR="004B7F02" w:rsidRPr="00E0036F">
              <w:rPr>
                <w:rFonts w:ascii="Arial" w:eastAsia="Arial" w:hAnsi="Arial" w:cs="Arial"/>
                <w:sz w:val="20"/>
                <w:szCs w:val="20"/>
              </w:rPr>
              <w:t xml:space="preserve">9 </w:t>
            </w:r>
            <w:r w:rsidRPr="00E0036F">
              <w:rPr>
                <w:rFonts w:ascii="Arial" w:eastAsia="Arial" w:hAnsi="Arial" w:cs="Arial"/>
                <w:i/>
                <w:sz w:val="20"/>
                <w:szCs w:val="20"/>
              </w:rPr>
              <w:t>Các công cụ tài chính</w:t>
            </w:r>
            <w:r w:rsidRPr="00E0036F">
              <w:rPr>
                <w:rFonts w:ascii="Arial" w:eastAsia="Arial" w:hAnsi="Arial" w:cs="Arial"/>
                <w:sz w:val="20"/>
                <w:szCs w:val="20"/>
              </w:rPr>
              <w:t xml:space="preserve"> (Kế toán phòng ngừa rủi ro và sửa đổi cho IFRS 9, IFRS 7 và IAS 39) (ban hành tháng 11 năm 2013) và IFRS 9 </w:t>
            </w:r>
            <w:r w:rsidR="00AD3A25" w:rsidRPr="00E0036F">
              <w:rPr>
                <w:rFonts w:ascii="Arial" w:eastAsia="Arial" w:hAnsi="Arial" w:cs="Arial"/>
                <w:i/>
                <w:sz w:val="20"/>
                <w:szCs w:val="20"/>
              </w:rPr>
              <w:t>Các công cụ tài chính</w:t>
            </w:r>
            <w:r w:rsidR="00AD3A25" w:rsidRPr="00E0036F">
              <w:rPr>
                <w:rFonts w:ascii="Arial" w:eastAsia="Arial" w:hAnsi="Arial" w:cs="Arial"/>
                <w:sz w:val="20"/>
                <w:szCs w:val="20"/>
              </w:rPr>
              <w:t xml:space="preserve"> </w:t>
            </w:r>
            <w:r w:rsidRPr="00E0036F">
              <w:rPr>
                <w:rFonts w:ascii="Arial" w:eastAsia="Arial" w:hAnsi="Arial" w:cs="Arial"/>
                <w:sz w:val="20"/>
                <w:szCs w:val="20"/>
              </w:rPr>
              <w:t>(ban hành tháng 7 năm 2014).</w:t>
            </w:r>
          </w:p>
          <w:p w:rsidR="00247933" w:rsidRPr="00E0036F" w:rsidRDefault="00247933" w:rsidP="00AD3A25">
            <w:pPr>
              <w:spacing w:line="259" w:lineRule="auto"/>
              <w:jc w:val="both"/>
              <w:rPr>
                <w:rFonts w:ascii="Arial" w:eastAsia="Arial" w:hAnsi="Arial" w:cs="Arial"/>
                <w:sz w:val="20"/>
                <w:szCs w:val="20"/>
              </w:rPr>
            </w:pPr>
          </w:p>
          <w:p w:rsidR="00247933" w:rsidRPr="00E0036F" w:rsidRDefault="003559DB" w:rsidP="00AD3A25">
            <w:pPr>
              <w:spacing w:line="259" w:lineRule="auto"/>
              <w:jc w:val="both"/>
              <w:rPr>
                <w:rFonts w:ascii="Arial" w:eastAsia="Arial" w:hAnsi="Arial" w:cs="Arial"/>
                <w:sz w:val="20"/>
                <w:szCs w:val="20"/>
              </w:rPr>
            </w:pPr>
            <w:r w:rsidRPr="00E0036F">
              <w:rPr>
                <w:rFonts w:ascii="Arial" w:eastAsia="Arial" w:hAnsi="Arial" w:cs="Arial"/>
                <w:sz w:val="20"/>
                <w:szCs w:val="20"/>
              </w:rPr>
              <w:t>NỘI DUNG</w:t>
            </w:r>
          </w:p>
          <w:p w:rsidR="00247933" w:rsidRPr="00E0036F" w:rsidRDefault="003559DB" w:rsidP="00AD3A25">
            <w:pPr>
              <w:spacing w:line="259" w:lineRule="auto"/>
              <w:jc w:val="both"/>
              <w:rPr>
                <w:rFonts w:ascii="Arial" w:eastAsia="Arial" w:hAnsi="Arial" w:cs="Arial"/>
                <w:i/>
                <w:sz w:val="20"/>
                <w:szCs w:val="20"/>
              </w:rPr>
            </w:pPr>
            <w:r w:rsidRPr="00E0036F">
              <w:rPr>
                <w:rFonts w:ascii="Arial" w:eastAsia="Arial" w:hAnsi="Arial" w:cs="Arial"/>
                <w:b/>
                <w:sz w:val="20"/>
                <w:szCs w:val="20"/>
              </w:rPr>
              <w:t xml:space="preserve">       </w:t>
            </w:r>
            <w:r w:rsidR="00F22FA7" w:rsidRPr="00E0036F">
              <w:rPr>
                <w:rFonts w:ascii="Arial" w:eastAsia="Arial" w:hAnsi="Arial" w:cs="Arial"/>
                <w:b/>
                <w:sz w:val="20"/>
                <w:szCs w:val="20"/>
              </w:rPr>
              <w:t xml:space="preserve">  </w:t>
            </w:r>
            <w:r w:rsidRPr="00E0036F">
              <w:rPr>
                <w:rFonts w:ascii="Arial" w:eastAsia="Arial" w:hAnsi="Arial" w:cs="Arial"/>
                <w:b/>
                <w:sz w:val="20"/>
                <w:szCs w:val="20"/>
              </w:rPr>
              <w:t xml:space="preserve">                                                                                                 </w:t>
            </w:r>
            <w:r w:rsidR="007644C6" w:rsidRPr="00E0036F">
              <w:rPr>
                <w:rFonts w:ascii="Arial" w:eastAsia="Arial" w:hAnsi="Arial" w:cs="Arial"/>
                <w:i/>
                <w:sz w:val="20"/>
                <w:szCs w:val="20"/>
              </w:rPr>
              <w:t>t</w:t>
            </w:r>
            <w:r w:rsidRPr="00E0036F">
              <w:rPr>
                <w:rFonts w:ascii="Arial" w:eastAsia="Arial" w:hAnsi="Arial" w:cs="Arial"/>
                <w:i/>
                <w:sz w:val="20"/>
                <w:szCs w:val="20"/>
              </w:rPr>
              <w:t>ừ đoạn</w:t>
            </w:r>
          </w:p>
          <w:p w:rsidR="00247933" w:rsidRPr="00E0036F" w:rsidRDefault="003559DB" w:rsidP="00AD3A25">
            <w:pPr>
              <w:spacing w:line="259" w:lineRule="auto"/>
              <w:jc w:val="both"/>
              <w:rPr>
                <w:rFonts w:ascii="Arial" w:eastAsia="Arial" w:hAnsi="Arial" w:cs="Arial"/>
                <w:b/>
              </w:rPr>
            </w:pPr>
            <w:r w:rsidRPr="00E0036F">
              <w:rPr>
                <w:rFonts w:ascii="Arial" w:eastAsia="Arial" w:hAnsi="Arial" w:cs="Arial"/>
                <w:b/>
              </w:rPr>
              <w:t>GIẢI TRÌNH IFRIC 2</w:t>
            </w:r>
          </w:p>
          <w:p w:rsidR="00247933" w:rsidRPr="00E0036F" w:rsidRDefault="003559DB" w:rsidP="00AD3A25">
            <w:pPr>
              <w:spacing w:line="259" w:lineRule="auto"/>
              <w:jc w:val="both"/>
              <w:rPr>
                <w:rFonts w:ascii="Arial" w:eastAsia="Arial" w:hAnsi="Arial" w:cs="Arial"/>
                <w:b/>
                <w:i/>
                <w:sz w:val="24"/>
                <w:szCs w:val="24"/>
              </w:rPr>
            </w:pPr>
            <w:r w:rsidRPr="00E0036F">
              <w:rPr>
                <w:rFonts w:ascii="Arial" w:eastAsia="Arial" w:hAnsi="Arial" w:cs="Arial"/>
                <w:b/>
                <w:i/>
                <w:sz w:val="24"/>
                <w:szCs w:val="24"/>
              </w:rPr>
              <w:t>CỔ PHẦN CỦA CÁC THÀNH VIÊN TRONG CÁC ĐƠN VỊ HỢP TÁC XÃ VÀ CÁC CÔNG CỤ TƯƠNG TỰ</w:t>
            </w:r>
          </w:p>
          <w:p w:rsidR="00F22FA7" w:rsidRPr="00E0036F" w:rsidRDefault="00F22FA7" w:rsidP="00AD3A25">
            <w:pPr>
              <w:spacing w:line="259" w:lineRule="auto"/>
              <w:jc w:val="both"/>
              <w:rPr>
                <w:rFonts w:ascii="Arial" w:eastAsia="Arial" w:hAnsi="Arial" w:cs="Arial"/>
                <w:b/>
                <w:i/>
                <w:sz w:val="24"/>
                <w:szCs w:val="24"/>
              </w:rPr>
            </w:pPr>
          </w:p>
          <w:p w:rsidR="00247933" w:rsidRPr="00E0036F" w:rsidRDefault="003559DB" w:rsidP="00AD3A25">
            <w:pPr>
              <w:spacing w:line="259" w:lineRule="auto"/>
              <w:jc w:val="both"/>
              <w:rPr>
                <w:rFonts w:ascii="Arial" w:eastAsia="Arial" w:hAnsi="Arial" w:cs="Arial"/>
                <w:b/>
                <w:sz w:val="20"/>
                <w:szCs w:val="20"/>
              </w:rPr>
            </w:pPr>
            <w:r w:rsidRPr="00E0036F">
              <w:rPr>
                <w:rFonts w:ascii="Arial" w:eastAsia="Arial" w:hAnsi="Arial" w:cs="Arial"/>
                <w:b/>
                <w:sz w:val="20"/>
                <w:szCs w:val="20"/>
              </w:rPr>
              <w:t>TÀI LIỆU THAM KHẢO</w:t>
            </w:r>
          </w:p>
          <w:p w:rsidR="00247933" w:rsidRPr="00E0036F" w:rsidRDefault="003559DB" w:rsidP="00AD3A25">
            <w:pPr>
              <w:spacing w:line="259" w:lineRule="auto"/>
              <w:jc w:val="both"/>
              <w:rPr>
                <w:rFonts w:ascii="Arial" w:eastAsia="Arial" w:hAnsi="Arial" w:cs="Arial"/>
                <w:b/>
                <w:sz w:val="20"/>
                <w:szCs w:val="20"/>
              </w:rPr>
            </w:pPr>
            <w:r w:rsidRPr="00E0036F">
              <w:rPr>
                <w:rFonts w:ascii="Arial" w:eastAsia="Arial" w:hAnsi="Arial" w:cs="Arial"/>
                <w:b/>
                <w:sz w:val="20"/>
                <w:szCs w:val="20"/>
              </w:rPr>
              <w:t>KHÁI QUÁT CHUNG                                                                                1</w:t>
            </w:r>
          </w:p>
          <w:p w:rsidR="00247933" w:rsidRPr="00E0036F" w:rsidRDefault="003559DB" w:rsidP="00AD3A25">
            <w:pPr>
              <w:spacing w:line="259" w:lineRule="auto"/>
              <w:jc w:val="both"/>
              <w:rPr>
                <w:rFonts w:ascii="Arial" w:eastAsia="Arial" w:hAnsi="Arial" w:cs="Arial"/>
                <w:b/>
                <w:sz w:val="20"/>
                <w:szCs w:val="20"/>
              </w:rPr>
            </w:pPr>
            <w:r w:rsidRPr="00E0036F">
              <w:rPr>
                <w:rFonts w:ascii="Arial" w:eastAsia="Arial" w:hAnsi="Arial" w:cs="Arial"/>
                <w:b/>
                <w:sz w:val="20"/>
                <w:szCs w:val="20"/>
              </w:rPr>
              <w:t>PHẠM VI                                                                                                    3</w:t>
            </w:r>
          </w:p>
          <w:p w:rsidR="00247933" w:rsidRPr="00E0036F" w:rsidRDefault="003559DB" w:rsidP="00AD3A25">
            <w:pPr>
              <w:spacing w:line="259" w:lineRule="auto"/>
              <w:jc w:val="both"/>
              <w:rPr>
                <w:rFonts w:ascii="Arial" w:eastAsia="Arial" w:hAnsi="Arial" w:cs="Arial"/>
                <w:b/>
                <w:sz w:val="20"/>
                <w:szCs w:val="20"/>
              </w:rPr>
            </w:pPr>
            <w:r w:rsidRPr="00E0036F">
              <w:rPr>
                <w:rFonts w:ascii="Arial" w:eastAsia="Arial" w:hAnsi="Arial" w:cs="Arial"/>
                <w:b/>
                <w:sz w:val="20"/>
                <w:szCs w:val="20"/>
              </w:rPr>
              <w:t>VẤN ĐỀ                                                                                                     4</w:t>
            </w:r>
          </w:p>
          <w:p w:rsidR="00247933" w:rsidRPr="00E0036F" w:rsidRDefault="003559DB" w:rsidP="00AD3A25">
            <w:pPr>
              <w:spacing w:line="259" w:lineRule="auto"/>
              <w:jc w:val="both"/>
              <w:rPr>
                <w:rFonts w:ascii="Arial" w:eastAsia="Arial" w:hAnsi="Arial" w:cs="Arial"/>
                <w:b/>
                <w:sz w:val="20"/>
                <w:szCs w:val="20"/>
              </w:rPr>
            </w:pPr>
            <w:r w:rsidRPr="00E0036F">
              <w:rPr>
                <w:rFonts w:ascii="Arial" w:eastAsia="Arial" w:hAnsi="Arial" w:cs="Arial"/>
                <w:b/>
                <w:sz w:val="20"/>
                <w:szCs w:val="20"/>
              </w:rPr>
              <w:t xml:space="preserve">SỰ ĐỒNG THUẬN                                                                                    5 </w:t>
            </w:r>
          </w:p>
          <w:p w:rsidR="00247933" w:rsidRPr="00E0036F" w:rsidRDefault="003559DB" w:rsidP="00AD3A25">
            <w:pPr>
              <w:spacing w:line="259" w:lineRule="auto"/>
              <w:jc w:val="both"/>
              <w:rPr>
                <w:rFonts w:ascii="Arial" w:eastAsia="Arial" w:hAnsi="Arial" w:cs="Arial"/>
                <w:b/>
                <w:sz w:val="20"/>
                <w:szCs w:val="20"/>
              </w:rPr>
            </w:pPr>
            <w:r w:rsidRPr="00E0036F">
              <w:rPr>
                <w:rFonts w:ascii="Arial" w:eastAsia="Arial" w:hAnsi="Arial" w:cs="Arial"/>
                <w:b/>
                <w:sz w:val="20"/>
                <w:szCs w:val="20"/>
              </w:rPr>
              <w:t>THUYẾT MINH                                                                                         13</w:t>
            </w:r>
          </w:p>
          <w:p w:rsidR="00247933" w:rsidRPr="00E0036F" w:rsidRDefault="003559DB" w:rsidP="00AD3A25">
            <w:pPr>
              <w:spacing w:line="259" w:lineRule="auto"/>
              <w:jc w:val="both"/>
              <w:rPr>
                <w:rFonts w:ascii="Arial" w:eastAsia="Arial" w:hAnsi="Arial" w:cs="Arial"/>
                <w:b/>
                <w:sz w:val="20"/>
                <w:szCs w:val="20"/>
              </w:rPr>
            </w:pPr>
            <w:r w:rsidRPr="00E0036F">
              <w:rPr>
                <w:rFonts w:ascii="Arial" w:eastAsia="Arial" w:hAnsi="Arial" w:cs="Arial"/>
                <w:b/>
                <w:sz w:val="20"/>
                <w:szCs w:val="20"/>
              </w:rPr>
              <w:t>NGÀY HIỆU LỰC                                                                                     14</w:t>
            </w:r>
          </w:p>
          <w:p w:rsidR="00247933" w:rsidRPr="00E0036F" w:rsidRDefault="003559DB" w:rsidP="00AD3A25">
            <w:pPr>
              <w:spacing w:line="259" w:lineRule="auto"/>
              <w:jc w:val="both"/>
              <w:rPr>
                <w:rFonts w:ascii="Arial" w:eastAsia="Arial" w:hAnsi="Arial" w:cs="Arial"/>
                <w:b/>
                <w:sz w:val="20"/>
                <w:szCs w:val="20"/>
              </w:rPr>
            </w:pPr>
            <w:r w:rsidRPr="00E0036F">
              <w:rPr>
                <w:rFonts w:ascii="Arial" w:eastAsia="Arial" w:hAnsi="Arial" w:cs="Arial"/>
                <w:b/>
                <w:sz w:val="20"/>
                <w:szCs w:val="20"/>
              </w:rPr>
              <w:t xml:space="preserve">PHỤ LỤC                                                          </w:t>
            </w:r>
          </w:p>
          <w:p w:rsidR="00247933" w:rsidRPr="00E0036F" w:rsidRDefault="003559DB" w:rsidP="00AD3A25">
            <w:pPr>
              <w:spacing w:line="259" w:lineRule="auto"/>
              <w:jc w:val="both"/>
              <w:rPr>
                <w:rFonts w:ascii="Arial" w:eastAsia="Arial" w:hAnsi="Arial" w:cs="Arial"/>
                <w:b/>
                <w:sz w:val="20"/>
                <w:szCs w:val="20"/>
              </w:rPr>
            </w:pPr>
            <w:r w:rsidRPr="00E0036F">
              <w:rPr>
                <w:rFonts w:ascii="Arial" w:eastAsia="Arial" w:hAnsi="Arial" w:cs="Arial"/>
                <w:b/>
                <w:sz w:val="20"/>
                <w:szCs w:val="20"/>
              </w:rPr>
              <w:t xml:space="preserve">Các ví dụ của việc áp dụng sự đồng thuận </w:t>
            </w:r>
          </w:p>
          <w:p w:rsidR="00247933" w:rsidRPr="00E0036F" w:rsidRDefault="00247933" w:rsidP="00AD3A25">
            <w:pPr>
              <w:spacing w:line="259" w:lineRule="auto"/>
              <w:jc w:val="both"/>
              <w:rPr>
                <w:rFonts w:ascii="Arial" w:eastAsia="Arial" w:hAnsi="Arial" w:cs="Arial"/>
                <w:b/>
                <w:sz w:val="20"/>
                <w:szCs w:val="20"/>
              </w:rPr>
            </w:pPr>
          </w:p>
          <w:p w:rsidR="00F22FA7" w:rsidRPr="00E0036F" w:rsidRDefault="00914B72" w:rsidP="00AD3A25">
            <w:pPr>
              <w:spacing w:line="259" w:lineRule="auto"/>
              <w:rPr>
                <w:rFonts w:ascii="Arial" w:eastAsia="Arial" w:hAnsi="Arial" w:cs="Arial"/>
                <w:b/>
                <w:color w:val="A6A6A6" w:themeColor="background1" w:themeShade="A6"/>
                <w:sz w:val="20"/>
                <w:szCs w:val="20"/>
              </w:rPr>
            </w:pPr>
            <w:r w:rsidRPr="00914B72">
              <w:rPr>
                <w:rFonts w:ascii="Arial" w:eastAsia="Arial" w:hAnsi="Arial" w:cs="Arial"/>
                <w:b/>
                <w:noProof/>
                <w:color w:val="FFFFFF" w:themeColor="background1"/>
                <w:sz w:val="20"/>
                <w:szCs w:val="20"/>
              </w:rPr>
              <w:pict>
                <v:rect id="Rectangle 5" o:spid="_x0000_s1036" style="position:absolute;margin-left:-2.3pt;margin-top:9.1pt;width:337.8pt;height:18pt;z-index:2517381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" filled="f" strokecolor="black [3213]"/>
              </w:pict>
            </w:r>
          </w:p>
          <w:p w:rsidR="00F22FA7" w:rsidRPr="00E0036F" w:rsidRDefault="00F22FA7" w:rsidP="00AD3A25">
            <w:pPr>
              <w:spacing w:line="259" w:lineRule="auto"/>
              <w:rPr>
                <w:rFonts w:ascii="Arial" w:eastAsia="Arial" w:hAnsi="Arial" w:cs="Arial"/>
                <w:b/>
                <w:color w:val="A6A6A6" w:themeColor="background1" w:themeShade="A6"/>
                <w:sz w:val="20"/>
                <w:szCs w:val="20"/>
              </w:rPr>
            </w:pPr>
            <w:r w:rsidRPr="00E0036F">
              <w:rPr>
                <w:rFonts w:ascii="Arial" w:eastAsia="Arial" w:hAnsi="Arial" w:cs="Arial"/>
                <w:b/>
                <w:color w:val="A6A6A6" w:themeColor="background1" w:themeShade="A6"/>
                <w:sz w:val="20"/>
                <w:szCs w:val="20"/>
              </w:rPr>
              <w:t>CƠ SỞ CHO CÁC KẾT LUẬN, XEM PHẦN C CỦA HƯỚNG DẪN NÀY</w:t>
            </w:r>
          </w:p>
          <w:p w:rsidR="00F22FA7" w:rsidRPr="00E0036F" w:rsidRDefault="00F22FA7" w:rsidP="00AD3A25">
            <w:pPr>
              <w:spacing w:line="259" w:lineRule="auto"/>
              <w:rPr>
                <w:rFonts w:ascii="Arial" w:eastAsia="Arial" w:hAnsi="Arial" w:cs="Arial"/>
                <w:b/>
                <w:color w:val="A6A6A6" w:themeColor="background1" w:themeShade="A6"/>
                <w:sz w:val="20"/>
                <w:szCs w:val="20"/>
              </w:rPr>
            </w:pPr>
          </w:p>
          <w:p w:rsidR="00247933" w:rsidRPr="00E0036F" w:rsidRDefault="003559DB" w:rsidP="00AD3A25">
            <w:pPr>
              <w:spacing w:line="259" w:lineRule="auto"/>
              <w:rPr>
                <w:rFonts w:ascii="Arial" w:eastAsia="Arial" w:hAnsi="Arial" w:cs="Arial"/>
                <w:b/>
                <w:color w:val="A6A6A6" w:themeColor="background1" w:themeShade="A6"/>
                <w:sz w:val="20"/>
                <w:szCs w:val="20"/>
              </w:rPr>
            </w:pPr>
            <w:r w:rsidRPr="00E0036F">
              <w:rPr>
                <w:rFonts w:ascii="Arial" w:eastAsia="Arial" w:hAnsi="Arial" w:cs="Arial"/>
                <w:b/>
                <w:color w:val="A6A6A6" w:themeColor="background1" w:themeShade="A6"/>
                <w:sz w:val="20"/>
                <w:szCs w:val="20"/>
              </w:rPr>
              <w:t>CƠ SỞ CHO CÁC KẾT LUẬN</w:t>
            </w:r>
          </w:p>
          <w:p w:rsidR="00F22FA7" w:rsidRPr="00E0036F" w:rsidRDefault="00F22FA7" w:rsidP="00AD3A25">
            <w:pPr>
              <w:spacing w:line="259" w:lineRule="auto"/>
              <w:rPr>
                <w:rFonts w:ascii="Arial" w:eastAsia="Arial" w:hAnsi="Arial" w:cs="Arial"/>
                <w:b/>
                <w:color w:val="A6A6A6" w:themeColor="background1" w:themeShade="A6"/>
                <w:sz w:val="20"/>
                <w:szCs w:val="20"/>
              </w:rPr>
            </w:pPr>
          </w:p>
          <w:p w:rsidR="00F22FA7" w:rsidRPr="00E0036F" w:rsidRDefault="00914B72" w:rsidP="00AD3A25">
            <w:pPr>
              <w:spacing w:line="259" w:lineRule="auto"/>
              <w:rPr>
                <w:rFonts w:ascii="Arial" w:eastAsia="Arial" w:hAnsi="Arial" w:cs="Arial"/>
                <w:b/>
                <w:color w:val="A6A6A6" w:themeColor="background1" w:themeShade="A6"/>
                <w:sz w:val="20"/>
                <w:szCs w:val="20"/>
              </w:rPr>
            </w:pPr>
            <w:r w:rsidRPr="00914B72">
              <w:rPr>
                <w:rFonts w:ascii="Arial" w:eastAsia="Arial" w:hAnsi="Arial" w:cs="Arial"/>
                <w:b/>
                <w:noProof/>
                <w:color w:val="FFFFFF" w:themeColor="background1"/>
                <w:sz w:val="20"/>
                <w:szCs w:val="20"/>
              </w:rPr>
              <w:pict>
                <v:rect id="Rectangle 2" o:spid="_x0000_s1035" style="position:absolute;margin-left:-2.3pt;margin-top:10.65pt;width:333pt;height:64.8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" filled="f" strokecolor="black [3213]"/>
              </w:pict>
            </w:r>
          </w:p>
          <w:p w:rsidR="00247933" w:rsidRPr="00E0036F" w:rsidRDefault="003559DB" w:rsidP="00F22FA7">
            <w:pPr>
              <w:spacing w:line="259" w:lineRule="auto"/>
              <w:rPr>
                <w:rFonts w:ascii="Arial" w:eastAsia="Arial" w:hAnsi="Arial" w:cs="Arial"/>
                <w:i/>
                <w:sz w:val="20"/>
                <w:szCs w:val="20"/>
              </w:rPr>
            </w:pPr>
            <w:r w:rsidRPr="00E0036F">
              <w:rPr>
                <w:rFonts w:ascii="Arial" w:eastAsia="Arial" w:hAnsi="Arial" w:cs="Arial"/>
                <w:sz w:val="20"/>
                <w:szCs w:val="20"/>
              </w:rPr>
              <w:t xml:space="preserve">Giải trình IFRIC 2 </w:t>
            </w:r>
            <w:r w:rsidRPr="00E0036F">
              <w:rPr>
                <w:rFonts w:ascii="Arial" w:eastAsia="Arial" w:hAnsi="Arial" w:cs="Arial"/>
                <w:i/>
                <w:sz w:val="20"/>
                <w:szCs w:val="20"/>
              </w:rPr>
              <w:t xml:space="preserve">Cổ phần của các thành viên trong các đơn vị hợp tác xã và các công cụ tương tự </w:t>
            </w:r>
            <w:r w:rsidRPr="00E0036F">
              <w:rPr>
                <w:rFonts w:ascii="Arial" w:eastAsia="Arial" w:hAnsi="Arial" w:cs="Arial"/>
                <w:sz w:val="20"/>
                <w:szCs w:val="20"/>
              </w:rPr>
              <w:t xml:space="preserve">(IFRIC 2) được nêu trong đoạn 1-19 và phụ lục. IFRIC 2 đi kèm với Cơ sở cho các kết luận. Phạm vi và thẩm quyền của Giải trình được quy định ở </w:t>
            </w:r>
            <w:r w:rsidRPr="00E0036F">
              <w:rPr>
                <w:rFonts w:ascii="Arial" w:eastAsia="Arial" w:hAnsi="Arial" w:cs="Arial"/>
                <w:i/>
                <w:sz w:val="20"/>
                <w:szCs w:val="20"/>
              </w:rPr>
              <w:t>Phần mở đầu của các Chuẩn mực Báo cáo Tài chính quốc tế.</w:t>
            </w:r>
          </w:p>
          <w:p w:rsidR="00247933" w:rsidRPr="00E0036F" w:rsidRDefault="00247933" w:rsidP="00AD3A25">
            <w:pPr>
              <w:spacing w:line="259" w:lineRule="auto"/>
              <w:jc w:val="both"/>
              <w:rPr>
                <w:rFonts w:ascii="Arial" w:eastAsia="Arial" w:hAnsi="Arial" w:cs="Arial"/>
                <w:sz w:val="20"/>
                <w:szCs w:val="20"/>
              </w:rPr>
            </w:pPr>
          </w:p>
          <w:p w:rsidR="00A060CE" w:rsidRPr="00E0036F" w:rsidRDefault="00A060CE" w:rsidP="00AD3A25">
            <w:pPr>
              <w:spacing w:line="259" w:lineRule="auto"/>
              <w:jc w:val="both"/>
              <w:rPr>
                <w:rFonts w:ascii="Arial" w:eastAsia="Arial" w:hAnsi="Arial" w:cs="Arial"/>
                <w:b/>
                <w:sz w:val="20"/>
                <w:szCs w:val="20"/>
              </w:rPr>
            </w:pPr>
          </w:p>
          <w:p w:rsidR="00247933" w:rsidRPr="00E0036F" w:rsidRDefault="003559DB" w:rsidP="00AD3A25">
            <w:pPr>
              <w:spacing w:line="259" w:lineRule="auto"/>
              <w:jc w:val="both"/>
              <w:rPr>
                <w:rFonts w:ascii="Arial" w:eastAsia="Arial" w:hAnsi="Arial" w:cs="Arial"/>
                <w:b/>
                <w:sz w:val="28"/>
                <w:szCs w:val="28"/>
              </w:rPr>
            </w:pPr>
            <w:r w:rsidRPr="00E0036F">
              <w:rPr>
                <w:rFonts w:ascii="Arial" w:eastAsia="Arial" w:hAnsi="Arial" w:cs="Arial"/>
                <w:b/>
                <w:sz w:val="28"/>
                <w:szCs w:val="28"/>
              </w:rPr>
              <w:t xml:space="preserve">Hướng dẫn IFRIC 2 </w:t>
            </w:r>
          </w:p>
          <w:p w:rsidR="00247933" w:rsidRPr="00E0036F" w:rsidRDefault="003559DB" w:rsidP="00AD3A25">
            <w:pPr>
              <w:spacing w:line="259" w:lineRule="auto"/>
              <w:jc w:val="both"/>
              <w:rPr>
                <w:rFonts w:ascii="Arial" w:eastAsia="Arial" w:hAnsi="Arial" w:cs="Arial"/>
                <w:b/>
                <w:i/>
                <w:sz w:val="28"/>
                <w:szCs w:val="28"/>
              </w:rPr>
            </w:pPr>
            <w:r w:rsidRPr="00E0036F">
              <w:rPr>
                <w:rFonts w:ascii="Arial" w:eastAsia="Arial" w:hAnsi="Arial" w:cs="Arial"/>
                <w:b/>
                <w:i/>
                <w:sz w:val="28"/>
                <w:szCs w:val="28"/>
              </w:rPr>
              <w:t>Cổ phần của các thành viên trong các đơn vị hợp tác xã và các công cụ tương tự</w:t>
            </w:r>
          </w:p>
          <w:p w:rsidR="00247933" w:rsidRPr="00E0036F" w:rsidRDefault="00247933" w:rsidP="00AD3A25">
            <w:pPr>
              <w:spacing w:line="259" w:lineRule="auto"/>
              <w:jc w:val="both"/>
              <w:rPr>
                <w:rFonts w:ascii="Arial" w:eastAsia="Arial" w:hAnsi="Arial" w:cs="Arial"/>
                <w:b/>
                <w:i/>
                <w:sz w:val="20"/>
                <w:szCs w:val="20"/>
              </w:rPr>
            </w:pPr>
          </w:p>
          <w:p w:rsidR="00247933" w:rsidRPr="00E0036F" w:rsidRDefault="003559DB" w:rsidP="00AD3A25">
            <w:pPr>
              <w:spacing w:line="259" w:lineRule="auto"/>
              <w:jc w:val="both"/>
              <w:rPr>
                <w:rFonts w:ascii="Arial" w:eastAsia="Arial" w:hAnsi="Arial" w:cs="Arial"/>
                <w:b/>
                <w:sz w:val="24"/>
                <w:szCs w:val="24"/>
              </w:rPr>
            </w:pPr>
            <w:r w:rsidRPr="00E0036F">
              <w:rPr>
                <w:rFonts w:ascii="Arial" w:eastAsia="Arial" w:hAnsi="Arial" w:cs="Arial"/>
                <w:b/>
                <w:sz w:val="24"/>
                <w:szCs w:val="24"/>
              </w:rPr>
              <w:t>Tài liệu tham khảo</w:t>
            </w:r>
          </w:p>
          <w:p w:rsidR="00CB7EC8" w:rsidRPr="00E0036F" w:rsidRDefault="00914B72" w:rsidP="00AD3A25">
            <w:pPr>
              <w:spacing w:line="259" w:lineRule="auto"/>
              <w:jc w:val="both"/>
              <w:rPr>
                <w:rFonts w:ascii="Arial" w:eastAsia="Arial" w:hAnsi="Arial" w:cs="Arial"/>
                <w:b/>
                <w:sz w:val="20"/>
                <w:szCs w:val="20"/>
              </w:rPr>
            </w:pPr>
            <w:r w:rsidRPr="00914B72">
              <w:rPr>
                <w:rFonts w:ascii="Arial" w:hAnsi="Arial" w:cs="Arial"/>
                <w:noProof/>
              </w:rPr>
              <w:pict>
                <v:shape id="Straight Arrow Connector 19" o:spid="_x0000_s1034" type="#_x0000_t32" style="position:absolute;left:0;text-align:left;margin-left:-.15pt;margin-top:.1pt;width:328.75pt;height:1.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" strokecolor="black [3200]">
                  <v:stroke startarrowwidth="narrow" startarrowlength="short" endarrowwidth="narrow" endarrowlength="short" joinstyle="miter"/>
                </v:shape>
              </w:pict>
            </w:r>
          </w:p>
          <w:p w:rsidR="00247933" w:rsidRPr="00E0036F" w:rsidRDefault="003559DB" w:rsidP="00AD3A25">
            <w:pPr>
              <w:numPr>
                <w:ilvl w:val="0"/>
                <w:numId w:val="13"/>
              </w:numPr>
              <w:spacing w:line="259" w:lineRule="auto"/>
              <w:jc w:val="both"/>
              <w:rPr>
                <w:rFonts w:ascii="Arial" w:hAnsi="Arial" w:cs="Arial"/>
                <w:sz w:val="17"/>
                <w:szCs w:val="17"/>
              </w:rPr>
            </w:pPr>
            <w:r w:rsidRPr="00E0036F">
              <w:rPr>
                <w:rFonts w:ascii="Arial" w:eastAsia="Arial" w:hAnsi="Arial" w:cs="Arial"/>
                <w:sz w:val="17"/>
                <w:szCs w:val="17"/>
              </w:rPr>
              <w:t xml:space="preserve">IFRS 9 </w:t>
            </w:r>
            <w:r w:rsidRPr="00E0036F">
              <w:rPr>
                <w:rFonts w:ascii="Arial" w:eastAsia="Arial" w:hAnsi="Arial" w:cs="Arial"/>
                <w:i/>
                <w:sz w:val="17"/>
                <w:szCs w:val="17"/>
              </w:rPr>
              <w:t>Các công cụ tài chính</w:t>
            </w:r>
          </w:p>
          <w:p w:rsidR="00247933" w:rsidRPr="00E0036F" w:rsidRDefault="003559DB" w:rsidP="00AD3A25">
            <w:pPr>
              <w:numPr>
                <w:ilvl w:val="0"/>
                <w:numId w:val="13"/>
              </w:numPr>
              <w:spacing w:line="259" w:lineRule="auto"/>
              <w:jc w:val="both"/>
              <w:rPr>
                <w:rFonts w:ascii="Arial" w:hAnsi="Arial" w:cs="Arial"/>
                <w:sz w:val="17"/>
                <w:szCs w:val="17"/>
              </w:rPr>
            </w:pPr>
            <w:r w:rsidRPr="00E0036F">
              <w:rPr>
                <w:rFonts w:ascii="Arial" w:eastAsia="Arial" w:hAnsi="Arial" w:cs="Arial"/>
                <w:sz w:val="17"/>
                <w:szCs w:val="17"/>
              </w:rPr>
              <w:t xml:space="preserve">IFRS 13 </w:t>
            </w:r>
            <w:r w:rsidRPr="00E0036F">
              <w:rPr>
                <w:rFonts w:ascii="Arial" w:eastAsia="Arial" w:hAnsi="Arial" w:cs="Arial"/>
                <w:i/>
                <w:sz w:val="17"/>
                <w:szCs w:val="17"/>
              </w:rPr>
              <w:t>Đo lường Giá trị hợp lý</w:t>
            </w:r>
          </w:p>
          <w:p w:rsidR="00247933" w:rsidRPr="00E0036F" w:rsidRDefault="003559DB" w:rsidP="00AD3A25">
            <w:pPr>
              <w:numPr>
                <w:ilvl w:val="0"/>
                <w:numId w:val="13"/>
              </w:numPr>
              <w:spacing w:line="259" w:lineRule="auto"/>
              <w:jc w:val="both"/>
              <w:rPr>
                <w:rFonts w:ascii="Arial" w:hAnsi="Arial" w:cs="Arial"/>
                <w:sz w:val="17"/>
                <w:szCs w:val="17"/>
              </w:rPr>
            </w:pPr>
            <w:r w:rsidRPr="00E0036F">
              <w:rPr>
                <w:rFonts w:ascii="Arial" w:eastAsia="Arial" w:hAnsi="Arial" w:cs="Arial"/>
                <w:sz w:val="17"/>
                <w:szCs w:val="17"/>
              </w:rPr>
              <w:t>IAS 32</w:t>
            </w:r>
            <w:r w:rsidRPr="00E0036F">
              <w:rPr>
                <w:rFonts w:ascii="Arial" w:eastAsia="Arial" w:hAnsi="Arial" w:cs="Arial"/>
                <w:i/>
                <w:sz w:val="17"/>
                <w:szCs w:val="17"/>
              </w:rPr>
              <w:t xml:space="preserve"> Các công cụ tài chính: Thuyết mình và trình bày </w:t>
            </w:r>
            <w:r w:rsidRPr="00E0036F">
              <w:rPr>
                <w:rFonts w:ascii="Arial" w:eastAsia="Arial" w:hAnsi="Arial" w:cs="Arial"/>
                <w:sz w:val="17"/>
                <w:szCs w:val="17"/>
              </w:rPr>
              <w:t>(sửa đổi năm 2003</w:t>
            </w:r>
            <w:r w:rsidRPr="00E0036F">
              <w:rPr>
                <w:rFonts w:ascii="Arial" w:eastAsia="Arial" w:hAnsi="Arial" w:cs="Arial"/>
                <w:sz w:val="17"/>
                <w:szCs w:val="17"/>
                <w:vertAlign w:val="superscript"/>
              </w:rPr>
              <w:t>)</w:t>
            </w:r>
            <w:r w:rsidRPr="00E0036F">
              <w:rPr>
                <w:rFonts w:ascii="Arial" w:eastAsia="Arial" w:hAnsi="Arial" w:cs="Arial"/>
                <w:i/>
                <w:sz w:val="17"/>
                <w:szCs w:val="17"/>
                <w:vertAlign w:val="superscript"/>
              </w:rPr>
              <w:t>1</w:t>
            </w:r>
          </w:p>
          <w:p w:rsidR="00247933" w:rsidRPr="00E0036F" w:rsidRDefault="00247933" w:rsidP="00AD3A25">
            <w:pPr>
              <w:spacing w:line="259" w:lineRule="auto"/>
              <w:ind w:left="720"/>
              <w:jc w:val="both"/>
              <w:rPr>
                <w:rFonts w:ascii="Arial" w:eastAsia="Arial" w:hAnsi="Arial" w:cs="Arial"/>
                <w:sz w:val="17"/>
                <w:szCs w:val="17"/>
              </w:rPr>
            </w:pPr>
          </w:p>
          <w:p w:rsidR="00247933" w:rsidRPr="00E0036F" w:rsidRDefault="003559DB" w:rsidP="00AD3A25">
            <w:pPr>
              <w:spacing w:line="259" w:lineRule="auto"/>
              <w:jc w:val="both"/>
              <w:rPr>
                <w:rFonts w:ascii="Arial" w:eastAsia="Arial" w:hAnsi="Arial" w:cs="Arial"/>
                <w:b/>
                <w:sz w:val="24"/>
                <w:szCs w:val="24"/>
              </w:rPr>
            </w:pPr>
            <w:r w:rsidRPr="00E0036F">
              <w:rPr>
                <w:rFonts w:ascii="Arial" w:eastAsia="Arial" w:hAnsi="Arial" w:cs="Arial"/>
                <w:b/>
                <w:sz w:val="24"/>
                <w:szCs w:val="24"/>
              </w:rPr>
              <w:t>Khái quát chung</w:t>
            </w:r>
          </w:p>
          <w:p w:rsidR="00CB7EC8" w:rsidRPr="00E0036F" w:rsidRDefault="00914B72" w:rsidP="00AD3A25">
            <w:pPr>
              <w:spacing w:line="259" w:lineRule="auto"/>
              <w:jc w:val="both"/>
              <w:rPr>
                <w:rFonts w:ascii="Arial" w:eastAsia="Arial" w:hAnsi="Arial" w:cs="Arial"/>
                <w:b/>
                <w:sz w:val="20"/>
                <w:szCs w:val="20"/>
              </w:rPr>
            </w:pPr>
            <w:r w:rsidRPr="00914B72">
              <w:rPr>
                <w:rFonts w:ascii="Arial" w:hAnsi="Arial" w:cs="Arial"/>
                <w:noProof/>
              </w:rPr>
              <w:pict>
                <v:shape id="Straight Arrow Connector 18" o:spid="_x0000_s1033" type="#_x0000_t32" style="position:absolute;left:0;text-align:left;margin-left:-.15pt;margin-top:.1pt;width:328.75pt;height:1.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" strokecolor="black [3200]">
                  <v:stroke startarrowwidth="narrow" startarrowlength="short" endarrowwidth="narrow" endarrowlength="short" joinstyle="miter"/>
                </v:shape>
              </w:pict>
            </w:r>
          </w:p>
          <w:p w:rsidR="00EA79AA" w:rsidRPr="00E0036F" w:rsidRDefault="003559DB" w:rsidP="00EA79AA">
            <w:pPr>
              <w:numPr>
                <w:ilvl w:val="0"/>
                <w:numId w:val="10"/>
              </w:numPr>
              <w:spacing w:line="259" w:lineRule="auto"/>
              <w:ind w:left="598" w:hanging="567"/>
              <w:jc w:val="both"/>
              <w:rPr>
                <w:rFonts w:ascii="Arial" w:eastAsia="Arial" w:hAnsi="Arial" w:cs="Arial"/>
                <w:sz w:val="20"/>
                <w:szCs w:val="20"/>
              </w:rPr>
            </w:pPr>
            <w:r w:rsidRPr="00E0036F">
              <w:rPr>
                <w:rFonts w:ascii="Arial" w:eastAsia="Arial" w:hAnsi="Arial" w:cs="Arial"/>
                <w:sz w:val="20"/>
                <w:szCs w:val="20"/>
              </w:rPr>
              <w:t xml:space="preserve">Các đơn vị hợp tác xã và các đơn vị tương tự khác được thành lập bởi các nhóm người để đáp ứng các nhu cầu kinh tế hoặc xã hội </w:t>
            </w:r>
            <w:proofErr w:type="gramStart"/>
            <w:r w:rsidRPr="00E0036F">
              <w:rPr>
                <w:rFonts w:ascii="Arial" w:eastAsia="Arial" w:hAnsi="Arial" w:cs="Arial"/>
                <w:sz w:val="20"/>
                <w:szCs w:val="20"/>
              </w:rPr>
              <w:t>chung</w:t>
            </w:r>
            <w:proofErr w:type="gramEnd"/>
            <w:r w:rsidRPr="00E0036F">
              <w:rPr>
                <w:rFonts w:ascii="Arial" w:eastAsia="Arial" w:hAnsi="Arial" w:cs="Arial"/>
                <w:sz w:val="20"/>
                <w:szCs w:val="20"/>
              </w:rPr>
              <w:t>. Luật pháp quốc gia thường định nghĩa 1 đơn vị hợp tác xã là một xã hội nỗ lực thúc đẩy tiến bộ kinh tế của các thành viên của mình bằng cách hoạt động liên doanh (Nguyên tắc tự giúp đỡ</w:t>
            </w:r>
            <w:r w:rsidR="00E92898" w:rsidRPr="00E0036F">
              <w:rPr>
                <w:rFonts w:ascii="Arial" w:eastAsia="Arial" w:hAnsi="Arial" w:cs="Arial"/>
                <w:sz w:val="20"/>
                <w:szCs w:val="20"/>
              </w:rPr>
              <w:t xml:space="preserve">). </w:t>
            </w:r>
          </w:p>
          <w:p w:rsidR="00EA79AA" w:rsidRPr="00E0036F" w:rsidRDefault="00914B72" w:rsidP="00EA79AA">
            <w:pPr>
              <w:spacing w:line="259" w:lineRule="auto"/>
              <w:ind w:left="598"/>
              <w:jc w:val="both"/>
              <w:rPr>
                <w:rFonts w:ascii="Arial" w:eastAsia="Arial" w:hAnsi="Arial" w:cs="Arial"/>
                <w:sz w:val="20"/>
                <w:szCs w:val="20"/>
              </w:rPr>
            </w:pPr>
            <w:r w:rsidRPr="00914B72">
              <w:rPr>
                <w:rFonts w:ascii="Arial" w:hAnsi="Arial" w:cs="Arial"/>
                <w:noProof/>
              </w:rPr>
              <w:pict>
                <v:shape id="Straight Arrow Connector 6" o:spid="_x0000_s1032" type="#_x0000_t32" style="position:absolute;left:0;text-align:left;margin-left:-.25pt;margin-top:8.75pt;width:328.75pt;height:1.7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" strokecolor="black [3200]">
                  <v:stroke startarrowwidth="narrow" startarrowlength="short" endarrowwidth="narrow" endarrowlength="short" joinstyle="miter"/>
                </v:shape>
              </w:pict>
            </w:r>
          </w:p>
          <w:p w:rsidR="00EA79AA" w:rsidRPr="00E0036F" w:rsidRDefault="00EA79AA" w:rsidP="00371CF7">
            <w:pPr>
              <w:pStyle w:val="ListParagraph"/>
              <w:numPr>
                <w:ilvl w:val="0"/>
                <w:numId w:val="12"/>
              </w:numPr>
              <w:spacing w:line="259" w:lineRule="auto"/>
              <w:ind w:left="315" w:hanging="283"/>
              <w:jc w:val="both"/>
              <w:rPr>
                <w:rFonts w:ascii="Arial" w:eastAsia="Arial" w:hAnsi="Arial" w:cs="Arial"/>
                <w:sz w:val="17"/>
                <w:szCs w:val="17"/>
              </w:rPr>
            </w:pPr>
            <w:r w:rsidRPr="00E0036F">
              <w:rPr>
                <w:rFonts w:ascii="Arial" w:eastAsia="Arial" w:hAnsi="Arial" w:cs="Arial"/>
                <w:sz w:val="17"/>
                <w:szCs w:val="17"/>
              </w:rPr>
              <w:t xml:space="preserve">Tháng 8 năm 2005, IAS 32 đã được sửa đổi thành </w:t>
            </w:r>
            <w:r w:rsidRPr="00E0036F">
              <w:rPr>
                <w:rFonts w:ascii="Arial" w:eastAsia="Arial" w:hAnsi="Arial" w:cs="Arial"/>
                <w:i/>
                <w:sz w:val="17"/>
                <w:szCs w:val="17"/>
              </w:rPr>
              <w:t>IAS 32 Các công cụ tài chính</w:t>
            </w:r>
            <w:r w:rsidRPr="00E0036F">
              <w:rPr>
                <w:rFonts w:ascii="Arial" w:eastAsia="Arial" w:hAnsi="Arial" w:cs="Arial"/>
                <w:sz w:val="17"/>
                <w:szCs w:val="17"/>
              </w:rPr>
              <w:t xml:space="preserve">: </w:t>
            </w:r>
            <w:r w:rsidRPr="00E0036F">
              <w:rPr>
                <w:rFonts w:ascii="Arial" w:eastAsia="Arial" w:hAnsi="Arial" w:cs="Arial"/>
                <w:i/>
                <w:sz w:val="17"/>
                <w:szCs w:val="17"/>
              </w:rPr>
              <w:t>Trình bày</w:t>
            </w:r>
            <w:r w:rsidRPr="00E0036F">
              <w:rPr>
                <w:rFonts w:ascii="Arial" w:eastAsia="Arial" w:hAnsi="Arial" w:cs="Arial"/>
                <w:sz w:val="17"/>
                <w:szCs w:val="17"/>
              </w:rPr>
              <w:t>. Tháng 2 năm 2008 Ủy ban Chuẩn mực kế toán quốc tế đã sửa đổi IAS 32 bằng việc yêu cầu các công cụ phải được phân loại là công cụ vốn nếu các công cụ này có tất cả các đặc điểm và đáp ứng các yêu cầu trong đoạn 16A và 16B hoặc 16C và 16D của Chuẩn mực kế toán Quốc tế số 32.</w:t>
            </w:r>
          </w:p>
          <w:p w:rsidR="00247933" w:rsidRPr="00E0036F" w:rsidRDefault="003559DB" w:rsidP="00EA79AA">
            <w:pPr>
              <w:spacing w:line="259" w:lineRule="auto"/>
              <w:ind w:left="462"/>
              <w:jc w:val="both"/>
              <w:rPr>
                <w:rFonts w:ascii="Arial" w:eastAsia="Arial" w:hAnsi="Arial" w:cs="Arial"/>
                <w:sz w:val="20"/>
                <w:szCs w:val="20"/>
              </w:rPr>
            </w:pPr>
            <w:r w:rsidRPr="00E0036F">
              <w:rPr>
                <w:rFonts w:ascii="Arial" w:eastAsia="Arial" w:hAnsi="Arial" w:cs="Arial"/>
                <w:sz w:val="20"/>
                <w:szCs w:val="20"/>
              </w:rPr>
              <w:lastRenderedPageBreak/>
              <w:t>Lợi ích của các thành viên trong đơn vị hợp tác xã thường được biểu thị bằng số cổ phần, số lượng đơn vị sở hữu hoặc các đo lường tương tự của các thành viên, và được gọi dưới dây là “cổ phần của các thành viên”.</w:t>
            </w:r>
          </w:p>
          <w:p w:rsidR="00EA79AA" w:rsidRPr="00E0036F" w:rsidRDefault="00EA79AA" w:rsidP="00EA79AA">
            <w:pPr>
              <w:spacing w:line="259" w:lineRule="auto"/>
              <w:ind w:left="820"/>
              <w:jc w:val="both"/>
              <w:rPr>
                <w:rFonts w:ascii="Arial" w:eastAsia="Arial" w:hAnsi="Arial" w:cs="Arial"/>
                <w:sz w:val="20"/>
                <w:szCs w:val="20"/>
              </w:rPr>
            </w:pPr>
          </w:p>
          <w:p w:rsidR="00247933" w:rsidRPr="00E0036F" w:rsidRDefault="003559DB" w:rsidP="00EA79AA">
            <w:pPr>
              <w:numPr>
                <w:ilvl w:val="0"/>
                <w:numId w:val="10"/>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 xml:space="preserve">IAS 32 đưa ra các nguyên tắc để phân loại các công cụ tài chính là nợ phải trả tài chính hay công cụ vốn. Cụ thể, những nguyên tắc này áp dụng cho việc phân loại các công cụ có quyền hoàn trả cho phép người nắm giữ có thể bán những công cụ này cho người phát hành để lấy tiền hoặc công cụ tài chính khác. Việc áp dụng các nguyên tắc này cho cổ phần của các thành viên trong các đơn vị hợp tác xã và các công cụ tương tự là </w:t>
            </w:r>
            <w:bookmarkStart w:id="1" w:name="_GoBack"/>
            <w:bookmarkEnd w:id="1"/>
            <w:r w:rsidRPr="00E0036F">
              <w:rPr>
                <w:rFonts w:ascii="Arial" w:eastAsia="Arial" w:hAnsi="Arial" w:cs="Arial"/>
                <w:sz w:val="20"/>
                <w:szCs w:val="20"/>
              </w:rPr>
              <w:t>khó khăn. Một số thành viên của Ủy ban Chuẩn mực Kế toán Quốc tế đã yêu cầu hỗ trợ trong việc tìm hiểu cách áp dụng các nguyên tắc trong IAS 32 cho cổ phần của các thành viên và các công cụ tương tự với các đặc điểm nhất định, và các trường hợp trong đó các đặc điểm này ảnh hưởng đến việc phân loại là nợ phải trả hay vốn chủ sở hữ</w:t>
            </w:r>
            <w:r w:rsidR="00E92898" w:rsidRPr="00E0036F">
              <w:rPr>
                <w:rFonts w:ascii="Arial" w:eastAsia="Arial" w:hAnsi="Arial" w:cs="Arial"/>
                <w:sz w:val="20"/>
                <w:szCs w:val="20"/>
              </w:rPr>
              <w:t>u</w:t>
            </w:r>
          </w:p>
          <w:p w:rsidR="00247933" w:rsidRPr="00E0036F" w:rsidRDefault="00247933" w:rsidP="00AD3A25">
            <w:pPr>
              <w:spacing w:line="259" w:lineRule="auto"/>
              <w:jc w:val="both"/>
              <w:rPr>
                <w:rFonts w:ascii="Arial" w:eastAsia="Arial" w:hAnsi="Arial" w:cs="Arial"/>
                <w:b/>
              </w:rPr>
            </w:pPr>
          </w:p>
          <w:p w:rsidR="00CB7EC8" w:rsidRPr="00E0036F" w:rsidRDefault="003559DB" w:rsidP="00AD3A25">
            <w:pPr>
              <w:spacing w:line="259" w:lineRule="auto"/>
              <w:jc w:val="both"/>
              <w:rPr>
                <w:rFonts w:ascii="Arial" w:eastAsia="Arial" w:hAnsi="Arial" w:cs="Arial"/>
                <w:b/>
                <w:sz w:val="24"/>
                <w:szCs w:val="24"/>
              </w:rPr>
            </w:pPr>
            <w:r w:rsidRPr="00E0036F">
              <w:rPr>
                <w:rFonts w:ascii="Arial" w:eastAsia="Arial" w:hAnsi="Arial" w:cs="Arial"/>
                <w:b/>
                <w:sz w:val="24"/>
                <w:szCs w:val="24"/>
              </w:rPr>
              <w:t>Phạm vi</w:t>
            </w:r>
          </w:p>
          <w:p w:rsidR="00247933" w:rsidRPr="00E0036F" w:rsidRDefault="00914B72" w:rsidP="00AD3A25">
            <w:pPr>
              <w:spacing w:line="259" w:lineRule="auto"/>
              <w:jc w:val="both"/>
              <w:rPr>
                <w:rFonts w:ascii="Arial" w:eastAsia="Arial" w:hAnsi="Arial" w:cs="Arial"/>
                <w:b/>
                <w:sz w:val="20"/>
                <w:szCs w:val="20"/>
              </w:rPr>
            </w:pPr>
            <w:r w:rsidRPr="00914B72">
              <w:rPr>
                <w:rFonts w:ascii="Arial" w:hAnsi="Arial" w:cs="Arial"/>
                <w:noProof/>
              </w:rPr>
              <w:pict>
                <v:shape id="Straight Arrow Connector 20" o:spid="_x0000_s1031" type="#_x0000_t32" style="position:absolute;left:0;text-align:left;margin-left:-.15pt;margin-top:.1pt;width:333.75pt;height:1.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" strokecolor="black [3200]">
                  <v:stroke startarrowwidth="narrow" startarrowlength="short" endarrowwidth="narrow" endarrowlength="short" joinstyle="miter"/>
                </v:shape>
              </w:pict>
            </w:r>
          </w:p>
          <w:p w:rsidR="00247933" w:rsidRPr="00E0036F" w:rsidRDefault="003559DB" w:rsidP="00B16721">
            <w:pPr>
              <w:numPr>
                <w:ilvl w:val="0"/>
                <w:numId w:val="10"/>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 xml:space="preserve">Giải trình này áp dụng cho các công cụ tài chính trong phạm </w:t>
            </w:r>
            <w:proofErr w:type="gramStart"/>
            <w:r w:rsidRPr="00E0036F">
              <w:rPr>
                <w:rFonts w:ascii="Arial" w:eastAsia="Arial" w:hAnsi="Arial" w:cs="Arial"/>
                <w:sz w:val="20"/>
                <w:szCs w:val="20"/>
              </w:rPr>
              <w:t>vi</w:t>
            </w:r>
            <w:proofErr w:type="gramEnd"/>
            <w:r w:rsidRPr="00E0036F">
              <w:rPr>
                <w:rFonts w:ascii="Arial" w:eastAsia="Arial" w:hAnsi="Arial" w:cs="Arial"/>
                <w:sz w:val="20"/>
                <w:szCs w:val="20"/>
              </w:rPr>
              <w:t xml:space="preserve"> của IAS 32, bao gồm các công cụ tài chính phát hành cho các thành viên của các đơn vị hợp tác xã như là bằng chứng cho lợi ích các thành viên sở hữu trong đơn vị. Giải trình này không áp dụng cho các công cụ tài chính sẽ hoặc có thể được thanh toán bằng các công cụ vốn của chính đơn vị.</w:t>
            </w:r>
          </w:p>
          <w:p w:rsidR="00247933" w:rsidRPr="00E0036F" w:rsidRDefault="00247933" w:rsidP="00B16721">
            <w:pPr>
              <w:spacing w:line="259" w:lineRule="auto"/>
              <w:ind w:left="462" w:hanging="425"/>
              <w:jc w:val="both"/>
              <w:rPr>
                <w:rFonts w:ascii="Arial" w:eastAsia="Arial" w:hAnsi="Arial" w:cs="Arial"/>
                <w:b/>
                <w:sz w:val="20"/>
                <w:szCs w:val="20"/>
              </w:rPr>
            </w:pPr>
          </w:p>
          <w:p w:rsidR="00247933" w:rsidRPr="00E0036F" w:rsidRDefault="003559DB" w:rsidP="00AD3A25">
            <w:pPr>
              <w:spacing w:line="259" w:lineRule="auto"/>
              <w:jc w:val="both"/>
              <w:rPr>
                <w:rFonts w:ascii="Arial" w:eastAsia="Arial" w:hAnsi="Arial" w:cs="Arial"/>
                <w:b/>
                <w:sz w:val="24"/>
                <w:szCs w:val="24"/>
              </w:rPr>
            </w:pPr>
            <w:r w:rsidRPr="00E0036F">
              <w:rPr>
                <w:rFonts w:ascii="Arial" w:eastAsia="Arial" w:hAnsi="Arial" w:cs="Arial"/>
                <w:b/>
                <w:sz w:val="24"/>
                <w:szCs w:val="24"/>
              </w:rPr>
              <w:t>Vấn đề</w:t>
            </w:r>
          </w:p>
          <w:p w:rsidR="00247933" w:rsidRPr="00E0036F" w:rsidRDefault="00914B72" w:rsidP="00AD3A25">
            <w:pPr>
              <w:spacing w:line="259" w:lineRule="auto"/>
              <w:jc w:val="both"/>
              <w:rPr>
                <w:rFonts w:ascii="Arial" w:eastAsia="Arial" w:hAnsi="Arial" w:cs="Arial"/>
                <w:b/>
                <w:sz w:val="20"/>
                <w:szCs w:val="20"/>
              </w:rPr>
            </w:pPr>
            <w:r w:rsidRPr="00914B72">
              <w:rPr>
                <w:rFonts w:ascii="Arial" w:hAnsi="Arial" w:cs="Arial"/>
                <w:noProof/>
              </w:rPr>
              <w:pict>
                <v:shape id="Straight Arrow Connector 22" o:spid="_x0000_s1030" type="#_x0000_t32" style="position:absolute;left:0;text-align:left;margin-left:-.15pt;margin-top:.1pt;width:333.75pt;height:1.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" strokecolor="black [3200]">
                  <v:stroke startarrowwidth="narrow" startarrowlength="short" endarrowwidth="narrow" endarrowlength="short" joinstyle="miter"/>
                </v:shape>
              </w:pict>
            </w:r>
          </w:p>
          <w:p w:rsidR="00247933" w:rsidRPr="00E0036F" w:rsidRDefault="00A060CE" w:rsidP="00B16721">
            <w:p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 xml:space="preserve">4      </w:t>
            </w:r>
            <w:r w:rsidR="003559DB" w:rsidRPr="00E0036F">
              <w:rPr>
                <w:rFonts w:ascii="Arial" w:eastAsia="Arial" w:hAnsi="Arial" w:cs="Arial"/>
                <w:sz w:val="20"/>
                <w:szCs w:val="20"/>
              </w:rPr>
              <w:t xml:space="preserve">Rất nhiều các công cụ tài chính, bao gồm cổ phần của các thành viên, có các đặc điểm của vốn chủ sở hữu, bao gồm quyền biểu quyết và quyền được tham gia và việc phân phối cổ tức. Một vài công cụ tài chính cho phép người nắm giữ có quyền yêu cầu mua lại bằng tiền hoặc bằng tài sản tài chính khác, nhưng có thể bao gồm hoặc phụ thuộc vào các giới hạn về việc các công cụ tài chính sẽ được mua lại hay không. Các điều kiện mua lại này sẽ được đánh giá như thế nào trong việc xác định các công cụ tài chính nên được </w:t>
            </w:r>
            <w:r w:rsidR="003559DB" w:rsidRPr="00E0036F">
              <w:rPr>
                <w:rFonts w:ascii="Arial" w:eastAsia="Arial" w:hAnsi="Arial" w:cs="Arial"/>
                <w:sz w:val="20"/>
                <w:szCs w:val="20"/>
              </w:rPr>
              <w:lastRenderedPageBreak/>
              <w:t>phân loại là nợ phải trả hay vốn?</w:t>
            </w:r>
          </w:p>
          <w:p w:rsidR="00A060CE" w:rsidRPr="00E0036F" w:rsidRDefault="00A060CE" w:rsidP="00AD3A25">
            <w:pPr>
              <w:spacing w:line="259" w:lineRule="auto"/>
              <w:jc w:val="both"/>
              <w:rPr>
                <w:rFonts w:ascii="Arial" w:eastAsia="Arial" w:hAnsi="Arial" w:cs="Arial"/>
                <w:b/>
                <w:sz w:val="20"/>
                <w:szCs w:val="20"/>
              </w:rPr>
            </w:pPr>
          </w:p>
          <w:p w:rsidR="00247933" w:rsidRPr="00E0036F" w:rsidRDefault="00914B72" w:rsidP="00AD3A25">
            <w:pPr>
              <w:spacing w:line="259" w:lineRule="auto"/>
              <w:jc w:val="both"/>
              <w:rPr>
                <w:rFonts w:ascii="Arial" w:eastAsia="Arial" w:hAnsi="Arial" w:cs="Arial"/>
                <w:b/>
                <w:sz w:val="24"/>
                <w:szCs w:val="24"/>
              </w:rPr>
            </w:pPr>
            <w:r w:rsidRPr="00914B72">
              <w:rPr>
                <w:rFonts w:ascii="Arial" w:hAnsi="Arial" w:cs="Arial"/>
                <w:noProof/>
              </w:rPr>
              <w:pict>
                <v:shape id="Straight Arrow Connector 25" o:spid="_x0000_s1029" type="#_x0000_t32" style="position:absolute;left:0;text-align:left;margin-left:-.75pt;margin-top:15.2pt;width:333.75pt;height:1.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" strokecolor="black [3200]">
                  <v:stroke startarrowwidth="narrow" startarrowlength="short" endarrowwidth="narrow" endarrowlength="short" joinstyle="miter"/>
                </v:shape>
              </w:pict>
            </w:r>
            <w:r w:rsidR="003559DB" w:rsidRPr="00E0036F">
              <w:rPr>
                <w:rFonts w:ascii="Arial" w:eastAsia="Arial" w:hAnsi="Arial" w:cs="Arial"/>
                <w:b/>
                <w:sz w:val="24"/>
                <w:szCs w:val="24"/>
              </w:rPr>
              <w:t>Sự đồng thuận</w:t>
            </w:r>
          </w:p>
          <w:p w:rsidR="00247933" w:rsidRPr="00E0036F" w:rsidRDefault="00247933" w:rsidP="00AD3A25">
            <w:pPr>
              <w:spacing w:line="259" w:lineRule="auto"/>
              <w:jc w:val="both"/>
              <w:rPr>
                <w:rFonts w:ascii="Arial" w:eastAsia="Arial" w:hAnsi="Arial" w:cs="Arial"/>
                <w:b/>
                <w:sz w:val="20"/>
                <w:szCs w:val="20"/>
              </w:rPr>
            </w:pP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 xml:space="preserve">Quyền </w:t>
            </w:r>
            <w:proofErr w:type="gramStart"/>
            <w:r w:rsidRPr="00E0036F">
              <w:rPr>
                <w:rFonts w:ascii="Arial" w:eastAsia="Arial" w:hAnsi="Arial" w:cs="Arial"/>
                <w:sz w:val="20"/>
                <w:szCs w:val="20"/>
              </w:rPr>
              <w:t>theo</w:t>
            </w:r>
            <w:proofErr w:type="gramEnd"/>
            <w:r w:rsidRPr="00E0036F">
              <w:rPr>
                <w:rFonts w:ascii="Arial" w:eastAsia="Arial" w:hAnsi="Arial" w:cs="Arial"/>
                <w:sz w:val="20"/>
                <w:szCs w:val="20"/>
              </w:rPr>
              <w:t xml:space="preserve"> hợp đồng của người nắm giữ công cụ tài chính (bao gồm cổ phần của các thành viên trong các đơn vị hợp tác xã) trong việc yêu cầu mua lại, bản thân nó không yêu công cụ tài chính phải được phân loại là nợ phải trả tài chính. Thay vào đó, đơn vị phải xem xét tất cả các điều khoản và điều kiện của một công cụ tài chính trong việc xác định nó được phân loại như là một khoản nợ tài chính hay công cụ vốn. Các điều khoản và điều kiện này bao gồm các luật pháp địa phương có liên quan, các quy định và điều lệ quản lý của đơn vị có hiệu lực tại ngày phân loại, nhưng không có dự kiến sửa đổi trong tương lai đối với các luật, quy định hoặc điều lệ đó.</w:t>
            </w:r>
          </w:p>
          <w:p w:rsidR="00A060CE" w:rsidRPr="00E0036F" w:rsidRDefault="00A060CE" w:rsidP="00B16721">
            <w:pPr>
              <w:spacing w:line="259" w:lineRule="auto"/>
              <w:ind w:left="462" w:hanging="425"/>
              <w:jc w:val="both"/>
              <w:rPr>
                <w:rFonts w:ascii="Arial" w:eastAsia="Arial" w:hAnsi="Arial" w:cs="Arial"/>
                <w:sz w:val="20"/>
                <w:szCs w:val="20"/>
              </w:rPr>
            </w:pP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Cổ phần của các thành việc sẽ được phân loại là vốn chủ sở hữu nếu các thành viên không có quyền yêu cầu mua lại dưới dạng vốn chủ sở hữu nếu một trong các điều kiện được nêu ra ở đoạn 7 và 8 tồn tại hoặc cổ phần của các thành viên có tất cả các đặc điểm và đáp ứng các điều kiện trong đoạn 16A và 16B hoặc đoạn 16C và 16D của IAS 32. Tiền gửi không kỳ hạn, bao gồm tài khoản thanh toán, tài khoản tiền gửi và các hợp đồng tương tự phát sinh khi các thành viên đóng vai trò như là khách hàng là khoản nợ phải trả tài chính của đơn vị.</w:t>
            </w:r>
          </w:p>
          <w:p w:rsidR="00247933" w:rsidRPr="00E0036F" w:rsidRDefault="00247933" w:rsidP="00B16721">
            <w:pPr>
              <w:spacing w:line="259" w:lineRule="auto"/>
              <w:ind w:left="462" w:hanging="425"/>
              <w:jc w:val="both"/>
              <w:rPr>
                <w:rFonts w:ascii="Arial" w:eastAsia="Arial" w:hAnsi="Arial" w:cs="Arial"/>
                <w:sz w:val="20"/>
                <w:szCs w:val="20"/>
              </w:rPr>
            </w:pP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 xml:space="preserve">Cổ phần của các thành viên là vốn chủ sở hữu nếu đơn vị có quyền từ chối vô điều kiện mua lại cổ phần của các thành viên. </w:t>
            </w:r>
          </w:p>
          <w:p w:rsidR="00247933" w:rsidRPr="00E0036F" w:rsidRDefault="00247933" w:rsidP="00B16721">
            <w:pPr>
              <w:spacing w:line="259" w:lineRule="auto"/>
              <w:ind w:left="462" w:hanging="425"/>
              <w:jc w:val="both"/>
              <w:rPr>
                <w:rFonts w:ascii="Arial" w:eastAsia="Arial" w:hAnsi="Arial" w:cs="Arial"/>
                <w:sz w:val="20"/>
                <w:szCs w:val="20"/>
              </w:rPr>
            </w:pP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 xml:space="preserve">Luật địa phương, quy định hoặc các điều lệ của đơn vị có thể áp dụng các loại lệnh cấm khác nhau đối với việc mua lại cổ phần của các thành viên, ví dụ cấm vô điều kiện hoặc cấm dựa trên tiêu chí thanh khoản. Nếu việc mua lại bị cấm vô điều kiện </w:t>
            </w:r>
            <w:proofErr w:type="gramStart"/>
            <w:r w:rsidRPr="00E0036F">
              <w:rPr>
                <w:rFonts w:ascii="Arial" w:eastAsia="Arial" w:hAnsi="Arial" w:cs="Arial"/>
                <w:sz w:val="20"/>
                <w:szCs w:val="20"/>
              </w:rPr>
              <w:t>theo</w:t>
            </w:r>
            <w:proofErr w:type="gramEnd"/>
            <w:r w:rsidRPr="00E0036F">
              <w:rPr>
                <w:rFonts w:ascii="Arial" w:eastAsia="Arial" w:hAnsi="Arial" w:cs="Arial"/>
                <w:sz w:val="20"/>
                <w:szCs w:val="20"/>
              </w:rPr>
              <w:t xml:space="preserve"> luật điệu phương, quy định hoặc điều lệ của đơn vị, cố phần của các thành viên sẽ là vốn chủ sở hữu. Tuy nhiên, quy định trong luật địa phương, quy định hoặc điều lệ của đơn vị chỉ ngăn cấm việc mua lại nếu các điều kiện - ví dụ như các ràng buộc về thanh khoản - được đáp ứng (hoặc không được đáp ứng) thì không dẫn đến việc cổ </w:t>
            </w:r>
            <w:r w:rsidRPr="00E0036F">
              <w:rPr>
                <w:rFonts w:ascii="Arial" w:eastAsia="Arial" w:hAnsi="Arial" w:cs="Arial"/>
                <w:sz w:val="20"/>
                <w:szCs w:val="20"/>
              </w:rPr>
              <w:lastRenderedPageBreak/>
              <w:t>phần của các thành viên được phân loại là vốn chủ sở hữu.</w:t>
            </w:r>
          </w:p>
          <w:p w:rsidR="00247933" w:rsidRPr="00E0036F" w:rsidRDefault="00247933" w:rsidP="00B16721">
            <w:pPr>
              <w:spacing w:line="259" w:lineRule="auto"/>
              <w:ind w:left="462" w:hanging="425"/>
              <w:jc w:val="both"/>
              <w:rPr>
                <w:rFonts w:ascii="Arial" w:eastAsia="Arial" w:hAnsi="Arial" w:cs="Arial"/>
                <w:sz w:val="20"/>
                <w:szCs w:val="20"/>
              </w:rPr>
            </w:pP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 xml:space="preserve">Sự ngăn cấm vô điều kiện có thể là tuyệt đối, trong trường hợp đó tất cả mọi việc mua lại đều bị cấm. Sự ngăn cấm vô điều kiện có thể chỉ là một phần, trong trường hợp đó nó cấm việc mua lại cổ phần của các thành viên nếu việc mua lại có thể gây ra số lượng cổ phần của các các thành viên hoặc số vốn góp từ cổ phần của các thành viên giảm xuống dưới một mức quy định. Cổ phần của các thành viên vượt quá mức cấm mua lại được ghi nhận là nợ phải trả, trừ khi đơn vị có quyền từ chối vô điều kiện việc mua lại như được mô tả ở đoạn 7 hoặc cổ phần của các thành viên có tất cả các đặc điểm và đáp ứng các điều kiện trong đoạn 16A và 16B hoặc đoạn 16C và 16D của Chuẩn mực kế toán Quốc tế số 32. Trong một số trường hợp, số lượng cổ phần hoặc số vốn </w:t>
            </w:r>
            <w:proofErr w:type="gramStart"/>
            <w:r w:rsidRPr="00E0036F">
              <w:rPr>
                <w:rFonts w:ascii="Arial" w:eastAsia="Arial" w:hAnsi="Arial" w:cs="Arial"/>
                <w:sz w:val="20"/>
                <w:szCs w:val="20"/>
              </w:rPr>
              <w:t>góp  bị</w:t>
            </w:r>
            <w:proofErr w:type="gramEnd"/>
            <w:r w:rsidRPr="00E0036F">
              <w:rPr>
                <w:rFonts w:ascii="Arial" w:eastAsia="Arial" w:hAnsi="Arial" w:cs="Arial"/>
                <w:sz w:val="20"/>
                <w:szCs w:val="20"/>
              </w:rPr>
              <w:t xml:space="preserve"> cấm mua lại có thể thay đổi theo thời gian. Sự thay đổi trong việc cấm mua lại này dẫn đến sự chuyển đổi phân loại giữa nợ phải trả tài chính và vốn chủ sở hữu.</w:t>
            </w:r>
          </w:p>
          <w:p w:rsidR="00247933" w:rsidRPr="00E0036F" w:rsidRDefault="00247933" w:rsidP="00B16721">
            <w:pPr>
              <w:spacing w:line="259" w:lineRule="auto"/>
              <w:ind w:left="462" w:hanging="425"/>
              <w:jc w:val="both"/>
              <w:rPr>
                <w:rFonts w:ascii="Arial" w:eastAsia="Arial" w:hAnsi="Arial" w:cs="Arial"/>
                <w:sz w:val="20"/>
                <w:szCs w:val="20"/>
              </w:rPr>
            </w:pP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 xml:space="preserve">Khi ghi nhận ban đầu, đơn vị sẽ đo lường khoản nợ phải trả tài chính cho việc mua lại </w:t>
            </w:r>
            <w:proofErr w:type="gramStart"/>
            <w:r w:rsidRPr="00E0036F">
              <w:rPr>
                <w:rFonts w:ascii="Arial" w:eastAsia="Arial" w:hAnsi="Arial" w:cs="Arial"/>
                <w:sz w:val="20"/>
                <w:szCs w:val="20"/>
              </w:rPr>
              <w:t>theo</w:t>
            </w:r>
            <w:proofErr w:type="gramEnd"/>
            <w:r w:rsidRPr="00E0036F">
              <w:rPr>
                <w:rFonts w:ascii="Arial" w:eastAsia="Arial" w:hAnsi="Arial" w:cs="Arial"/>
                <w:sz w:val="20"/>
                <w:szCs w:val="20"/>
              </w:rPr>
              <w:t xml:space="preserve"> giá trị hợp lý. Trong trường hợp cổ phần của các thành viên với đặc tính mua lại, đơn vị đo lường giá trị hợp lý của nợ phải trả tài chính cho việc mua lại không thấp hơn số tiền tối đa phải trả theo quy định mua lại của điều lệ quản lý công ty hoặc luật hiện hành chiết khấu từ ngày đầu tiên mà khoản tiền đó có thể được yêu cầu phải thanh toán (xem ví dụ 3).</w:t>
            </w:r>
          </w:p>
          <w:p w:rsidR="00247933" w:rsidRPr="00E0036F" w:rsidRDefault="00247933" w:rsidP="00B16721">
            <w:pPr>
              <w:spacing w:line="259" w:lineRule="auto"/>
              <w:ind w:left="462" w:hanging="425"/>
              <w:jc w:val="both"/>
              <w:rPr>
                <w:rFonts w:ascii="Arial" w:eastAsia="Arial" w:hAnsi="Arial" w:cs="Arial"/>
                <w:sz w:val="20"/>
                <w:szCs w:val="20"/>
              </w:rPr>
            </w:pP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Theo yêu cầu đưa ra trong đoạn 35 của IAS 32, giá trị phân phối cho người nắm giữ các công cụ vốn được ghi nhận trực tiếp trong vốn chủ sở hữu. Lãi suất, cổ tức và các khoản thu nhập khác liên quan đến các công cụ tài chính được phân loại là nợ phải trả tài chính được ghi nhận là chi phí, không phân biệt số tiền đã thanh toán đó có đặc điểm pháp lý như cổ tức, lãi suất hay các khoản khác.</w:t>
            </w:r>
          </w:p>
          <w:p w:rsidR="00247933" w:rsidRPr="00E0036F" w:rsidRDefault="00247933" w:rsidP="00B16721">
            <w:pPr>
              <w:spacing w:line="259" w:lineRule="auto"/>
              <w:ind w:left="462" w:hanging="425"/>
              <w:jc w:val="both"/>
              <w:rPr>
                <w:rFonts w:ascii="Arial" w:eastAsia="Arial" w:hAnsi="Arial" w:cs="Arial"/>
                <w:sz w:val="20"/>
                <w:szCs w:val="20"/>
              </w:rPr>
            </w:pP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Phụ lục, là một phần không thể thiếu của sự đồng thuận, đưa ra các ví dụ cho việc áp dụng sự đồng thuận này.</w:t>
            </w:r>
          </w:p>
          <w:p w:rsidR="00127573" w:rsidRPr="00E0036F" w:rsidRDefault="00127573" w:rsidP="00AD3A25">
            <w:pPr>
              <w:spacing w:line="259" w:lineRule="auto"/>
              <w:jc w:val="both"/>
              <w:rPr>
                <w:rFonts w:ascii="Arial" w:eastAsia="Arial" w:hAnsi="Arial" w:cs="Arial"/>
                <w:sz w:val="20"/>
                <w:szCs w:val="20"/>
              </w:rPr>
            </w:pPr>
          </w:p>
          <w:p w:rsidR="00B16721" w:rsidRPr="00E0036F" w:rsidRDefault="00B16721" w:rsidP="00AD3A25">
            <w:pPr>
              <w:spacing w:line="259" w:lineRule="auto"/>
              <w:jc w:val="both"/>
              <w:rPr>
                <w:rFonts w:ascii="Arial" w:eastAsia="Arial" w:hAnsi="Arial" w:cs="Arial"/>
                <w:sz w:val="20"/>
                <w:szCs w:val="20"/>
              </w:rPr>
            </w:pPr>
          </w:p>
          <w:p w:rsidR="00127573" w:rsidRPr="00E0036F" w:rsidRDefault="00127573" w:rsidP="00AD3A25">
            <w:pPr>
              <w:spacing w:line="259" w:lineRule="auto"/>
              <w:jc w:val="both"/>
              <w:rPr>
                <w:rFonts w:ascii="Arial" w:eastAsia="Arial" w:hAnsi="Arial" w:cs="Arial"/>
                <w:b/>
                <w:sz w:val="24"/>
                <w:szCs w:val="24"/>
              </w:rPr>
            </w:pPr>
            <w:r w:rsidRPr="00E0036F">
              <w:rPr>
                <w:rFonts w:ascii="Arial" w:eastAsia="Arial" w:hAnsi="Arial" w:cs="Arial"/>
                <w:b/>
                <w:sz w:val="24"/>
                <w:szCs w:val="24"/>
              </w:rPr>
              <w:lastRenderedPageBreak/>
              <w:t>Thuyết minh</w:t>
            </w:r>
          </w:p>
          <w:p w:rsidR="00247933" w:rsidRPr="00E0036F" w:rsidRDefault="00914B72" w:rsidP="00AD3A25">
            <w:pPr>
              <w:spacing w:line="259" w:lineRule="auto"/>
              <w:ind w:left="720"/>
              <w:jc w:val="both"/>
              <w:rPr>
                <w:rFonts w:ascii="Arial" w:eastAsia="Arial" w:hAnsi="Arial" w:cs="Arial"/>
                <w:sz w:val="20"/>
                <w:szCs w:val="20"/>
              </w:rPr>
            </w:pPr>
            <w:r w:rsidRPr="00914B72">
              <w:rPr>
                <w:rFonts w:ascii="Arial" w:hAnsi="Arial" w:cs="Arial"/>
                <w:noProof/>
              </w:rPr>
              <w:pict>
                <v:shape id="Straight Arrow Connector 30" o:spid="_x0000_s1028" type="#_x0000_t32" style="position:absolute;left:0;text-align:left;margin-left:-.25pt;margin-top:.25pt;width:333.75pt;height:1.7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" strokecolor="black [3200]">
                  <v:stroke startarrowwidth="narrow" startarrowlength="short" endarrowwidth="narrow" endarrowlength="short" joinstyle="miter"/>
                </v:shape>
              </w:pict>
            </w:r>
          </w:p>
          <w:p w:rsidR="00127573" w:rsidRPr="00E0036F" w:rsidRDefault="00127573"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Khi một sự thay đổi trong việc cấm mua lại dẫn đến sự chuyển đổi giữa nợ phải trả tài chính và vốn, đơn vị sẽ thuyết minh riêng biệt số tiền, thời điểm và lý do cho việc chuyển đổi.</w:t>
            </w:r>
          </w:p>
          <w:p w:rsidR="00A060CE" w:rsidRPr="00E0036F" w:rsidRDefault="00A060CE" w:rsidP="00AD3A25">
            <w:pPr>
              <w:spacing w:line="259" w:lineRule="auto"/>
              <w:jc w:val="both"/>
              <w:rPr>
                <w:rFonts w:ascii="Arial" w:eastAsia="Arial" w:hAnsi="Arial" w:cs="Arial"/>
                <w:sz w:val="20"/>
                <w:szCs w:val="20"/>
              </w:rPr>
            </w:pPr>
          </w:p>
          <w:p w:rsidR="00247933" w:rsidRPr="00E0036F" w:rsidRDefault="003559DB" w:rsidP="00AD3A25">
            <w:pPr>
              <w:spacing w:line="259" w:lineRule="auto"/>
              <w:jc w:val="both"/>
              <w:rPr>
                <w:rFonts w:ascii="Arial" w:eastAsia="Arial" w:hAnsi="Arial" w:cs="Arial"/>
                <w:b/>
                <w:sz w:val="24"/>
                <w:szCs w:val="24"/>
              </w:rPr>
            </w:pPr>
            <w:r w:rsidRPr="00E0036F">
              <w:rPr>
                <w:rFonts w:ascii="Arial" w:eastAsia="Arial" w:hAnsi="Arial" w:cs="Arial"/>
                <w:b/>
                <w:sz w:val="24"/>
                <w:szCs w:val="24"/>
              </w:rPr>
              <w:t>Ngày có hiệu lực</w:t>
            </w:r>
          </w:p>
          <w:p w:rsidR="00247933" w:rsidRPr="00E0036F" w:rsidRDefault="00914B72" w:rsidP="00AD3A25">
            <w:pPr>
              <w:spacing w:line="259" w:lineRule="auto"/>
              <w:jc w:val="both"/>
              <w:rPr>
                <w:rFonts w:ascii="Arial" w:eastAsia="Arial" w:hAnsi="Arial" w:cs="Arial"/>
                <w:b/>
                <w:sz w:val="20"/>
                <w:szCs w:val="20"/>
              </w:rPr>
            </w:pPr>
            <w:r w:rsidRPr="00914B72">
              <w:rPr>
                <w:rFonts w:ascii="Arial" w:hAnsi="Arial" w:cs="Arial"/>
                <w:noProof/>
              </w:rPr>
              <w:pict>
                <v:shape id="Straight Arrow Connector 32" o:spid="_x0000_s1027" type="#_x0000_t32" style="position:absolute;left:0;text-align:left;margin-left:-.25pt;margin-top:.25pt;width:333.75pt;height:1.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" strokecolor="black [3200]">
                  <v:stroke startarrowwidth="narrow" startarrowlength="short" endarrowwidth="narrow" endarrowlength="short" joinstyle="miter"/>
                </v:shape>
              </w:pict>
            </w: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 xml:space="preserve">Ngày có hiệu lực và vác các yêu cầu chuyển tiếp của Giải trình này giống với ngày có hiệu lực và những yêu cầu chuyển tiếp của IAS 32 (đã sửa đổi năm 2003). Một đơn vị có thể áp dụng Giải trình này cho các kỳ báo cáo năm bắt đầu vào hoặc sau ngày 1 tháng 1 năm 2005. Nếu một đơn vị áp dụng Giải trình này cho một kỳ báo cáo bắt đầu trước ngày 1 tháng 1 năm 2005, đơn vị sẽ thuyết minh vấn đề đó. Giải trình này có thể được áp dụng hồi tố. </w:t>
            </w:r>
          </w:p>
          <w:p w:rsidR="00247933" w:rsidRPr="00E0036F" w:rsidRDefault="00247933" w:rsidP="00B16721">
            <w:pPr>
              <w:spacing w:line="259" w:lineRule="auto"/>
              <w:ind w:left="462" w:hanging="425"/>
              <w:jc w:val="both"/>
              <w:rPr>
                <w:rFonts w:ascii="Arial" w:eastAsia="Arial" w:hAnsi="Arial" w:cs="Arial"/>
                <w:sz w:val="20"/>
                <w:szCs w:val="20"/>
              </w:rPr>
            </w:pPr>
          </w:p>
          <w:p w:rsidR="00247933" w:rsidRPr="00E0036F" w:rsidRDefault="003559DB" w:rsidP="00B16721">
            <w:pPr>
              <w:spacing w:line="259" w:lineRule="auto"/>
              <w:ind w:left="462" w:hanging="425"/>
              <w:jc w:val="both"/>
              <w:rPr>
                <w:rFonts w:ascii="Arial" w:eastAsia="Arial" w:hAnsi="Arial" w:cs="Arial"/>
                <w:sz w:val="20"/>
                <w:szCs w:val="20"/>
              </w:rPr>
            </w:pPr>
            <w:proofErr w:type="gramStart"/>
            <w:r w:rsidRPr="00E0036F">
              <w:rPr>
                <w:rFonts w:ascii="Arial" w:eastAsia="Arial" w:hAnsi="Arial" w:cs="Arial"/>
                <w:sz w:val="20"/>
                <w:szCs w:val="20"/>
              </w:rPr>
              <w:t xml:space="preserve">14A </w:t>
            </w:r>
            <w:r w:rsidR="00A060CE" w:rsidRPr="00E0036F">
              <w:rPr>
                <w:rFonts w:ascii="Arial" w:eastAsia="Arial" w:hAnsi="Arial" w:cs="Arial"/>
                <w:sz w:val="20"/>
                <w:szCs w:val="20"/>
              </w:rPr>
              <w:t xml:space="preserve"> </w:t>
            </w:r>
            <w:r w:rsidRPr="00E0036F">
              <w:rPr>
                <w:rFonts w:ascii="Arial" w:eastAsia="Arial" w:hAnsi="Arial" w:cs="Arial"/>
                <w:sz w:val="20"/>
                <w:szCs w:val="20"/>
              </w:rPr>
              <w:t>Một</w:t>
            </w:r>
            <w:proofErr w:type="gramEnd"/>
            <w:r w:rsidRPr="00E0036F">
              <w:rPr>
                <w:rFonts w:ascii="Arial" w:eastAsia="Arial" w:hAnsi="Arial" w:cs="Arial"/>
                <w:sz w:val="20"/>
                <w:szCs w:val="20"/>
              </w:rPr>
              <w:t xml:space="preserve"> đơn vị có thể áp dụng các sửa đổi trong đoạn 6, 9, A1 và A12 cho các kỳ báo cáo năm bắt đầu vào hoặc sau ngày 1 tháng 1 năm 2009. Nếu một đơn vị áp dụng sớm </w:t>
            </w:r>
            <w:r w:rsidRPr="00E0036F">
              <w:rPr>
                <w:rFonts w:ascii="Arial" w:eastAsia="Arial" w:hAnsi="Arial" w:cs="Arial"/>
                <w:i/>
                <w:sz w:val="20"/>
                <w:szCs w:val="20"/>
              </w:rPr>
              <w:t xml:space="preserve">Các công cụ tài chính có quyền hoàn trả và Nghĩa vụ phát sinh khi thanh lý </w:t>
            </w:r>
            <w:r w:rsidRPr="00E0036F">
              <w:rPr>
                <w:rFonts w:ascii="Arial" w:eastAsia="Arial" w:hAnsi="Arial" w:cs="Arial"/>
                <w:sz w:val="20"/>
                <w:szCs w:val="20"/>
              </w:rPr>
              <w:t>(Sửa đổi cho IAS 32 và IAS 1), ban hành tháng 2 năm 2008, đơn vị cần áp dụng đồng thời các sửa đổi trong đoạn 6, 9, A1 và A12.</w:t>
            </w:r>
          </w:p>
          <w:p w:rsidR="00247933" w:rsidRPr="00E0036F" w:rsidRDefault="00247933" w:rsidP="00B16721">
            <w:pPr>
              <w:spacing w:line="259" w:lineRule="auto"/>
              <w:ind w:left="462" w:hanging="425"/>
              <w:jc w:val="both"/>
              <w:rPr>
                <w:rFonts w:ascii="Arial" w:eastAsia="Arial" w:hAnsi="Arial" w:cs="Arial"/>
                <w:sz w:val="20"/>
                <w:szCs w:val="20"/>
              </w:rPr>
            </w:pP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[Đã xóa]</w:t>
            </w:r>
          </w:p>
          <w:p w:rsidR="00247933" w:rsidRPr="00E0036F" w:rsidRDefault="00247933" w:rsidP="00B16721">
            <w:pPr>
              <w:spacing w:line="259" w:lineRule="auto"/>
              <w:ind w:left="462" w:hanging="425"/>
              <w:jc w:val="both"/>
              <w:rPr>
                <w:rFonts w:ascii="Arial" w:eastAsia="Arial" w:hAnsi="Arial" w:cs="Arial"/>
                <w:sz w:val="20"/>
                <w:szCs w:val="20"/>
              </w:rPr>
            </w:pP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IFRS 13, ban hành tháng 5 năm 2011, sửa đổi đoạn A8. Một đơn vị có thể áp dụng sự sửa đổi này khi đơn vị đó áp dụng IFRS 13.</w:t>
            </w:r>
          </w:p>
          <w:p w:rsidR="00247933" w:rsidRPr="00E0036F" w:rsidRDefault="00247933" w:rsidP="00B16721">
            <w:pPr>
              <w:spacing w:line="259" w:lineRule="auto"/>
              <w:ind w:left="462" w:hanging="425"/>
              <w:jc w:val="both"/>
              <w:rPr>
                <w:rFonts w:ascii="Arial" w:eastAsia="Arial" w:hAnsi="Arial" w:cs="Arial"/>
                <w:sz w:val="20"/>
                <w:szCs w:val="20"/>
              </w:rPr>
            </w:pP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i/>
                <w:sz w:val="20"/>
                <w:szCs w:val="20"/>
              </w:rPr>
              <w:t xml:space="preserve">Những cải tiến hàng năm cho giai đoạn 2009-2011, </w:t>
            </w:r>
            <w:r w:rsidRPr="00E0036F">
              <w:rPr>
                <w:rFonts w:ascii="Arial" w:eastAsia="Arial" w:hAnsi="Arial" w:cs="Arial"/>
                <w:sz w:val="20"/>
                <w:szCs w:val="20"/>
              </w:rPr>
              <w:t xml:space="preserve">ban hành tháng 5 năm 2012, sửa đổi đoạn 11. Một đơn vị có thể áp dụng sự sửa đổi này hồi tố theo quy định của IAS 8 </w:t>
            </w:r>
            <w:r w:rsidRPr="00E0036F">
              <w:rPr>
                <w:rFonts w:ascii="Arial" w:eastAsia="Arial" w:hAnsi="Arial" w:cs="Arial"/>
                <w:i/>
                <w:sz w:val="20"/>
                <w:szCs w:val="20"/>
              </w:rPr>
              <w:t xml:space="preserve">Các chính sách kế toán, Các thay đổi của ước tính kế toán và Sai sót </w:t>
            </w:r>
            <w:r w:rsidRPr="00E0036F">
              <w:rPr>
                <w:rFonts w:ascii="Arial" w:eastAsia="Arial" w:hAnsi="Arial" w:cs="Arial"/>
                <w:sz w:val="20"/>
                <w:szCs w:val="20"/>
              </w:rPr>
              <w:t xml:space="preserve"> cho các kỳ báo cáo năm bắt đầu vào ngày hoặc sau ngày 1 tháng 1 năm 2013. Nếu một đơn vị muốn áp dụng sớm sửa đổi cho IAS 32 như một phần của </w:t>
            </w:r>
            <w:r w:rsidRPr="00E0036F">
              <w:rPr>
                <w:rFonts w:ascii="Arial" w:eastAsia="Arial" w:hAnsi="Arial" w:cs="Arial"/>
                <w:i/>
                <w:sz w:val="20"/>
                <w:szCs w:val="20"/>
              </w:rPr>
              <w:t xml:space="preserve">Những cải tiến hàng năm cho giai đoạn 2009-2001 </w:t>
            </w:r>
            <w:r w:rsidRPr="00E0036F">
              <w:rPr>
                <w:rFonts w:ascii="Arial" w:eastAsia="Arial" w:hAnsi="Arial" w:cs="Arial"/>
                <w:sz w:val="20"/>
                <w:szCs w:val="20"/>
              </w:rPr>
              <w:t>(ban hành tháng 5 năm 2012), đơn vị cần áp dụng đồng thời sửa đổi trong đoạn 11.</w:t>
            </w:r>
          </w:p>
          <w:p w:rsidR="00247933" w:rsidRPr="00E0036F" w:rsidRDefault="00247933" w:rsidP="00B16721">
            <w:pPr>
              <w:spacing w:line="259" w:lineRule="auto"/>
              <w:ind w:left="462" w:hanging="425"/>
              <w:jc w:val="both"/>
              <w:rPr>
                <w:rFonts w:ascii="Arial" w:eastAsia="Arial" w:hAnsi="Arial" w:cs="Arial"/>
                <w:sz w:val="20"/>
                <w:szCs w:val="20"/>
              </w:rPr>
            </w:pP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lastRenderedPageBreak/>
              <w:t>[Đã xóa]</w:t>
            </w:r>
          </w:p>
          <w:p w:rsidR="00247933" w:rsidRPr="00E0036F" w:rsidRDefault="00247933" w:rsidP="00B16721">
            <w:pPr>
              <w:spacing w:line="259" w:lineRule="auto"/>
              <w:ind w:left="462" w:hanging="425"/>
              <w:rPr>
                <w:rFonts w:ascii="Arial" w:eastAsia="Arial" w:hAnsi="Arial" w:cs="Arial"/>
                <w:sz w:val="20"/>
                <w:szCs w:val="20"/>
              </w:rPr>
            </w:pPr>
          </w:p>
          <w:p w:rsidR="00247933" w:rsidRPr="00E0036F" w:rsidRDefault="003559DB" w:rsidP="00B16721">
            <w:pPr>
              <w:numPr>
                <w:ilvl w:val="0"/>
                <w:numId w:val="8"/>
              </w:numPr>
              <w:spacing w:line="259" w:lineRule="auto"/>
              <w:ind w:left="462" w:hanging="425"/>
              <w:jc w:val="both"/>
              <w:rPr>
                <w:rFonts w:ascii="Arial" w:eastAsia="Arial" w:hAnsi="Arial" w:cs="Arial"/>
                <w:sz w:val="20"/>
                <w:szCs w:val="20"/>
              </w:rPr>
            </w:pPr>
            <w:r w:rsidRPr="00E0036F">
              <w:rPr>
                <w:rFonts w:ascii="Arial" w:eastAsia="Arial" w:hAnsi="Arial" w:cs="Arial"/>
                <w:sz w:val="20"/>
                <w:szCs w:val="20"/>
              </w:rPr>
              <w:t>IFRS 9, ban hành tháng 7 năm 2014, đã sửa đổi đoạn A8 và A10 và xóa đoạn 15 và 18. Một đơn vị có thể áp dụng những sửa đổi này khi áp dụng IFRS 9.</w:t>
            </w:r>
          </w:p>
        </w:tc>
      </w:tr>
    </w:tbl>
    <w:tbl>
      <w:tblPr>
        <w:tblStyle w:val="a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41"/>
        <w:gridCol w:w="6804"/>
      </w:tblGrid>
      <w:tr w:rsidR="00247933" w:rsidRPr="00F22FA7" w:rsidTr="00BB4936">
        <w:trPr>
          <w:trHeight w:val="540"/>
        </w:trPr>
        <w:tc>
          <w:tcPr>
            <w:tcW w:w="6941" w:type="dxa"/>
          </w:tcPr>
          <w:p w:rsidR="00247933" w:rsidRPr="00E0036F" w:rsidRDefault="00247933" w:rsidP="00AD3A25">
            <w:pPr>
              <w:spacing w:line="259" w:lineRule="auto"/>
              <w:rPr>
                <w:rFonts w:ascii="Arial" w:eastAsia="Arial" w:hAnsi="Arial" w:cs="Arial"/>
                <w:b/>
                <w:sz w:val="20"/>
                <w:szCs w:val="20"/>
              </w:rPr>
            </w:pPr>
          </w:p>
          <w:p w:rsidR="00247933" w:rsidRPr="00E0036F" w:rsidRDefault="003559DB" w:rsidP="00AD3A25">
            <w:pPr>
              <w:spacing w:line="259" w:lineRule="auto"/>
              <w:jc w:val="both"/>
              <w:rPr>
                <w:rFonts w:ascii="Arial" w:eastAsia="Arial" w:hAnsi="Arial" w:cs="Arial"/>
                <w:b/>
                <w:sz w:val="24"/>
                <w:szCs w:val="24"/>
              </w:rPr>
            </w:pPr>
            <w:r w:rsidRPr="00E0036F">
              <w:rPr>
                <w:rFonts w:ascii="Arial" w:eastAsia="Arial" w:hAnsi="Arial" w:cs="Arial"/>
                <w:b/>
                <w:sz w:val="24"/>
                <w:szCs w:val="24"/>
              </w:rPr>
              <w:t>Appendix</w:t>
            </w:r>
          </w:p>
          <w:p w:rsidR="00EC6B41" w:rsidRPr="00E0036F" w:rsidRDefault="003559DB" w:rsidP="00AD3A25">
            <w:pPr>
              <w:spacing w:line="259" w:lineRule="auto"/>
              <w:jc w:val="both"/>
              <w:rPr>
                <w:rFonts w:ascii="Arial" w:eastAsia="Arial" w:hAnsi="Arial" w:cs="Arial"/>
              </w:rPr>
            </w:pPr>
            <w:r w:rsidRPr="00E0036F">
              <w:rPr>
                <w:rFonts w:ascii="Arial" w:eastAsia="Arial" w:hAnsi="Arial" w:cs="Arial"/>
                <w:b/>
                <w:sz w:val="24"/>
                <w:szCs w:val="24"/>
              </w:rPr>
              <w:t>Examples of application of the consensus</w:t>
            </w:r>
            <w:r w:rsidR="00C17CDF" w:rsidRPr="00E0036F">
              <w:rPr>
                <w:rFonts w:ascii="Arial" w:eastAsia="Arial" w:hAnsi="Arial" w:cs="Arial"/>
              </w:rPr>
              <w:t xml:space="preserve"> </w:t>
            </w:r>
          </w:p>
          <w:p w:rsidR="00AA41EC" w:rsidRPr="00E0036F" w:rsidRDefault="00AA41EC" w:rsidP="00AD3A25">
            <w:pPr>
              <w:spacing w:line="259" w:lineRule="auto"/>
              <w:jc w:val="both"/>
              <w:rPr>
                <w:rFonts w:ascii="Arial" w:eastAsia="Arial" w:hAnsi="Arial" w:cs="Arial"/>
                <w:i/>
                <w:sz w:val="17"/>
                <w:szCs w:val="17"/>
              </w:rPr>
            </w:pPr>
          </w:p>
          <w:p w:rsidR="00247933" w:rsidRPr="00E0036F" w:rsidRDefault="00EC6B41" w:rsidP="00AD3A25">
            <w:pPr>
              <w:spacing w:line="259" w:lineRule="auto"/>
              <w:jc w:val="both"/>
              <w:rPr>
                <w:rFonts w:ascii="Arial" w:eastAsia="Arial" w:hAnsi="Arial" w:cs="Arial"/>
                <w:b/>
                <w:i/>
                <w:sz w:val="17"/>
                <w:szCs w:val="17"/>
              </w:rPr>
            </w:pPr>
            <w:r w:rsidRPr="00E0036F">
              <w:rPr>
                <w:rFonts w:ascii="Arial" w:eastAsia="Arial" w:hAnsi="Arial" w:cs="Arial"/>
                <w:i/>
                <w:sz w:val="17"/>
                <w:szCs w:val="17"/>
              </w:rPr>
              <w:t>This appendix is an intergral part of the Interpretation.</w:t>
            </w:r>
          </w:p>
          <w:p w:rsidR="00247933" w:rsidRPr="00E0036F" w:rsidRDefault="00247933" w:rsidP="00AD3A25">
            <w:pPr>
              <w:spacing w:line="259" w:lineRule="auto"/>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left="458" w:hanging="767"/>
              <w:jc w:val="both"/>
              <w:rPr>
                <w:rFonts w:ascii="Arial" w:eastAsia="Arial" w:hAnsi="Arial" w:cs="Arial"/>
                <w:color w:val="000000"/>
                <w:sz w:val="20"/>
                <w:szCs w:val="20"/>
              </w:rPr>
            </w:pPr>
            <w:r w:rsidRPr="00E0036F">
              <w:rPr>
                <w:rFonts w:ascii="Arial" w:eastAsia="Arial" w:hAnsi="Arial" w:cs="Arial"/>
                <w:color w:val="000000"/>
                <w:sz w:val="20"/>
                <w:szCs w:val="20"/>
              </w:rPr>
              <w:t xml:space="preserve">      A1. </w:t>
            </w:r>
            <w:r w:rsidR="00BB4936" w:rsidRPr="00E0036F">
              <w:rPr>
                <w:rFonts w:ascii="Arial" w:eastAsia="Arial" w:hAnsi="Arial" w:cs="Arial"/>
                <w:color w:val="000000"/>
                <w:sz w:val="20"/>
                <w:szCs w:val="20"/>
              </w:rPr>
              <w:t xml:space="preserve"> </w:t>
            </w:r>
            <w:r w:rsidRPr="00E0036F">
              <w:rPr>
                <w:rFonts w:ascii="Arial" w:eastAsia="Arial" w:hAnsi="Arial" w:cs="Arial"/>
                <w:color w:val="000000"/>
                <w:sz w:val="20"/>
                <w:szCs w:val="20"/>
              </w:rPr>
              <w:t>This appendix sets out seven examples of the application of the IFRIC consensus. The examples do not constitute an exhaustive list; other fact patterns are possible. Each example assumes that there are no conditions other than those set out in the facts of the example that would require the financial instrument to be classified as a financial liability and that the financial instrument does not have all the features or does not meet the conditions in paragraphs 16A and 16B or paragraphs 16C and 16D of IAS 32.</w:t>
            </w:r>
          </w:p>
          <w:p w:rsidR="00247933" w:rsidRPr="00E0036F" w:rsidRDefault="00247933" w:rsidP="00AD3A25">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247933" w:rsidRPr="00E0036F" w:rsidRDefault="003559DB" w:rsidP="00AD3A25">
            <w:pPr>
              <w:pBdr>
                <w:top w:val="nil"/>
                <w:left w:val="nil"/>
                <w:bottom w:val="nil"/>
                <w:right w:val="nil"/>
                <w:between w:val="nil"/>
              </w:pBdr>
              <w:spacing w:line="259" w:lineRule="auto"/>
              <w:jc w:val="both"/>
              <w:rPr>
                <w:rFonts w:ascii="Arial" w:eastAsia="Arial" w:hAnsi="Arial" w:cs="Arial"/>
                <w:b/>
                <w:u w:val="single"/>
              </w:rPr>
            </w:pPr>
            <w:r w:rsidRPr="00E0036F">
              <w:rPr>
                <w:rFonts w:ascii="Arial" w:eastAsia="Arial" w:hAnsi="Arial" w:cs="Arial"/>
                <w:b/>
                <w:u w:val="single"/>
              </w:rPr>
              <w:t>Unconditional right to refuse redemption (paragraph 7)</w:t>
            </w:r>
          </w:p>
          <w:p w:rsidR="00247933" w:rsidRPr="00E0036F" w:rsidRDefault="00247933" w:rsidP="00AD3A25">
            <w:pPr>
              <w:pBdr>
                <w:top w:val="nil"/>
                <w:left w:val="nil"/>
                <w:bottom w:val="nil"/>
                <w:right w:val="nil"/>
                <w:between w:val="nil"/>
              </w:pBdr>
              <w:spacing w:line="259" w:lineRule="auto"/>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firstLine="454"/>
              <w:jc w:val="both"/>
              <w:rPr>
                <w:rFonts w:ascii="Arial" w:eastAsia="Arial" w:hAnsi="Arial" w:cs="Arial"/>
                <w:b/>
                <w:sz w:val="20"/>
                <w:szCs w:val="20"/>
              </w:rPr>
            </w:pPr>
            <w:r w:rsidRPr="00E0036F">
              <w:rPr>
                <w:rFonts w:ascii="Arial" w:eastAsia="Arial" w:hAnsi="Arial" w:cs="Arial"/>
                <w:b/>
                <w:sz w:val="20"/>
                <w:szCs w:val="20"/>
              </w:rPr>
              <w:t>Example 1</w:t>
            </w:r>
          </w:p>
          <w:p w:rsidR="00247933" w:rsidRPr="00E0036F" w:rsidRDefault="00247933" w:rsidP="00846801">
            <w:pPr>
              <w:pBdr>
                <w:top w:val="nil"/>
                <w:left w:val="nil"/>
                <w:bottom w:val="nil"/>
                <w:right w:val="nil"/>
                <w:between w:val="nil"/>
              </w:pBdr>
              <w:spacing w:line="259" w:lineRule="auto"/>
              <w:ind w:firstLine="454"/>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firstLine="454"/>
              <w:jc w:val="both"/>
              <w:rPr>
                <w:rFonts w:ascii="Arial" w:eastAsia="Arial" w:hAnsi="Arial" w:cs="Arial"/>
                <w:b/>
                <w:sz w:val="20"/>
                <w:szCs w:val="20"/>
              </w:rPr>
            </w:pPr>
            <w:r w:rsidRPr="00E0036F">
              <w:rPr>
                <w:rFonts w:ascii="Arial" w:eastAsia="Arial" w:hAnsi="Arial" w:cs="Arial"/>
                <w:b/>
                <w:sz w:val="20"/>
                <w:szCs w:val="20"/>
              </w:rPr>
              <w:t>Facts</w:t>
            </w:r>
          </w:p>
          <w:p w:rsidR="00247933" w:rsidRPr="00E0036F" w:rsidRDefault="00247933" w:rsidP="00846801">
            <w:pPr>
              <w:pBdr>
                <w:top w:val="nil"/>
                <w:left w:val="nil"/>
                <w:bottom w:val="nil"/>
                <w:right w:val="nil"/>
                <w:between w:val="nil"/>
              </w:pBdr>
              <w:spacing w:line="259" w:lineRule="auto"/>
              <w:ind w:left="454" w:hanging="777"/>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left="454" w:hanging="777"/>
              <w:jc w:val="both"/>
              <w:rPr>
                <w:rFonts w:ascii="Arial" w:eastAsia="Arial" w:hAnsi="Arial" w:cs="Arial"/>
                <w:color w:val="000000"/>
                <w:sz w:val="20"/>
                <w:szCs w:val="20"/>
              </w:rPr>
            </w:pPr>
            <w:r w:rsidRPr="00E0036F">
              <w:rPr>
                <w:rFonts w:ascii="Arial" w:eastAsia="Arial" w:hAnsi="Arial" w:cs="Arial"/>
                <w:color w:val="000000"/>
                <w:sz w:val="20"/>
                <w:szCs w:val="20"/>
              </w:rPr>
              <w:t xml:space="preserve">      A2. The entity’s charter states that redemptions are made at the sole discretion of the entity. The charter does not provide further elaboration or limitation on that discretion. In its history, the entity has never refused to redeem members’ shares, although the governing board has the right to do so.</w:t>
            </w:r>
          </w:p>
          <w:p w:rsidR="00247933" w:rsidRPr="00E0036F" w:rsidRDefault="00247933" w:rsidP="00846801">
            <w:pPr>
              <w:pBdr>
                <w:top w:val="nil"/>
                <w:left w:val="nil"/>
                <w:bottom w:val="nil"/>
                <w:right w:val="nil"/>
                <w:between w:val="nil"/>
              </w:pBdr>
              <w:spacing w:line="259" w:lineRule="auto"/>
              <w:ind w:left="731" w:firstLine="432"/>
              <w:jc w:val="both"/>
              <w:rPr>
                <w:rFonts w:ascii="Arial" w:eastAsia="Arial" w:hAnsi="Arial" w:cs="Arial"/>
                <w:color w:val="000000"/>
                <w:sz w:val="20"/>
                <w:szCs w:val="20"/>
              </w:rPr>
            </w:pPr>
          </w:p>
          <w:p w:rsidR="00247933" w:rsidRPr="00E0036F" w:rsidRDefault="003559DB" w:rsidP="00846801">
            <w:pPr>
              <w:pBdr>
                <w:top w:val="nil"/>
                <w:left w:val="nil"/>
                <w:bottom w:val="nil"/>
                <w:right w:val="nil"/>
                <w:between w:val="nil"/>
              </w:pBdr>
              <w:spacing w:line="259" w:lineRule="auto"/>
              <w:ind w:firstLine="432"/>
              <w:jc w:val="both"/>
              <w:rPr>
                <w:rFonts w:ascii="Arial" w:eastAsia="Arial" w:hAnsi="Arial" w:cs="Arial"/>
                <w:b/>
                <w:sz w:val="20"/>
                <w:szCs w:val="20"/>
              </w:rPr>
            </w:pPr>
            <w:r w:rsidRPr="00E0036F">
              <w:rPr>
                <w:rFonts w:ascii="Arial" w:eastAsia="Arial" w:hAnsi="Arial" w:cs="Arial"/>
                <w:b/>
                <w:sz w:val="20"/>
                <w:szCs w:val="20"/>
              </w:rPr>
              <w:t>Classification</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left="454" w:hanging="851"/>
              <w:jc w:val="both"/>
              <w:rPr>
                <w:rFonts w:ascii="Arial" w:eastAsia="Arial" w:hAnsi="Arial" w:cs="Arial"/>
                <w:color w:val="000000"/>
                <w:sz w:val="20"/>
                <w:szCs w:val="20"/>
              </w:rPr>
            </w:pPr>
            <w:r w:rsidRPr="00E0036F">
              <w:rPr>
                <w:rFonts w:ascii="Arial" w:eastAsia="Arial" w:hAnsi="Arial" w:cs="Arial"/>
                <w:color w:val="000000"/>
                <w:sz w:val="20"/>
                <w:szCs w:val="20"/>
              </w:rPr>
              <w:t xml:space="preserve">      </w:t>
            </w:r>
            <w:r w:rsidR="00846801" w:rsidRPr="00E0036F">
              <w:rPr>
                <w:rFonts w:ascii="Arial" w:eastAsia="Arial" w:hAnsi="Arial" w:cs="Arial"/>
                <w:color w:val="000000"/>
                <w:sz w:val="20"/>
                <w:szCs w:val="20"/>
              </w:rPr>
              <w:t xml:space="preserve"> </w:t>
            </w:r>
            <w:r w:rsidRPr="00E0036F">
              <w:rPr>
                <w:rFonts w:ascii="Arial" w:eastAsia="Arial" w:hAnsi="Arial" w:cs="Arial"/>
                <w:color w:val="000000"/>
                <w:sz w:val="20"/>
                <w:szCs w:val="20"/>
              </w:rPr>
              <w:t xml:space="preserve">A3. The entity has the unconditional right to refuse redemption and the members’ shares are equity. IAS 32 establishes principles for classification that are based on the terms of the financial instrument </w:t>
            </w:r>
            <w:r w:rsidRPr="00E0036F">
              <w:rPr>
                <w:rFonts w:ascii="Arial" w:eastAsia="Arial" w:hAnsi="Arial" w:cs="Arial"/>
                <w:color w:val="000000"/>
                <w:sz w:val="20"/>
                <w:szCs w:val="20"/>
              </w:rPr>
              <w:lastRenderedPageBreak/>
              <w:t>and notes that a history of, or intention to make, discretionary payments does not trigger liability classification. Paragraph AG26 of IAS 32 states:</w:t>
            </w:r>
          </w:p>
          <w:p w:rsidR="00247933" w:rsidRPr="00E0036F" w:rsidRDefault="00247933" w:rsidP="00846801">
            <w:pPr>
              <w:pBdr>
                <w:top w:val="nil"/>
                <w:left w:val="nil"/>
                <w:bottom w:val="nil"/>
                <w:right w:val="nil"/>
                <w:between w:val="nil"/>
              </w:pBdr>
              <w:spacing w:line="259" w:lineRule="auto"/>
              <w:ind w:left="454" w:hanging="851"/>
              <w:jc w:val="both"/>
              <w:rPr>
                <w:rFonts w:ascii="Arial" w:eastAsia="Arial" w:hAnsi="Arial" w:cs="Arial"/>
                <w:color w:val="000000"/>
                <w:sz w:val="20"/>
                <w:szCs w:val="20"/>
              </w:rPr>
            </w:pPr>
          </w:p>
          <w:p w:rsidR="00247933" w:rsidRPr="00E0036F" w:rsidRDefault="003559DB" w:rsidP="00846801">
            <w:pPr>
              <w:spacing w:line="259" w:lineRule="auto"/>
              <w:ind w:left="1021"/>
              <w:jc w:val="both"/>
              <w:rPr>
                <w:rFonts w:ascii="Arial" w:eastAsia="Arial" w:hAnsi="Arial" w:cs="Arial"/>
                <w:color w:val="000000"/>
                <w:sz w:val="18"/>
                <w:szCs w:val="18"/>
              </w:rPr>
            </w:pPr>
            <w:r w:rsidRPr="00E0036F">
              <w:rPr>
                <w:rFonts w:ascii="Arial" w:eastAsia="Arial" w:hAnsi="Arial" w:cs="Arial"/>
                <w:color w:val="000000"/>
                <w:sz w:val="18"/>
                <w:szCs w:val="18"/>
              </w:rPr>
              <w:t>When preference shares are non</w:t>
            </w:r>
            <w:r w:rsidRPr="00E0036F">
              <w:rPr>
                <w:rFonts w:ascii="Cambria Math" w:eastAsia="Cambria Math" w:hAnsi="Cambria Math" w:cs="Cambria Math"/>
                <w:color w:val="000000"/>
                <w:sz w:val="18"/>
                <w:szCs w:val="18"/>
              </w:rPr>
              <w:t>‑</w:t>
            </w:r>
            <w:r w:rsidRPr="00E0036F">
              <w:rPr>
                <w:rFonts w:ascii="Arial" w:eastAsia="Arial" w:hAnsi="Arial" w:cs="Arial"/>
                <w:color w:val="000000"/>
                <w:sz w:val="18"/>
                <w:szCs w:val="18"/>
              </w:rPr>
              <w:t>redeemable, the appropriate classification is determined by the other rights that attach to them. Classification is based on an assessment of the substance of the contractual arrangements and the definitions of a financial liability and an equity instrument. When distributions to holders of the preference shares, whether cumulative or non</w:t>
            </w:r>
            <w:r w:rsidRPr="00E0036F">
              <w:rPr>
                <w:rFonts w:ascii="Cambria Math" w:eastAsia="Cambria Math" w:hAnsi="Cambria Math" w:cs="Cambria Math"/>
                <w:color w:val="000000"/>
                <w:sz w:val="18"/>
                <w:szCs w:val="18"/>
              </w:rPr>
              <w:t>‑</w:t>
            </w:r>
            <w:r w:rsidRPr="00E0036F">
              <w:rPr>
                <w:rFonts w:ascii="Arial" w:eastAsia="Arial" w:hAnsi="Arial" w:cs="Arial"/>
                <w:color w:val="000000"/>
                <w:sz w:val="18"/>
                <w:szCs w:val="18"/>
              </w:rPr>
              <w:t>cumulative, are at the discretion of the issuer, the shares are equity instruments. The classification of a preference share as an equity instrument or a financial liability is not affected by, for example:</w:t>
            </w:r>
          </w:p>
          <w:p w:rsidR="00247933" w:rsidRPr="00E0036F" w:rsidRDefault="00247933" w:rsidP="00846801">
            <w:pPr>
              <w:spacing w:line="259" w:lineRule="auto"/>
              <w:ind w:left="1021"/>
              <w:jc w:val="both"/>
              <w:rPr>
                <w:rFonts w:ascii="Arial" w:eastAsia="Arial" w:hAnsi="Arial" w:cs="Arial"/>
                <w:color w:val="000000"/>
                <w:sz w:val="18"/>
                <w:szCs w:val="18"/>
              </w:rPr>
            </w:pPr>
          </w:p>
          <w:p w:rsidR="00247933" w:rsidRPr="00E0036F" w:rsidRDefault="003559DB" w:rsidP="00846801">
            <w:pPr>
              <w:numPr>
                <w:ilvl w:val="0"/>
                <w:numId w:val="6"/>
              </w:numPr>
              <w:pBdr>
                <w:top w:val="nil"/>
                <w:left w:val="nil"/>
                <w:bottom w:val="nil"/>
                <w:right w:val="nil"/>
                <w:between w:val="nil"/>
              </w:pBdr>
              <w:tabs>
                <w:tab w:val="left" w:pos="1865"/>
              </w:tabs>
              <w:spacing w:line="259" w:lineRule="auto"/>
              <w:ind w:left="1021" w:firstLine="0"/>
              <w:jc w:val="both"/>
              <w:rPr>
                <w:rFonts w:ascii="Arial" w:eastAsia="Arial" w:hAnsi="Arial" w:cs="Arial"/>
                <w:color w:val="000000"/>
                <w:sz w:val="18"/>
                <w:szCs w:val="18"/>
              </w:rPr>
            </w:pPr>
            <w:r w:rsidRPr="00E0036F">
              <w:rPr>
                <w:rFonts w:ascii="Arial" w:eastAsia="Arial" w:hAnsi="Arial" w:cs="Arial"/>
                <w:color w:val="000000"/>
                <w:sz w:val="18"/>
                <w:szCs w:val="18"/>
              </w:rPr>
              <w:t>a history of making distributions;</w:t>
            </w:r>
          </w:p>
          <w:p w:rsidR="00247933" w:rsidRPr="00E0036F" w:rsidRDefault="003559DB" w:rsidP="00846801">
            <w:pPr>
              <w:numPr>
                <w:ilvl w:val="0"/>
                <w:numId w:val="6"/>
              </w:numPr>
              <w:pBdr>
                <w:top w:val="nil"/>
                <w:left w:val="nil"/>
                <w:bottom w:val="nil"/>
                <w:right w:val="nil"/>
                <w:between w:val="nil"/>
              </w:pBdr>
              <w:tabs>
                <w:tab w:val="left" w:pos="1865"/>
              </w:tabs>
              <w:spacing w:line="259" w:lineRule="auto"/>
              <w:ind w:left="1021" w:firstLine="0"/>
              <w:jc w:val="both"/>
              <w:rPr>
                <w:rFonts w:ascii="Arial" w:eastAsia="Arial" w:hAnsi="Arial" w:cs="Arial"/>
                <w:color w:val="000000"/>
                <w:sz w:val="18"/>
                <w:szCs w:val="18"/>
              </w:rPr>
            </w:pPr>
            <w:r w:rsidRPr="00E0036F">
              <w:rPr>
                <w:rFonts w:ascii="Arial" w:eastAsia="Arial" w:hAnsi="Arial" w:cs="Arial"/>
                <w:color w:val="000000"/>
                <w:sz w:val="18"/>
                <w:szCs w:val="18"/>
              </w:rPr>
              <w:t>an intention to make distributions in the future;</w:t>
            </w:r>
          </w:p>
          <w:p w:rsidR="00247933" w:rsidRPr="00E0036F" w:rsidRDefault="003559DB" w:rsidP="00BB4936">
            <w:pPr>
              <w:numPr>
                <w:ilvl w:val="0"/>
                <w:numId w:val="6"/>
              </w:numPr>
              <w:pBdr>
                <w:top w:val="nil"/>
                <w:left w:val="nil"/>
                <w:bottom w:val="nil"/>
                <w:right w:val="nil"/>
                <w:between w:val="nil"/>
              </w:pBdr>
              <w:tabs>
                <w:tab w:val="left" w:pos="1865"/>
              </w:tabs>
              <w:spacing w:line="259" w:lineRule="auto"/>
              <w:ind w:left="1878" w:hanging="857"/>
              <w:jc w:val="both"/>
              <w:rPr>
                <w:rFonts w:ascii="Arial" w:eastAsia="Arial" w:hAnsi="Arial" w:cs="Arial"/>
                <w:color w:val="000000"/>
                <w:sz w:val="18"/>
                <w:szCs w:val="18"/>
              </w:rPr>
            </w:pPr>
            <w:r w:rsidRPr="00E0036F">
              <w:rPr>
                <w:rFonts w:ascii="Arial" w:eastAsia="Arial" w:hAnsi="Arial" w:cs="Arial"/>
                <w:color w:val="000000"/>
                <w:sz w:val="18"/>
                <w:szCs w:val="18"/>
              </w:rPr>
              <w:t>a possible negative impact on the price of ordinary shares of the issuer if distributions are not made (because of restrictions on paying dividends on the ordinary shares if dividends are not paid on the preference shares);</w:t>
            </w:r>
          </w:p>
          <w:p w:rsidR="00247933" w:rsidRPr="00E0036F" w:rsidRDefault="003559DB" w:rsidP="00846801">
            <w:pPr>
              <w:numPr>
                <w:ilvl w:val="0"/>
                <w:numId w:val="6"/>
              </w:numPr>
              <w:pBdr>
                <w:top w:val="nil"/>
                <w:left w:val="nil"/>
                <w:bottom w:val="nil"/>
                <w:right w:val="nil"/>
                <w:between w:val="nil"/>
              </w:pBdr>
              <w:tabs>
                <w:tab w:val="left" w:pos="1865"/>
              </w:tabs>
              <w:spacing w:line="259" w:lineRule="auto"/>
              <w:ind w:left="1021" w:firstLine="0"/>
              <w:jc w:val="both"/>
              <w:rPr>
                <w:rFonts w:ascii="Arial" w:eastAsia="Arial" w:hAnsi="Arial" w:cs="Arial"/>
                <w:color w:val="000000"/>
                <w:sz w:val="18"/>
                <w:szCs w:val="18"/>
              </w:rPr>
            </w:pPr>
            <w:r w:rsidRPr="00E0036F">
              <w:rPr>
                <w:rFonts w:ascii="Arial" w:eastAsia="Arial" w:hAnsi="Arial" w:cs="Arial"/>
                <w:color w:val="000000"/>
                <w:sz w:val="18"/>
                <w:szCs w:val="18"/>
              </w:rPr>
              <w:t>the amount of the issuer’s reserves;</w:t>
            </w:r>
            <w:r w:rsidR="00BB4936" w:rsidRPr="00E0036F">
              <w:rPr>
                <w:rFonts w:ascii="Arial" w:eastAsia="Arial" w:hAnsi="Arial" w:cs="Arial"/>
                <w:color w:val="000000"/>
                <w:sz w:val="18"/>
                <w:szCs w:val="18"/>
              </w:rPr>
              <w:t xml:space="preserve"> </w:t>
            </w:r>
          </w:p>
          <w:p w:rsidR="00247933" w:rsidRPr="00E0036F" w:rsidRDefault="003559DB" w:rsidP="00846801">
            <w:pPr>
              <w:numPr>
                <w:ilvl w:val="0"/>
                <w:numId w:val="6"/>
              </w:numPr>
              <w:pBdr>
                <w:top w:val="nil"/>
                <w:left w:val="nil"/>
                <w:bottom w:val="nil"/>
                <w:right w:val="nil"/>
                <w:between w:val="nil"/>
              </w:pBdr>
              <w:tabs>
                <w:tab w:val="left" w:pos="1865"/>
              </w:tabs>
              <w:spacing w:line="259" w:lineRule="auto"/>
              <w:ind w:left="1021" w:firstLine="0"/>
              <w:jc w:val="both"/>
              <w:rPr>
                <w:rFonts w:ascii="Arial" w:eastAsia="Arial" w:hAnsi="Arial" w:cs="Arial"/>
                <w:color w:val="000000"/>
                <w:sz w:val="18"/>
                <w:szCs w:val="18"/>
              </w:rPr>
            </w:pPr>
            <w:r w:rsidRPr="00E0036F">
              <w:rPr>
                <w:rFonts w:ascii="Arial" w:eastAsia="Arial" w:hAnsi="Arial" w:cs="Arial"/>
                <w:color w:val="000000"/>
                <w:sz w:val="18"/>
                <w:szCs w:val="18"/>
              </w:rPr>
              <w:t>an issuer’s expectation of a profit or loss for a period; or</w:t>
            </w:r>
          </w:p>
          <w:p w:rsidR="0006710F" w:rsidRPr="00E0036F" w:rsidRDefault="0006710F" w:rsidP="0006710F">
            <w:pPr>
              <w:pBdr>
                <w:top w:val="nil"/>
                <w:left w:val="nil"/>
                <w:bottom w:val="nil"/>
                <w:right w:val="nil"/>
                <w:between w:val="nil"/>
              </w:pBdr>
              <w:tabs>
                <w:tab w:val="left" w:pos="1865"/>
              </w:tabs>
              <w:spacing w:line="259" w:lineRule="auto"/>
              <w:ind w:left="1021"/>
              <w:jc w:val="both"/>
              <w:rPr>
                <w:rFonts w:ascii="Arial" w:eastAsia="Arial" w:hAnsi="Arial" w:cs="Arial"/>
                <w:color w:val="000000"/>
                <w:sz w:val="18"/>
                <w:szCs w:val="18"/>
              </w:rPr>
            </w:pPr>
          </w:p>
          <w:p w:rsidR="00247933" w:rsidRPr="00E0036F" w:rsidRDefault="003559DB" w:rsidP="00BB4936">
            <w:pPr>
              <w:numPr>
                <w:ilvl w:val="0"/>
                <w:numId w:val="6"/>
              </w:numPr>
              <w:pBdr>
                <w:top w:val="nil"/>
                <w:left w:val="nil"/>
                <w:bottom w:val="nil"/>
                <w:right w:val="nil"/>
                <w:between w:val="nil"/>
              </w:pBdr>
              <w:tabs>
                <w:tab w:val="left" w:pos="1865"/>
              </w:tabs>
              <w:spacing w:line="259" w:lineRule="auto"/>
              <w:ind w:left="1878" w:hanging="857"/>
              <w:jc w:val="both"/>
              <w:rPr>
                <w:rFonts w:ascii="Arial" w:eastAsia="Arial" w:hAnsi="Arial" w:cs="Arial"/>
                <w:color w:val="000000"/>
                <w:sz w:val="18"/>
                <w:szCs w:val="18"/>
              </w:rPr>
            </w:pPr>
            <w:proofErr w:type="gramStart"/>
            <w:r w:rsidRPr="00E0036F">
              <w:rPr>
                <w:rFonts w:ascii="Arial" w:eastAsia="Arial" w:hAnsi="Arial" w:cs="Arial"/>
                <w:color w:val="000000"/>
                <w:sz w:val="18"/>
                <w:szCs w:val="18"/>
              </w:rPr>
              <w:t>an</w:t>
            </w:r>
            <w:proofErr w:type="gramEnd"/>
            <w:r w:rsidRPr="00E0036F">
              <w:rPr>
                <w:rFonts w:ascii="Arial" w:eastAsia="Arial" w:hAnsi="Arial" w:cs="Arial"/>
                <w:color w:val="000000"/>
                <w:sz w:val="18"/>
                <w:szCs w:val="18"/>
              </w:rPr>
              <w:t xml:space="preserve"> ability or inability of the issuer to influence the amount of its profit or loss for the period</w:t>
            </w:r>
            <w:r w:rsidR="00B2628A" w:rsidRPr="00E0036F">
              <w:rPr>
                <w:rFonts w:ascii="Arial" w:eastAsia="Arial" w:hAnsi="Arial" w:cs="Arial"/>
                <w:color w:val="000000"/>
                <w:sz w:val="18"/>
                <w:szCs w:val="18"/>
              </w:rPr>
              <w:t>.</w:t>
            </w:r>
          </w:p>
          <w:p w:rsidR="00247933" w:rsidRPr="00E0036F" w:rsidRDefault="00247933" w:rsidP="00AD3A25">
            <w:pPr>
              <w:spacing w:line="259" w:lineRule="auto"/>
              <w:ind w:left="1440"/>
              <w:rPr>
                <w:rFonts w:ascii="Arial" w:eastAsia="Arial" w:hAnsi="Arial" w:cs="Arial"/>
                <w:color w:val="000000"/>
                <w:sz w:val="20"/>
                <w:szCs w:val="20"/>
              </w:rPr>
            </w:pPr>
          </w:p>
          <w:p w:rsidR="00247933" w:rsidRPr="00E0036F" w:rsidRDefault="003559DB" w:rsidP="00846801">
            <w:pPr>
              <w:pBdr>
                <w:top w:val="nil"/>
                <w:left w:val="nil"/>
                <w:bottom w:val="nil"/>
                <w:right w:val="nil"/>
                <w:between w:val="nil"/>
              </w:pBdr>
              <w:spacing w:line="259" w:lineRule="auto"/>
              <w:ind w:firstLine="454"/>
              <w:jc w:val="both"/>
              <w:rPr>
                <w:rFonts w:ascii="Arial" w:eastAsia="Arial" w:hAnsi="Arial" w:cs="Arial"/>
                <w:b/>
                <w:sz w:val="20"/>
                <w:szCs w:val="20"/>
              </w:rPr>
            </w:pPr>
            <w:r w:rsidRPr="00E0036F">
              <w:rPr>
                <w:rFonts w:ascii="Arial" w:eastAsia="Arial" w:hAnsi="Arial" w:cs="Arial"/>
                <w:b/>
                <w:sz w:val="20"/>
                <w:szCs w:val="20"/>
              </w:rPr>
              <w:t>Example 2</w:t>
            </w:r>
          </w:p>
          <w:p w:rsidR="00247933" w:rsidRPr="00E0036F" w:rsidRDefault="00247933" w:rsidP="00846801">
            <w:pPr>
              <w:pBdr>
                <w:top w:val="nil"/>
                <w:left w:val="nil"/>
                <w:bottom w:val="nil"/>
                <w:right w:val="nil"/>
                <w:between w:val="nil"/>
              </w:pBdr>
              <w:spacing w:line="259" w:lineRule="auto"/>
              <w:ind w:firstLine="454"/>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firstLine="454"/>
              <w:jc w:val="both"/>
              <w:rPr>
                <w:rFonts w:ascii="Arial" w:eastAsia="Arial" w:hAnsi="Arial" w:cs="Arial"/>
                <w:b/>
                <w:sz w:val="20"/>
                <w:szCs w:val="20"/>
              </w:rPr>
            </w:pPr>
            <w:r w:rsidRPr="00E0036F">
              <w:rPr>
                <w:rFonts w:ascii="Arial" w:eastAsia="Arial" w:hAnsi="Arial" w:cs="Arial"/>
                <w:b/>
                <w:sz w:val="20"/>
                <w:szCs w:val="20"/>
              </w:rPr>
              <w:t>Facts</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left="454" w:hanging="851"/>
              <w:jc w:val="both"/>
              <w:rPr>
                <w:rFonts w:ascii="Arial" w:eastAsia="Arial" w:hAnsi="Arial" w:cs="Arial"/>
                <w:color w:val="000000"/>
                <w:sz w:val="20"/>
                <w:szCs w:val="20"/>
              </w:rPr>
            </w:pPr>
            <w:r w:rsidRPr="00E0036F">
              <w:rPr>
                <w:rFonts w:ascii="Arial" w:eastAsia="Arial" w:hAnsi="Arial" w:cs="Arial"/>
                <w:color w:val="000000"/>
                <w:sz w:val="20"/>
                <w:szCs w:val="20"/>
              </w:rPr>
              <w:t xml:space="preserve">      </w:t>
            </w:r>
            <w:r w:rsidR="00846801" w:rsidRPr="00E0036F">
              <w:rPr>
                <w:rFonts w:ascii="Arial" w:eastAsia="Arial" w:hAnsi="Arial" w:cs="Arial"/>
                <w:color w:val="000000"/>
                <w:sz w:val="20"/>
                <w:szCs w:val="20"/>
              </w:rPr>
              <w:t xml:space="preserve"> </w:t>
            </w:r>
            <w:r w:rsidRPr="00E0036F">
              <w:rPr>
                <w:rFonts w:ascii="Arial" w:eastAsia="Arial" w:hAnsi="Arial" w:cs="Arial"/>
                <w:color w:val="000000"/>
                <w:sz w:val="20"/>
                <w:szCs w:val="20"/>
              </w:rPr>
              <w:t>A4. The entity’s charter states that redemptions are made at the sole discretion of the entity. However, the charter further states that approval of a redemption request is automatic unless the entity is unable to make payments without violating local regulations regarding liquidity or reserves.</w:t>
            </w: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247933" w:rsidRPr="00E0036F" w:rsidRDefault="0006710F" w:rsidP="0006710F">
            <w:pPr>
              <w:pBdr>
                <w:top w:val="nil"/>
                <w:left w:val="nil"/>
                <w:bottom w:val="nil"/>
                <w:right w:val="nil"/>
                <w:between w:val="nil"/>
              </w:pBdr>
              <w:spacing w:line="259" w:lineRule="auto"/>
              <w:jc w:val="both"/>
              <w:rPr>
                <w:rFonts w:ascii="Arial" w:eastAsia="Arial" w:hAnsi="Arial" w:cs="Arial"/>
                <w:b/>
                <w:sz w:val="20"/>
                <w:szCs w:val="20"/>
              </w:rPr>
            </w:pPr>
            <w:r w:rsidRPr="00E0036F">
              <w:rPr>
                <w:rFonts w:ascii="Arial" w:eastAsia="Arial" w:hAnsi="Arial" w:cs="Arial"/>
                <w:b/>
                <w:sz w:val="20"/>
                <w:szCs w:val="20"/>
              </w:rPr>
              <w:t xml:space="preserve">      </w:t>
            </w:r>
            <w:r w:rsidR="003559DB" w:rsidRPr="00E0036F">
              <w:rPr>
                <w:rFonts w:ascii="Arial" w:eastAsia="Arial" w:hAnsi="Arial" w:cs="Arial"/>
                <w:b/>
                <w:sz w:val="20"/>
                <w:szCs w:val="20"/>
              </w:rPr>
              <w:t>Classification</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left="349" w:hanging="700"/>
              <w:jc w:val="both"/>
              <w:rPr>
                <w:rFonts w:ascii="Arial" w:eastAsia="Arial" w:hAnsi="Arial" w:cs="Arial"/>
                <w:color w:val="000000"/>
                <w:sz w:val="20"/>
                <w:szCs w:val="20"/>
              </w:rPr>
            </w:pPr>
            <w:r w:rsidRPr="00E0036F">
              <w:rPr>
                <w:rFonts w:ascii="Arial" w:eastAsia="Arial" w:hAnsi="Arial" w:cs="Arial"/>
                <w:color w:val="000000"/>
                <w:sz w:val="20"/>
                <w:szCs w:val="20"/>
              </w:rPr>
              <w:t xml:space="preserve">      A5. The entity does not have the unconditional right to refuse redemption </w:t>
            </w:r>
            <w:r w:rsidRPr="00E0036F">
              <w:rPr>
                <w:rFonts w:ascii="Arial" w:eastAsia="Arial" w:hAnsi="Arial" w:cs="Arial"/>
                <w:color w:val="000000"/>
                <w:sz w:val="20"/>
                <w:szCs w:val="20"/>
              </w:rPr>
              <w:lastRenderedPageBreak/>
              <w:t>and the members’ shares are a financial liability. The restrictions described above are based on the entity’s ability to settle its liability. They restrict redemptions only if the liquidity or reserve requirements are not met and then only until such time as they are met. Hence, they do not, under the principles established in IAS 32, result in the classification of the financial instrument as equity. Paragraph AG25 of IAS 32 states</w:t>
            </w:r>
            <w:r w:rsidR="00B2628A" w:rsidRPr="00E0036F">
              <w:rPr>
                <w:rFonts w:ascii="Arial" w:eastAsia="Arial" w:hAnsi="Arial" w:cs="Arial"/>
                <w:color w:val="000000"/>
                <w:sz w:val="20"/>
                <w:szCs w:val="20"/>
              </w:rPr>
              <w:t>:</w:t>
            </w:r>
          </w:p>
          <w:p w:rsidR="00247933" w:rsidRPr="00E0036F" w:rsidRDefault="00247933" w:rsidP="00AD3A25">
            <w:pPr>
              <w:pBdr>
                <w:top w:val="nil"/>
                <w:left w:val="nil"/>
                <w:bottom w:val="nil"/>
                <w:right w:val="nil"/>
                <w:between w:val="nil"/>
              </w:pBdr>
              <w:spacing w:line="259" w:lineRule="auto"/>
              <w:jc w:val="both"/>
              <w:rPr>
                <w:rFonts w:ascii="Arial" w:eastAsia="Arial" w:hAnsi="Arial" w:cs="Arial"/>
                <w:sz w:val="20"/>
                <w:szCs w:val="20"/>
              </w:rPr>
            </w:pPr>
          </w:p>
          <w:p w:rsidR="0006710F" w:rsidRPr="00E0036F" w:rsidRDefault="0006710F" w:rsidP="00AD3A25">
            <w:pPr>
              <w:pBdr>
                <w:top w:val="nil"/>
                <w:left w:val="nil"/>
                <w:bottom w:val="nil"/>
                <w:right w:val="nil"/>
                <w:between w:val="nil"/>
              </w:pBdr>
              <w:spacing w:line="259" w:lineRule="auto"/>
              <w:jc w:val="both"/>
              <w:rPr>
                <w:rFonts w:ascii="Arial" w:eastAsia="Arial" w:hAnsi="Arial" w:cs="Arial"/>
                <w:sz w:val="20"/>
                <w:szCs w:val="20"/>
              </w:rPr>
            </w:pPr>
          </w:p>
          <w:p w:rsidR="00247933" w:rsidRPr="00E0036F" w:rsidRDefault="003559DB" w:rsidP="002A42A0">
            <w:pPr>
              <w:spacing w:line="259" w:lineRule="auto"/>
              <w:ind w:left="937" w:firstLine="14"/>
              <w:jc w:val="both"/>
              <w:rPr>
                <w:rFonts w:ascii="Arial" w:eastAsia="Arial" w:hAnsi="Arial" w:cs="Arial"/>
                <w:color w:val="000000"/>
                <w:sz w:val="18"/>
                <w:szCs w:val="18"/>
              </w:rPr>
            </w:pPr>
            <w:r w:rsidRPr="00E0036F">
              <w:rPr>
                <w:rFonts w:ascii="Arial" w:eastAsia="Arial" w:hAnsi="Arial" w:cs="Arial"/>
                <w:color w:val="000000"/>
                <w:sz w:val="18"/>
                <w:szCs w:val="18"/>
              </w:rPr>
              <w:t xml:space="preserve">Preference shares may be issued with various rights. In determining whether a preference share is a financial liability or an equity instrument, an issuer assesses the particular rights attaching to the share to determine whether it exhibits the fundamental characteristic of a financial liability. For example, a preference share that provides for redemption on a specific date or at the option of the holder contains a financial liability because the issuer has an obligation to transfer financial assets to the holder of the share. </w:t>
            </w:r>
            <w:r w:rsidRPr="00E0036F">
              <w:rPr>
                <w:rFonts w:ascii="Arial" w:eastAsia="Arial" w:hAnsi="Arial" w:cs="Arial"/>
                <w:i/>
                <w:color w:val="000000"/>
                <w:sz w:val="18"/>
                <w:szCs w:val="18"/>
              </w:rPr>
              <w:t>The potential inability of an issuer to satisfy an obligation to redeem a preference share when contractually required to do so, whether because of a lack of funds, a statutory restriction or insufficient profits or reserves, does not negate the obligation</w:t>
            </w:r>
            <w:r w:rsidRPr="00E0036F">
              <w:rPr>
                <w:rFonts w:ascii="Arial" w:eastAsia="Arial" w:hAnsi="Arial" w:cs="Arial"/>
                <w:color w:val="000000"/>
                <w:sz w:val="18"/>
                <w:szCs w:val="18"/>
              </w:rPr>
              <w:t>. [Emphasis added]</w:t>
            </w:r>
          </w:p>
          <w:p w:rsidR="00247933" w:rsidRPr="00E0036F" w:rsidRDefault="00247933" w:rsidP="00AD3A25">
            <w:pPr>
              <w:spacing w:line="259" w:lineRule="auto"/>
              <w:ind w:left="1440"/>
              <w:jc w:val="both"/>
              <w:rPr>
                <w:rFonts w:ascii="Arial" w:eastAsia="Arial" w:hAnsi="Arial" w:cs="Arial"/>
                <w:sz w:val="20"/>
                <w:szCs w:val="20"/>
              </w:rPr>
            </w:pPr>
          </w:p>
          <w:p w:rsidR="00247933" w:rsidRPr="00E0036F" w:rsidRDefault="00247933" w:rsidP="00AD3A25">
            <w:pPr>
              <w:spacing w:line="259" w:lineRule="auto"/>
              <w:ind w:left="1440"/>
              <w:jc w:val="both"/>
              <w:rPr>
                <w:rFonts w:ascii="Arial" w:eastAsia="Arial" w:hAnsi="Arial" w:cs="Arial"/>
                <w:sz w:val="20"/>
                <w:szCs w:val="20"/>
              </w:rPr>
            </w:pPr>
          </w:p>
          <w:p w:rsidR="00247933" w:rsidRPr="00E0036F" w:rsidRDefault="003559DB" w:rsidP="00AD3A25">
            <w:pPr>
              <w:spacing w:line="259" w:lineRule="auto"/>
              <w:jc w:val="both"/>
              <w:rPr>
                <w:rFonts w:ascii="Arial" w:eastAsia="Arial" w:hAnsi="Arial" w:cs="Arial"/>
                <w:b/>
                <w:color w:val="000000"/>
                <w:u w:val="single"/>
              </w:rPr>
            </w:pPr>
            <w:r w:rsidRPr="00E0036F">
              <w:rPr>
                <w:rFonts w:ascii="Arial" w:eastAsia="Arial" w:hAnsi="Arial" w:cs="Arial"/>
                <w:b/>
                <w:u w:val="single"/>
              </w:rPr>
              <w:t>Prohibitions</w:t>
            </w:r>
            <w:r w:rsidRPr="00E0036F">
              <w:rPr>
                <w:rFonts w:ascii="Arial" w:eastAsia="Arial" w:hAnsi="Arial" w:cs="Arial"/>
                <w:b/>
                <w:color w:val="000000"/>
                <w:u w:val="single"/>
              </w:rPr>
              <w:t xml:space="preserve"> against redemption (paragraphs 8 and 9)</w:t>
            </w:r>
          </w:p>
          <w:p w:rsidR="00247933" w:rsidRPr="00E0036F" w:rsidRDefault="00247933" w:rsidP="00AD3A25">
            <w:pPr>
              <w:spacing w:line="259" w:lineRule="auto"/>
              <w:jc w:val="both"/>
              <w:rPr>
                <w:rFonts w:ascii="Arial" w:eastAsia="Arial" w:hAnsi="Arial" w:cs="Arial"/>
                <w:color w:val="000000"/>
                <w:sz w:val="20"/>
                <w:szCs w:val="20"/>
              </w:rPr>
            </w:pPr>
          </w:p>
          <w:p w:rsidR="00247933" w:rsidRPr="00E0036F" w:rsidRDefault="003559DB" w:rsidP="002A42A0">
            <w:pPr>
              <w:pBdr>
                <w:top w:val="nil"/>
                <w:left w:val="nil"/>
                <w:bottom w:val="nil"/>
                <w:right w:val="nil"/>
                <w:between w:val="nil"/>
              </w:pBdr>
              <w:spacing w:line="259" w:lineRule="auto"/>
              <w:ind w:firstLine="447"/>
              <w:jc w:val="both"/>
              <w:rPr>
                <w:rFonts w:ascii="Arial" w:eastAsia="Arial" w:hAnsi="Arial" w:cs="Arial"/>
                <w:b/>
                <w:sz w:val="20"/>
                <w:szCs w:val="20"/>
              </w:rPr>
            </w:pPr>
            <w:r w:rsidRPr="00E0036F">
              <w:rPr>
                <w:rFonts w:ascii="Arial" w:eastAsia="Arial" w:hAnsi="Arial" w:cs="Arial"/>
                <w:b/>
                <w:sz w:val="20"/>
                <w:szCs w:val="20"/>
              </w:rPr>
              <w:t>Example 3</w:t>
            </w:r>
          </w:p>
          <w:p w:rsidR="00247933" w:rsidRPr="00E0036F" w:rsidRDefault="00247933" w:rsidP="002A42A0">
            <w:pPr>
              <w:pBdr>
                <w:top w:val="nil"/>
                <w:left w:val="nil"/>
                <w:bottom w:val="nil"/>
                <w:right w:val="nil"/>
                <w:between w:val="nil"/>
              </w:pBdr>
              <w:spacing w:line="259" w:lineRule="auto"/>
              <w:ind w:firstLine="447"/>
              <w:jc w:val="both"/>
              <w:rPr>
                <w:rFonts w:ascii="Arial" w:eastAsia="Arial" w:hAnsi="Arial" w:cs="Arial"/>
                <w:sz w:val="20"/>
                <w:szCs w:val="20"/>
              </w:rPr>
            </w:pPr>
          </w:p>
          <w:p w:rsidR="00247933" w:rsidRPr="00E0036F" w:rsidRDefault="003559DB" w:rsidP="002A42A0">
            <w:pPr>
              <w:pBdr>
                <w:top w:val="nil"/>
                <w:left w:val="nil"/>
                <w:bottom w:val="nil"/>
                <w:right w:val="nil"/>
                <w:between w:val="nil"/>
              </w:pBdr>
              <w:spacing w:line="259" w:lineRule="auto"/>
              <w:ind w:firstLine="447"/>
              <w:jc w:val="both"/>
              <w:rPr>
                <w:rFonts w:ascii="Arial" w:eastAsia="Arial" w:hAnsi="Arial" w:cs="Arial"/>
                <w:b/>
                <w:sz w:val="20"/>
                <w:szCs w:val="20"/>
              </w:rPr>
            </w:pPr>
            <w:r w:rsidRPr="00E0036F">
              <w:rPr>
                <w:rFonts w:ascii="Arial" w:eastAsia="Arial" w:hAnsi="Arial" w:cs="Arial"/>
                <w:b/>
                <w:sz w:val="20"/>
                <w:szCs w:val="20"/>
              </w:rPr>
              <w:t>Facts</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FA4546">
            <w:pPr>
              <w:pBdr>
                <w:top w:val="nil"/>
                <w:left w:val="nil"/>
                <w:bottom w:val="nil"/>
                <w:right w:val="nil"/>
                <w:between w:val="nil"/>
              </w:pBdr>
              <w:spacing w:line="259" w:lineRule="auto"/>
              <w:ind w:left="377" w:hanging="742"/>
              <w:jc w:val="both"/>
              <w:rPr>
                <w:rFonts w:ascii="Arial" w:eastAsia="Arial" w:hAnsi="Arial" w:cs="Arial"/>
                <w:color w:val="000000"/>
                <w:sz w:val="20"/>
                <w:szCs w:val="20"/>
              </w:rPr>
            </w:pPr>
            <w:r w:rsidRPr="00E0036F">
              <w:rPr>
                <w:rFonts w:ascii="Arial" w:eastAsia="Arial" w:hAnsi="Arial" w:cs="Arial"/>
                <w:color w:val="000000"/>
                <w:sz w:val="20"/>
                <w:szCs w:val="20"/>
              </w:rPr>
              <w:t xml:space="preserve">      A6. </w:t>
            </w:r>
            <w:r w:rsidR="00EC058F" w:rsidRPr="00E0036F">
              <w:rPr>
                <w:rFonts w:ascii="Arial" w:eastAsia="Arial" w:hAnsi="Arial" w:cs="Arial"/>
                <w:color w:val="000000"/>
                <w:sz w:val="20"/>
                <w:szCs w:val="20"/>
              </w:rPr>
              <w:t xml:space="preserve">  </w:t>
            </w:r>
            <w:r w:rsidRPr="00E0036F">
              <w:rPr>
                <w:rFonts w:ascii="Arial" w:eastAsia="Arial" w:hAnsi="Arial" w:cs="Arial"/>
                <w:color w:val="000000"/>
                <w:sz w:val="20"/>
                <w:szCs w:val="20"/>
              </w:rPr>
              <w:t>A co</w:t>
            </w:r>
            <w:r w:rsidRPr="00E0036F">
              <w:rPr>
                <w:rFonts w:ascii="Cambria Math" w:eastAsia="Cambria Math" w:hAnsi="Cambria Math" w:cs="Cambria Math"/>
                <w:color w:val="000000"/>
                <w:sz w:val="20"/>
                <w:szCs w:val="20"/>
              </w:rPr>
              <w:t>‑</w:t>
            </w:r>
            <w:r w:rsidRPr="00E0036F">
              <w:rPr>
                <w:rFonts w:ascii="Arial" w:eastAsia="Arial" w:hAnsi="Arial" w:cs="Arial"/>
                <w:color w:val="000000"/>
                <w:sz w:val="20"/>
                <w:szCs w:val="20"/>
              </w:rPr>
              <w:t>operative entity has issued shares to its members at different dates and for different amounts in the past as follows:</w:t>
            </w: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06710F" w:rsidRPr="00E0036F" w:rsidRDefault="0006710F"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247933" w:rsidRPr="00E0036F" w:rsidRDefault="003559DB" w:rsidP="002A42A0">
            <w:pPr>
              <w:numPr>
                <w:ilvl w:val="0"/>
                <w:numId w:val="2"/>
              </w:numPr>
              <w:pBdr>
                <w:top w:val="nil"/>
                <w:left w:val="nil"/>
                <w:bottom w:val="nil"/>
                <w:right w:val="nil"/>
                <w:between w:val="nil"/>
              </w:pBdr>
              <w:spacing w:line="259" w:lineRule="auto"/>
              <w:ind w:left="731" w:hanging="284"/>
              <w:jc w:val="both"/>
              <w:rPr>
                <w:rFonts w:ascii="Arial" w:eastAsia="Arial" w:hAnsi="Arial" w:cs="Arial"/>
                <w:color w:val="000000"/>
                <w:sz w:val="20"/>
                <w:szCs w:val="20"/>
              </w:rPr>
            </w:pPr>
            <w:r w:rsidRPr="00E0036F">
              <w:rPr>
                <w:rFonts w:ascii="Arial" w:eastAsia="Arial" w:hAnsi="Arial" w:cs="Arial"/>
                <w:sz w:val="20"/>
                <w:szCs w:val="20"/>
              </w:rPr>
              <w:t xml:space="preserve">1 </w:t>
            </w:r>
            <w:r w:rsidRPr="00E0036F">
              <w:rPr>
                <w:rFonts w:ascii="Arial" w:eastAsia="Arial" w:hAnsi="Arial" w:cs="Arial"/>
                <w:color w:val="000000"/>
                <w:sz w:val="20"/>
                <w:szCs w:val="20"/>
              </w:rPr>
              <w:t>January 20X1 100,000 shares at CU10 each (CU1,000,000);</w:t>
            </w:r>
          </w:p>
          <w:p w:rsidR="002A42A0" w:rsidRPr="00E0036F" w:rsidRDefault="002A42A0" w:rsidP="0006710F">
            <w:pPr>
              <w:pBdr>
                <w:top w:val="nil"/>
                <w:left w:val="nil"/>
                <w:bottom w:val="nil"/>
                <w:right w:val="nil"/>
                <w:between w:val="nil"/>
              </w:pBdr>
              <w:spacing w:line="259" w:lineRule="auto"/>
              <w:ind w:left="731"/>
              <w:jc w:val="center"/>
              <w:rPr>
                <w:rFonts w:ascii="Arial" w:eastAsia="Arial" w:hAnsi="Arial" w:cs="Arial"/>
                <w:color w:val="000000"/>
                <w:sz w:val="20"/>
                <w:szCs w:val="20"/>
              </w:rPr>
            </w:pPr>
          </w:p>
          <w:p w:rsidR="0006710F" w:rsidRPr="00E0036F" w:rsidRDefault="0006710F" w:rsidP="0006710F">
            <w:pPr>
              <w:pBdr>
                <w:top w:val="nil"/>
                <w:left w:val="nil"/>
                <w:bottom w:val="nil"/>
                <w:right w:val="nil"/>
                <w:between w:val="nil"/>
              </w:pBdr>
              <w:spacing w:line="259" w:lineRule="auto"/>
              <w:ind w:left="731"/>
              <w:jc w:val="center"/>
              <w:rPr>
                <w:rFonts w:ascii="Arial" w:eastAsia="Arial" w:hAnsi="Arial" w:cs="Arial"/>
                <w:color w:val="000000"/>
                <w:sz w:val="20"/>
                <w:szCs w:val="20"/>
              </w:rPr>
            </w:pPr>
          </w:p>
          <w:p w:rsidR="00247933" w:rsidRPr="00E0036F" w:rsidRDefault="00EC058F" w:rsidP="002A42A0">
            <w:pPr>
              <w:numPr>
                <w:ilvl w:val="0"/>
                <w:numId w:val="2"/>
              </w:numPr>
              <w:pBdr>
                <w:top w:val="nil"/>
                <w:left w:val="nil"/>
                <w:bottom w:val="nil"/>
                <w:right w:val="nil"/>
                <w:between w:val="nil"/>
              </w:pBdr>
              <w:spacing w:line="259" w:lineRule="auto"/>
              <w:ind w:left="731" w:hanging="284"/>
              <w:jc w:val="both"/>
              <w:rPr>
                <w:rFonts w:ascii="Arial" w:eastAsia="Arial" w:hAnsi="Arial" w:cs="Arial"/>
                <w:color w:val="000000"/>
                <w:sz w:val="20"/>
                <w:szCs w:val="20"/>
              </w:rPr>
            </w:pPr>
            <w:r w:rsidRPr="00E0036F">
              <w:rPr>
                <w:rFonts w:ascii="Arial" w:eastAsia="Arial" w:hAnsi="Arial" w:cs="Arial"/>
                <w:color w:val="000000"/>
                <w:sz w:val="20"/>
                <w:szCs w:val="20"/>
              </w:rPr>
              <w:t xml:space="preserve">1 </w:t>
            </w:r>
            <w:r w:rsidR="003559DB" w:rsidRPr="00E0036F">
              <w:rPr>
                <w:rFonts w:ascii="Arial" w:eastAsia="Arial" w:hAnsi="Arial" w:cs="Arial"/>
                <w:color w:val="000000"/>
                <w:sz w:val="20"/>
                <w:szCs w:val="20"/>
              </w:rPr>
              <w:t>January 20X2 100,000 shares at CU20 each (a further CU2</w:t>
            </w:r>
            <w:proofErr w:type="gramStart"/>
            <w:r w:rsidR="003559DB" w:rsidRPr="00E0036F">
              <w:rPr>
                <w:rFonts w:ascii="Arial" w:eastAsia="Arial" w:hAnsi="Arial" w:cs="Arial"/>
                <w:color w:val="000000"/>
                <w:sz w:val="20"/>
                <w:szCs w:val="20"/>
              </w:rPr>
              <w:t>,000,000</w:t>
            </w:r>
            <w:proofErr w:type="gramEnd"/>
            <w:r w:rsidR="003559DB" w:rsidRPr="00E0036F">
              <w:rPr>
                <w:rFonts w:ascii="Arial" w:eastAsia="Arial" w:hAnsi="Arial" w:cs="Arial"/>
                <w:color w:val="000000"/>
                <w:sz w:val="20"/>
                <w:szCs w:val="20"/>
              </w:rPr>
              <w:t>, so that the total for shares issued is CU3,000,000).</w:t>
            </w:r>
          </w:p>
          <w:p w:rsidR="002A42A0" w:rsidRPr="00E0036F" w:rsidRDefault="002A42A0" w:rsidP="002A42A0">
            <w:pPr>
              <w:pBdr>
                <w:top w:val="nil"/>
                <w:left w:val="nil"/>
                <w:bottom w:val="nil"/>
                <w:right w:val="nil"/>
                <w:between w:val="nil"/>
              </w:pBdr>
              <w:spacing w:line="259" w:lineRule="auto"/>
              <w:jc w:val="both"/>
              <w:rPr>
                <w:rFonts w:ascii="Arial" w:eastAsia="Arial" w:hAnsi="Arial" w:cs="Arial"/>
                <w:color w:val="000000"/>
                <w:sz w:val="20"/>
                <w:szCs w:val="20"/>
              </w:rPr>
            </w:pPr>
          </w:p>
          <w:p w:rsidR="0006710F" w:rsidRPr="00E0036F" w:rsidRDefault="0006710F" w:rsidP="002A42A0">
            <w:pPr>
              <w:pBdr>
                <w:top w:val="nil"/>
                <w:left w:val="nil"/>
                <w:bottom w:val="nil"/>
                <w:right w:val="nil"/>
                <w:between w:val="nil"/>
              </w:pBdr>
              <w:spacing w:line="259" w:lineRule="auto"/>
              <w:ind w:left="454" w:hanging="7"/>
              <w:jc w:val="both"/>
              <w:rPr>
                <w:rFonts w:ascii="Arial" w:eastAsia="Arial" w:hAnsi="Arial" w:cs="Arial"/>
                <w:color w:val="000000"/>
                <w:sz w:val="20"/>
                <w:szCs w:val="20"/>
              </w:rPr>
            </w:pPr>
          </w:p>
          <w:p w:rsidR="00247933" w:rsidRPr="00E0036F" w:rsidRDefault="003559DB" w:rsidP="002A42A0">
            <w:pPr>
              <w:pBdr>
                <w:top w:val="nil"/>
                <w:left w:val="nil"/>
                <w:bottom w:val="nil"/>
                <w:right w:val="nil"/>
                <w:between w:val="nil"/>
              </w:pBdr>
              <w:spacing w:line="259" w:lineRule="auto"/>
              <w:ind w:left="454" w:hanging="7"/>
              <w:jc w:val="both"/>
              <w:rPr>
                <w:rFonts w:ascii="Arial" w:eastAsia="Arial" w:hAnsi="Arial" w:cs="Arial"/>
                <w:color w:val="000000"/>
                <w:sz w:val="20"/>
                <w:szCs w:val="20"/>
              </w:rPr>
            </w:pPr>
            <w:r w:rsidRPr="00E0036F">
              <w:rPr>
                <w:rFonts w:ascii="Arial" w:eastAsia="Arial" w:hAnsi="Arial" w:cs="Arial"/>
                <w:color w:val="000000"/>
                <w:sz w:val="20"/>
                <w:szCs w:val="20"/>
              </w:rPr>
              <w:t>Shares are redeemable on demand at the amount for which they were issued.</w:t>
            </w:r>
          </w:p>
          <w:p w:rsidR="00247933" w:rsidRPr="00E0036F" w:rsidRDefault="00247933" w:rsidP="0006710F">
            <w:pPr>
              <w:pBdr>
                <w:top w:val="nil"/>
                <w:left w:val="nil"/>
                <w:bottom w:val="nil"/>
                <w:right w:val="nil"/>
                <w:between w:val="nil"/>
              </w:pBdr>
              <w:spacing w:line="259" w:lineRule="auto"/>
              <w:jc w:val="both"/>
              <w:rPr>
                <w:rFonts w:ascii="Arial" w:eastAsia="Arial" w:hAnsi="Arial" w:cs="Arial"/>
                <w:color w:val="000000"/>
                <w:sz w:val="20"/>
                <w:szCs w:val="20"/>
              </w:rPr>
            </w:pPr>
          </w:p>
          <w:p w:rsidR="00247933" w:rsidRPr="00E0036F" w:rsidRDefault="002A42A0" w:rsidP="00E11C96">
            <w:pPr>
              <w:pBdr>
                <w:top w:val="nil"/>
                <w:left w:val="nil"/>
                <w:bottom w:val="nil"/>
                <w:right w:val="nil"/>
                <w:between w:val="nil"/>
              </w:pBdr>
              <w:spacing w:line="259" w:lineRule="auto"/>
              <w:ind w:left="453" w:hanging="504"/>
              <w:jc w:val="both"/>
              <w:rPr>
                <w:rFonts w:ascii="Arial" w:eastAsia="Arial" w:hAnsi="Arial" w:cs="Arial"/>
                <w:color w:val="000000"/>
                <w:sz w:val="20"/>
                <w:szCs w:val="20"/>
              </w:rPr>
            </w:pPr>
            <w:r w:rsidRPr="00E0036F">
              <w:rPr>
                <w:rFonts w:ascii="Arial" w:eastAsia="Arial" w:hAnsi="Arial" w:cs="Arial"/>
                <w:color w:val="000000"/>
                <w:sz w:val="20"/>
                <w:szCs w:val="20"/>
              </w:rPr>
              <w:t xml:space="preserve">  </w:t>
            </w:r>
            <w:r w:rsidR="003559DB" w:rsidRPr="00E0036F">
              <w:rPr>
                <w:rFonts w:ascii="Arial" w:eastAsia="Arial" w:hAnsi="Arial" w:cs="Arial"/>
                <w:color w:val="000000"/>
                <w:sz w:val="20"/>
                <w:szCs w:val="20"/>
              </w:rPr>
              <w:t>A7. The entity’s charter states that cumulative redemptions cannot exceed 20 per cent of the highest number of its members’ shares ever outstanding. At 31 December 20X2 the entity has 200,000 of outstanding shares, which is the highest number of members’ shares ever outstanding and no shares have been redeemed in the past. On 1 January 20X3 the entity amends its governing charter and increases the permitted level of cumulative redemptions to 25 per cent of the highest number of its members’ shares ever outstanding.</w:t>
            </w:r>
          </w:p>
          <w:p w:rsidR="00247933" w:rsidRPr="00E0036F" w:rsidRDefault="00247933" w:rsidP="00AD3A25">
            <w:pPr>
              <w:pBdr>
                <w:top w:val="nil"/>
                <w:left w:val="nil"/>
                <w:bottom w:val="nil"/>
                <w:right w:val="nil"/>
                <w:between w:val="nil"/>
              </w:pBdr>
              <w:spacing w:line="259" w:lineRule="auto"/>
              <w:ind w:left="731"/>
              <w:jc w:val="both"/>
              <w:rPr>
                <w:rFonts w:ascii="Arial" w:eastAsia="Arial" w:hAnsi="Arial" w:cs="Arial"/>
                <w:color w:val="000000"/>
                <w:sz w:val="20"/>
                <w:szCs w:val="20"/>
              </w:rPr>
            </w:pPr>
          </w:p>
          <w:p w:rsidR="00247933" w:rsidRPr="00E0036F" w:rsidRDefault="003559DB" w:rsidP="002A42A0">
            <w:pPr>
              <w:pBdr>
                <w:top w:val="nil"/>
                <w:left w:val="nil"/>
                <w:bottom w:val="nil"/>
                <w:right w:val="nil"/>
                <w:between w:val="nil"/>
              </w:pBdr>
              <w:spacing w:line="259" w:lineRule="auto"/>
              <w:ind w:firstLine="454"/>
              <w:jc w:val="both"/>
              <w:rPr>
                <w:rFonts w:ascii="Arial" w:eastAsia="Arial" w:hAnsi="Arial" w:cs="Arial"/>
                <w:b/>
                <w:sz w:val="20"/>
                <w:szCs w:val="20"/>
              </w:rPr>
            </w:pPr>
            <w:r w:rsidRPr="00E0036F">
              <w:rPr>
                <w:rFonts w:ascii="Arial" w:eastAsia="Arial" w:hAnsi="Arial" w:cs="Arial"/>
                <w:b/>
                <w:sz w:val="20"/>
                <w:szCs w:val="20"/>
              </w:rPr>
              <w:t>Classification</w:t>
            </w:r>
          </w:p>
          <w:p w:rsidR="00247933" w:rsidRPr="00E0036F" w:rsidRDefault="00247933" w:rsidP="002A42A0">
            <w:pPr>
              <w:pBdr>
                <w:top w:val="nil"/>
                <w:left w:val="nil"/>
                <w:bottom w:val="nil"/>
                <w:right w:val="nil"/>
                <w:between w:val="nil"/>
              </w:pBdr>
              <w:spacing w:line="259" w:lineRule="auto"/>
              <w:ind w:firstLine="454"/>
              <w:jc w:val="both"/>
              <w:rPr>
                <w:rFonts w:ascii="Arial" w:eastAsia="Arial" w:hAnsi="Arial" w:cs="Arial"/>
                <w:sz w:val="20"/>
                <w:szCs w:val="20"/>
              </w:rPr>
            </w:pPr>
          </w:p>
          <w:p w:rsidR="00247933" w:rsidRPr="00E0036F" w:rsidRDefault="003559DB" w:rsidP="002A42A0">
            <w:pPr>
              <w:pBdr>
                <w:top w:val="nil"/>
                <w:left w:val="nil"/>
                <w:bottom w:val="nil"/>
                <w:right w:val="nil"/>
                <w:between w:val="nil"/>
              </w:pBdr>
              <w:spacing w:line="259" w:lineRule="auto"/>
              <w:ind w:firstLine="454"/>
              <w:jc w:val="both"/>
              <w:rPr>
                <w:rFonts w:ascii="Arial" w:eastAsia="Arial" w:hAnsi="Arial" w:cs="Arial"/>
                <w:i/>
              </w:rPr>
            </w:pPr>
            <w:r w:rsidRPr="00E0036F">
              <w:rPr>
                <w:rFonts w:ascii="Arial" w:eastAsia="Arial" w:hAnsi="Arial" w:cs="Arial"/>
                <w:i/>
              </w:rPr>
              <w:t>Before the governing charter is amended</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06710F">
            <w:pPr>
              <w:pBdr>
                <w:top w:val="nil"/>
                <w:left w:val="nil"/>
                <w:bottom w:val="nil"/>
                <w:right w:val="nil"/>
                <w:between w:val="nil"/>
              </w:pBdr>
              <w:spacing w:line="259" w:lineRule="auto"/>
              <w:ind w:left="439" w:hanging="700"/>
              <w:jc w:val="both"/>
              <w:rPr>
                <w:rFonts w:ascii="Arial" w:eastAsia="Arial" w:hAnsi="Arial" w:cs="Arial"/>
                <w:color w:val="000000"/>
                <w:sz w:val="20"/>
                <w:szCs w:val="20"/>
              </w:rPr>
            </w:pPr>
            <w:r w:rsidRPr="00E0036F">
              <w:rPr>
                <w:rFonts w:ascii="Arial" w:eastAsia="Arial" w:hAnsi="Arial" w:cs="Arial"/>
                <w:color w:val="000000"/>
                <w:sz w:val="20"/>
                <w:szCs w:val="20"/>
              </w:rPr>
              <w:t xml:space="preserve">      A8. Members’ shares in excess of the prohibition against redemption are financial liabilities. The co-operative entity measures this financial liability at fair value at initial recognition. Because these share</w:t>
            </w:r>
            <w:r w:rsidR="00B2628A" w:rsidRPr="00E0036F">
              <w:rPr>
                <w:rFonts w:ascii="Arial" w:eastAsia="Arial" w:hAnsi="Arial" w:cs="Arial"/>
                <w:color w:val="000000"/>
                <w:sz w:val="20"/>
                <w:szCs w:val="20"/>
              </w:rPr>
              <w:t xml:space="preserve">s are redeemable on demand, the </w:t>
            </w:r>
            <w:r w:rsidRPr="00E0036F">
              <w:rPr>
                <w:rFonts w:ascii="Arial" w:eastAsia="Arial" w:hAnsi="Arial" w:cs="Arial"/>
                <w:color w:val="000000"/>
                <w:sz w:val="20"/>
                <w:szCs w:val="20"/>
              </w:rPr>
              <w:t>co</w:t>
            </w:r>
            <w:r w:rsidR="00B2628A" w:rsidRPr="00E0036F">
              <w:rPr>
                <w:rFonts w:ascii="Arial" w:eastAsia="Arial" w:hAnsi="Arial" w:cs="Arial"/>
                <w:color w:val="000000"/>
                <w:sz w:val="20"/>
                <w:szCs w:val="20"/>
              </w:rPr>
              <w:t>-</w:t>
            </w:r>
            <w:r w:rsidRPr="00E0036F">
              <w:rPr>
                <w:rFonts w:ascii="Arial" w:eastAsia="Arial" w:hAnsi="Arial" w:cs="Arial"/>
                <w:color w:val="000000"/>
                <w:sz w:val="20"/>
                <w:szCs w:val="20"/>
              </w:rPr>
              <w:t>operative entity measures the fair value of such financial liabilities in accordance with paragraph 47 of IFRS 13: ‘The fair value of a financial liability with a demand feature (eg a demand deposit) is not less than the amount payable on demand …’. Accordingly, the co-operative entity classifies as financial liabilities the maximum amount payable on demand under the redemption provisions.</w:t>
            </w:r>
          </w:p>
          <w:p w:rsidR="00247933" w:rsidRPr="00E0036F" w:rsidRDefault="00247933" w:rsidP="002A42A0">
            <w:pPr>
              <w:spacing w:line="259" w:lineRule="auto"/>
              <w:ind w:left="419" w:hanging="742"/>
              <w:jc w:val="both"/>
              <w:rPr>
                <w:rFonts w:ascii="Arial" w:eastAsia="Arial" w:hAnsi="Arial" w:cs="Arial"/>
                <w:color w:val="000000"/>
                <w:sz w:val="20"/>
                <w:szCs w:val="20"/>
              </w:rPr>
            </w:pPr>
          </w:p>
          <w:p w:rsidR="0006710F" w:rsidRPr="00E0036F" w:rsidRDefault="0006710F" w:rsidP="002A42A0">
            <w:pPr>
              <w:spacing w:line="259" w:lineRule="auto"/>
              <w:ind w:left="419" w:hanging="742"/>
              <w:jc w:val="both"/>
              <w:rPr>
                <w:rFonts w:ascii="Arial" w:eastAsia="Arial" w:hAnsi="Arial" w:cs="Arial"/>
                <w:color w:val="000000"/>
                <w:sz w:val="20"/>
                <w:szCs w:val="20"/>
              </w:rPr>
            </w:pPr>
          </w:p>
          <w:p w:rsidR="00B2628A" w:rsidRPr="00E0036F" w:rsidRDefault="003559DB" w:rsidP="0006710F">
            <w:pPr>
              <w:pBdr>
                <w:top w:val="nil"/>
                <w:left w:val="nil"/>
                <w:bottom w:val="nil"/>
                <w:right w:val="nil"/>
                <w:between w:val="nil"/>
              </w:pBdr>
              <w:spacing w:line="259" w:lineRule="auto"/>
              <w:ind w:left="460" w:hanging="692"/>
              <w:jc w:val="both"/>
              <w:rPr>
                <w:rFonts w:ascii="Arial" w:eastAsia="Arial" w:hAnsi="Arial" w:cs="Arial"/>
                <w:color w:val="000000"/>
                <w:sz w:val="20"/>
                <w:szCs w:val="20"/>
              </w:rPr>
            </w:pPr>
            <w:r w:rsidRPr="00E0036F">
              <w:rPr>
                <w:rFonts w:ascii="Arial" w:eastAsia="Arial" w:hAnsi="Arial" w:cs="Arial"/>
                <w:color w:val="000000"/>
                <w:sz w:val="20"/>
                <w:szCs w:val="20"/>
              </w:rPr>
              <w:t xml:space="preserve">      A9. On 1 January 20X1 the maximum amount payable under the redemption provisions is 20,000 shares at CU10 each and accordingly the entity classifies CU200,000 as financial liability and CU800,000 as equity. However, on 1 January 20X2 because of the new issue of shares at CU20, the maximum amount payable under the redemption provisions increases to 40,000 shares at CU20 each. The issue of additional shares at CU20 creates a new liability that is measured on </w:t>
            </w:r>
            <w:r w:rsidRPr="00E0036F">
              <w:rPr>
                <w:rFonts w:ascii="Arial" w:eastAsia="Arial" w:hAnsi="Arial" w:cs="Arial"/>
                <w:color w:val="000000"/>
                <w:sz w:val="20"/>
                <w:szCs w:val="20"/>
              </w:rPr>
              <w:lastRenderedPageBreak/>
              <w:t>initial recognition at fair value. The liability after these shares have been issued is 20 per cent of the total shares in issue (200,000), measured at CU20, or CU800</w:t>
            </w:r>
            <w:proofErr w:type="gramStart"/>
            <w:r w:rsidRPr="00E0036F">
              <w:rPr>
                <w:rFonts w:ascii="Arial" w:eastAsia="Arial" w:hAnsi="Arial" w:cs="Arial"/>
                <w:color w:val="000000"/>
                <w:sz w:val="20"/>
                <w:szCs w:val="20"/>
              </w:rPr>
              <w:t>,000</w:t>
            </w:r>
            <w:proofErr w:type="gramEnd"/>
            <w:r w:rsidRPr="00E0036F">
              <w:rPr>
                <w:rFonts w:ascii="Arial" w:eastAsia="Arial" w:hAnsi="Arial" w:cs="Arial"/>
                <w:color w:val="000000"/>
                <w:sz w:val="20"/>
                <w:szCs w:val="20"/>
              </w:rPr>
              <w:t>. This requires recognition of an additional liability of CU600</w:t>
            </w:r>
            <w:proofErr w:type="gramStart"/>
            <w:r w:rsidRPr="00E0036F">
              <w:rPr>
                <w:rFonts w:ascii="Arial" w:eastAsia="Arial" w:hAnsi="Arial" w:cs="Arial"/>
                <w:color w:val="000000"/>
                <w:sz w:val="20"/>
                <w:szCs w:val="20"/>
              </w:rPr>
              <w:t>,000</w:t>
            </w:r>
            <w:proofErr w:type="gramEnd"/>
            <w:r w:rsidRPr="00E0036F">
              <w:rPr>
                <w:rFonts w:ascii="Arial" w:eastAsia="Arial" w:hAnsi="Arial" w:cs="Arial"/>
                <w:color w:val="000000"/>
                <w:sz w:val="20"/>
                <w:szCs w:val="20"/>
              </w:rPr>
              <w:t>. In this example no gain or loss is recognised. Accordingly the entity now classifies CU800</w:t>
            </w:r>
            <w:proofErr w:type="gramStart"/>
            <w:r w:rsidRPr="00E0036F">
              <w:rPr>
                <w:rFonts w:ascii="Arial" w:eastAsia="Arial" w:hAnsi="Arial" w:cs="Arial"/>
                <w:color w:val="000000"/>
                <w:sz w:val="20"/>
                <w:szCs w:val="20"/>
              </w:rPr>
              <w:t>,000</w:t>
            </w:r>
            <w:proofErr w:type="gramEnd"/>
            <w:r w:rsidRPr="00E0036F">
              <w:rPr>
                <w:rFonts w:ascii="Arial" w:eastAsia="Arial" w:hAnsi="Arial" w:cs="Arial"/>
                <w:color w:val="000000"/>
                <w:sz w:val="20"/>
                <w:szCs w:val="20"/>
              </w:rPr>
              <w:t xml:space="preserve"> as financial liabilities and CU2,200,000 as equity. This example assumes these amounts are not changed between 1 January 20X1 and 31 December 20X2.</w:t>
            </w:r>
          </w:p>
          <w:p w:rsidR="00247933" w:rsidRPr="00E0036F" w:rsidRDefault="00247933" w:rsidP="002A42A0">
            <w:pPr>
              <w:pBdr>
                <w:top w:val="nil"/>
                <w:left w:val="nil"/>
                <w:bottom w:val="nil"/>
                <w:right w:val="nil"/>
                <w:between w:val="nil"/>
              </w:pBdr>
              <w:spacing w:line="259" w:lineRule="auto"/>
              <w:ind w:left="419" w:hanging="742"/>
              <w:jc w:val="both"/>
              <w:rPr>
                <w:rFonts w:ascii="Arial" w:eastAsia="Arial" w:hAnsi="Arial" w:cs="Arial"/>
                <w:color w:val="000000"/>
                <w:sz w:val="20"/>
                <w:szCs w:val="20"/>
              </w:rPr>
            </w:pPr>
          </w:p>
          <w:p w:rsidR="0006710F" w:rsidRPr="00E0036F" w:rsidRDefault="0006710F" w:rsidP="002A42A0">
            <w:pPr>
              <w:pBdr>
                <w:top w:val="nil"/>
                <w:left w:val="nil"/>
                <w:bottom w:val="nil"/>
                <w:right w:val="nil"/>
                <w:between w:val="nil"/>
              </w:pBdr>
              <w:spacing w:line="259" w:lineRule="auto"/>
              <w:ind w:left="419" w:hanging="742"/>
              <w:jc w:val="both"/>
              <w:rPr>
                <w:rFonts w:ascii="Arial" w:eastAsia="Arial" w:hAnsi="Arial" w:cs="Arial"/>
                <w:color w:val="000000"/>
                <w:sz w:val="20"/>
                <w:szCs w:val="20"/>
              </w:rPr>
            </w:pPr>
          </w:p>
          <w:p w:rsidR="00247933" w:rsidRPr="00E0036F" w:rsidRDefault="0006710F" w:rsidP="0006710F">
            <w:pPr>
              <w:pBdr>
                <w:top w:val="nil"/>
                <w:left w:val="nil"/>
                <w:bottom w:val="nil"/>
                <w:right w:val="nil"/>
                <w:between w:val="nil"/>
              </w:pBdr>
              <w:spacing w:line="259" w:lineRule="auto"/>
              <w:jc w:val="both"/>
              <w:rPr>
                <w:rFonts w:ascii="Arial" w:eastAsia="Arial" w:hAnsi="Arial" w:cs="Arial"/>
                <w:i/>
              </w:rPr>
            </w:pPr>
            <w:r w:rsidRPr="00E0036F">
              <w:rPr>
                <w:rFonts w:ascii="Arial" w:eastAsia="Arial" w:hAnsi="Arial" w:cs="Arial"/>
                <w:i/>
              </w:rPr>
              <w:t xml:space="preserve">        </w:t>
            </w:r>
            <w:r w:rsidR="003559DB" w:rsidRPr="00E0036F">
              <w:rPr>
                <w:rFonts w:ascii="Arial" w:eastAsia="Arial" w:hAnsi="Arial" w:cs="Arial"/>
                <w:i/>
              </w:rPr>
              <w:t>After the governing charter is amended</w:t>
            </w:r>
          </w:p>
          <w:p w:rsidR="00247933" w:rsidRPr="00E0036F" w:rsidRDefault="00247933" w:rsidP="002A42A0">
            <w:pPr>
              <w:pBdr>
                <w:top w:val="nil"/>
                <w:left w:val="nil"/>
                <w:bottom w:val="nil"/>
                <w:right w:val="nil"/>
                <w:between w:val="nil"/>
              </w:pBdr>
              <w:spacing w:line="259" w:lineRule="auto"/>
              <w:ind w:left="419" w:hanging="742"/>
              <w:jc w:val="both"/>
              <w:rPr>
                <w:rFonts w:ascii="Arial" w:eastAsia="Helvetica Neue" w:hAnsi="Arial" w:cs="Arial"/>
                <w:i/>
                <w:sz w:val="19"/>
                <w:szCs w:val="19"/>
              </w:rPr>
            </w:pPr>
          </w:p>
          <w:p w:rsidR="00247933" w:rsidRPr="00E0036F" w:rsidRDefault="0006710F" w:rsidP="0006710F">
            <w:pPr>
              <w:pBdr>
                <w:top w:val="nil"/>
                <w:left w:val="nil"/>
                <w:bottom w:val="nil"/>
                <w:right w:val="nil"/>
                <w:between w:val="nil"/>
              </w:pBdr>
              <w:spacing w:line="259" w:lineRule="auto"/>
              <w:ind w:left="481" w:hanging="730"/>
              <w:jc w:val="both"/>
              <w:rPr>
                <w:rFonts w:ascii="Arial" w:eastAsia="Arial" w:hAnsi="Arial" w:cs="Arial"/>
                <w:color w:val="000000"/>
                <w:sz w:val="20"/>
                <w:szCs w:val="20"/>
              </w:rPr>
            </w:pPr>
            <w:r w:rsidRPr="00E0036F">
              <w:rPr>
                <w:rFonts w:ascii="Arial" w:eastAsia="Arial" w:hAnsi="Arial" w:cs="Arial"/>
                <w:color w:val="000000"/>
                <w:sz w:val="20"/>
                <w:szCs w:val="20"/>
              </w:rPr>
              <w:t xml:space="preserve">    A10.  </w:t>
            </w:r>
            <w:r w:rsidR="003559DB" w:rsidRPr="00E0036F">
              <w:rPr>
                <w:rFonts w:ascii="Arial" w:eastAsia="Arial" w:hAnsi="Arial" w:cs="Arial"/>
                <w:color w:val="000000"/>
                <w:sz w:val="20"/>
                <w:szCs w:val="20"/>
              </w:rPr>
              <w:t>Following the change in its governing charter the co-operative entity can now be required to redeem a maximum of 25 per cent of its outstanding shares or a maximum of 50,000 shares at CU20 each. Accordingly, on 1 January 20X3 the co-operative entity classifies as financial liabilities an amount of CU1,000,000 being the maximum amount payable on demand under the redemption provisions, as determined in accordance with paragraph 47 of IFRS 13. It therefore transfers on 1 January 20X3 from equity to financial liabilities an amount of CU200</w:t>
            </w:r>
            <w:proofErr w:type="gramStart"/>
            <w:r w:rsidR="003559DB" w:rsidRPr="00E0036F">
              <w:rPr>
                <w:rFonts w:ascii="Arial" w:eastAsia="Arial" w:hAnsi="Arial" w:cs="Arial"/>
                <w:color w:val="000000"/>
                <w:sz w:val="20"/>
                <w:szCs w:val="20"/>
              </w:rPr>
              <w:t>,000</w:t>
            </w:r>
            <w:proofErr w:type="gramEnd"/>
            <w:r w:rsidR="003559DB" w:rsidRPr="00E0036F">
              <w:rPr>
                <w:rFonts w:ascii="Arial" w:eastAsia="Arial" w:hAnsi="Arial" w:cs="Arial"/>
                <w:color w:val="000000"/>
                <w:sz w:val="20"/>
                <w:szCs w:val="20"/>
              </w:rPr>
              <w:t>, leaving CU2,000,000 classified as equity. In this example the entity does not recognise a gain or loss on the transfer.</w:t>
            </w:r>
          </w:p>
          <w:p w:rsidR="00247933" w:rsidRPr="00E0036F" w:rsidRDefault="00247933" w:rsidP="002A42A0">
            <w:pPr>
              <w:pBdr>
                <w:top w:val="nil"/>
                <w:left w:val="nil"/>
                <w:bottom w:val="nil"/>
                <w:right w:val="nil"/>
                <w:between w:val="nil"/>
              </w:pBdr>
              <w:spacing w:line="259" w:lineRule="auto"/>
              <w:ind w:left="419" w:hanging="742"/>
              <w:jc w:val="both"/>
              <w:rPr>
                <w:rFonts w:ascii="Arial" w:eastAsia="Arial" w:hAnsi="Arial" w:cs="Arial"/>
                <w:color w:val="000000"/>
                <w:sz w:val="20"/>
                <w:szCs w:val="20"/>
              </w:rPr>
            </w:pPr>
          </w:p>
          <w:p w:rsidR="00247933" w:rsidRPr="00E0036F" w:rsidRDefault="003559DB" w:rsidP="002A42A0">
            <w:pPr>
              <w:pBdr>
                <w:top w:val="nil"/>
                <w:left w:val="nil"/>
                <w:bottom w:val="nil"/>
                <w:right w:val="nil"/>
                <w:between w:val="nil"/>
              </w:pBdr>
              <w:spacing w:line="259" w:lineRule="auto"/>
              <w:ind w:firstLine="461"/>
              <w:jc w:val="both"/>
              <w:rPr>
                <w:rFonts w:ascii="Arial" w:eastAsia="Arial" w:hAnsi="Arial" w:cs="Arial"/>
                <w:b/>
                <w:sz w:val="20"/>
                <w:szCs w:val="20"/>
              </w:rPr>
            </w:pPr>
            <w:r w:rsidRPr="00E0036F">
              <w:rPr>
                <w:rFonts w:ascii="Arial" w:eastAsia="Arial" w:hAnsi="Arial" w:cs="Arial"/>
                <w:b/>
                <w:sz w:val="20"/>
                <w:szCs w:val="20"/>
              </w:rPr>
              <w:t>Example 4</w:t>
            </w:r>
          </w:p>
          <w:p w:rsidR="00247933" w:rsidRPr="00E0036F" w:rsidRDefault="00247933" w:rsidP="002A42A0">
            <w:pPr>
              <w:pBdr>
                <w:top w:val="nil"/>
                <w:left w:val="nil"/>
                <w:bottom w:val="nil"/>
                <w:right w:val="nil"/>
                <w:between w:val="nil"/>
              </w:pBdr>
              <w:spacing w:line="259" w:lineRule="auto"/>
              <w:ind w:firstLine="461"/>
              <w:jc w:val="both"/>
              <w:rPr>
                <w:rFonts w:ascii="Arial" w:eastAsia="Arial" w:hAnsi="Arial" w:cs="Arial"/>
                <w:sz w:val="20"/>
                <w:szCs w:val="20"/>
              </w:rPr>
            </w:pPr>
          </w:p>
          <w:p w:rsidR="00247933" w:rsidRPr="00E0036F" w:rsidRDefault="003559DB" w:rsidP="002A42A0">
            <w:pPr>
              <w:pBdr>
                <w:top w:val="nil"/>
                <w:left w:val="nil"/>
                <w:bottom w:val="nil"/>
                <w:right w:val="nil"/>
                <w:between w:val="nil"/>
              </w:pBdr>
              <w:spacing w:line="259" w:lineRule="auto"/>
              <w:ind w:firstLine="461"/>
              <w:jc w:val="both"/>
              <w:rPr>
                <w:rFonts w:ascii="Arial" w:eastAsia="Arial" w:hAnsi="Arial" w:cs="Arial"/>
                <w:b/>
                <w:sz w:val="20"/>
                <w:szCs w:val="20"/>
              </w:rPr>
            </w:pPr>
            <w:r w:rsidRPr="00E0036F">
              <w:rPr>
                <w:rFonts w:ascii="Arial" w:eastAsia="Arial" w:hAnsi="Arial" w:cs="Arial"/>
                <w:b/>
                <w:sz w:val="20"/>
                <w:szCs w:val="20"/>
              </w:rPr>
              <w:t>Facts</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2A42A0">
            <w:pPr>
              <w:pBdr>
                <w:top w:val="nil"/>
                <w:left w:val="nil"/>
                <w:bottom w:val="nil"/>
                <w:right w:val="nil"/>
                <w:between w:val="nil"/>
              </w:pBdr>
              <w:spacing w:line="259" w:lineRule="auto"/>
              <w:ind w:left="405" w:hanging="672"/>
              <w:jc w:val="both"/>
              <w:rPr>
                <w:rFonts w:ascii="Arial" w:eastAsia="Arial" w:hAnsi="Arial" w:cs="Arial"/>
                <w:color w:val="000000"/>
                <w:sz w:val="20"/>
                <w:szCs w:val="20"/>
              </w:rPr>
            </w:pPr>
            <w:r w:rsidRPr="00E0036F">
              <w:rPr>
                <w:rFonts w:ascii="Arial" w:eastAsia="Arial" w:hAnsi="Arial" w:cs="Arial"/>
                <w:color w:val="000000"/>
                <w:sz w:val="20"/>
                <w:szCs w:val="20"/>
              </w:rPr>
              <w:t xml:space="preserve">    A11. Local law governing the operations of co</w:t>
            </w:r>
            <w:r w:rsidRPr="00E0036F">
              <w:rPr>
                <w:rFonts w:ascii="Cambria Math" w:eastAsia="Cambria Math" w:hAnsi="Cambria Math" w:cs="Cambria Math"/>
                <w:color w:val="000000"/>
                <w:sz w:val="20"/>
                <w:szCs w:val="20"/>
              </w:rPr>
              <w:t>‑</w:t>
            </w:r>
            <w:r w:rsidRPr="00E0036F">
              <w:rPr>
                <w:rFonts w:ascii="Arial" w:eastAsia="Arial" w:hAnsi="Arial" w:cs="Arial"/>
                <w:color w:val="000000"/>
                <w:sz w:val="20"/>
                <w:szCs w:val="20"/>
              </w:rPr>
              <w:t>operatives, or the terms of the entity’s governing charter, prohibit an entity from redeeming members’ shares if, by redeeming them, it would reduce paid</w:t>
            </w:r>
            <w:r w:rsidRPr="00E0036F">
              <w:rPr>
                <w:rFonts w:ascii="Cambria Math" w:eastAsia="Cambria Math" w:hAnsi="Cambria Math" w:cs="Cambria Math"/>
                <w:color w:val="000000"/>
                <w:sz w:val="20"/>
                <w:szCs w:val="20"/>
              </w:rPr>
              <w:t>‑</w:t>
            </w:r>
            <w:r w:rsidRPr="00E0036F">
              <w:rPr>
                <w:rFonts w:ascii="Arial" w:eastAsia="Arial" w:hAnsi="Arial" w:cs="Arial"/>
                <w:color w:val="000000"/>
                <w:sz w:val="20"/>
                <w:szCs w:val="20"/>
              </w:rPr>
              <w:t>in capital from members’ shares below 75 per cent of the highest amount of paid</w:t>
            </w:r>
            <w:r w:rsidRPr="00E0036F">
              <w:rPr>
                <w:rFonts w:ascii="Cambria Math" w:eastAsia="Cambria Math" w:hAnsi="Cambria Math" w:cs="Cambria Math"/>
                <w:color w:val="000000"/>
                <w:sz w:val="20"/>
                <w:szCs w:val="20"/>
              </w:rPr>
              <w:t>‑</w:t>
            </w:r>
            <w:r w:rsidRPr="00E0036F">
              <w:rPr>
                <w:rFonts w:ascii="Arial" w:eastAsia="Arial" w:hAnsi="Arial" w:cs="Arial"/>
                <w:color w:val="000000"/>
                <w:sz w:val="20"/>
                <w:szCs w:val="20"/>
              </w:rPr>
              <w:t>in capital from members’ shares. The highest amount for a particular co</w:t>
            </w:r>
            <w:r w:rsidRPr="00E0036F">
              <w:rPr>
                <w:rFonts w:ascii="Cambria Math" w:eastAsia="Cambria Math" w:hAnsi="Cambria Math" w:cs="Cambria Math"/>
                <w:color w:val="000000"/>
                <w:sz w:val="20"/>
                <w:szCs w:val="20"/>
              </w:rPr>
              <w:t>‑</w:t>
            </w:r>
            <w:r w:rsidRPr="00E0036F">
              <w:rPr>
                <w:rFonts w:ascii="Arial" w:eastAsia="Arial" w:hAnsi="Arial" w:cs="Arial"/>
                <w:color w:val="000000"/>
                <w:sz w:val="20"/>
                <w:szCs w:val="20"/>
              </w:rPr>
              <w:t>operative is</w:t>
            </w:r>
            <w:r w:rsidRPr="00E0036F">
              <w:rPr>
                <w:rFonts w:ascii="Arial" w:eastAsia="SwiftLTStd-Regular" w:hAnsi="Arial" w:cs="Arial"/>
                <w:sz w:val="17"/>
                <w:szCs w:val="17"/>
              </w:rPr>
              <w:t xml:space="preserve"> </w:t>
            </w:r>
            <w:r w:rsidRPr="00E0036F">
              <w:rPr>
                <w:rFonts w:ascii="Arial" w:eastAsia="Arial" w:hAnsi="Arial" w:cs="Arial"/>
                <w:color w:val="000000"/>
                <w:sz w:val="20"/>
                <w:szCs w:val="20"/>
              </w:rPr>
              <w:t>CU1</w:t>
            </w:r>
            <w:proofErr w:type="gramStart"/>
            <w:r w:rsidRPr="00E0036F">
              <w:rPr>
                <w:rFonts w:ascii="Arial" w:eastAsia="Arial" w:hAnsi="Arial" w:cs="Arial"/>
                <w:color w:val="000000"/>
                <w:sz w:val="20"/>
                <w:szCs w:val="20"/>
              </w:rPr>
              <w:t>,000,000</w:t>
            </w:r>
            <w:proofErr w:type="gramEnd"/>
            <w:r w:rsidRPr="00E0036F">
              <w:rPr>
                <w:rFonts w:ascii="Arial" w:eastAsia="Arial" w:hAnsi="Arial" w:cs="Arial"/>
                <w:color w:val="000000"/>
                <w:sz w:val="20"/>
                <w:szCs w:val="20"/>
              </w:rPr>
              <w:t>. At the end of the reporting period the balance of paid</w:t>
            </w:r>
            <w:r w:rsidRPr="00E0036F">
              <w:rPr>
                <w:rFonts w:ascii="Cambria Math" w:eastAsia="Cambria Math" w:hAnsi="Cambria Math" w:cs="Cambria Math"/>
                <w:color w:val="000000"/>
                <w:sz w:val="20"/>
                <w:szCs w:val="20"/>
              </w:rPr>
              <w:t>‑</w:t>
            </w:r>
            <w:r w:rsidRPr="00E0036F">
              <w:rPr>
                <w:rFonts w:ascii="Arial" w:eastAsia="Arial" w:hAnsi="Arial" w:cs="Arial"/>
                <w:color w:val="000000"/>
                <w:sz w:val="20"/>
                <w:szCs w:val="20"/>
              </w:rPr>
              <w:t>in capital is CU900</w:t>
            </w:r>
            <w:proofErr w:type="gramStart"/>
            <w:r w:rsidRPr="00E0036F">
              <w:rPr>
                <w:rFonts w:ascii="Arial" w:eastAsia="Arial" w:hAnsi="Arial" w:cs="Arial"/>
                <w:color w:val="000000"/>
                <w:sz w:val="20"/>
                <w:szCs w:val="20"/>
              </w:rPr>
              <w:t>,000</w:t>
            </w:r>
            <w:proofErr w:type="gramEnd"/>
            <w:r w:rsidRPr="00E0036F">
              <w:rPr>
                <w:rFonts w:ascii="Arial" w:eastAsia="Arial" w:hAnsi="Arial" w:cs="Arial"/>
                <w:color w:val="000000"/>
                <w:sz w:val="20"/>
                <w:szCs w:val="20"/>
              </w:rPr>
              <w:t>.</w:t>
            </w:r>
          </w:p>
          <w:p w:rsidR="00B2628A" w:rsidRPr="00E0036F" w:rsidRDefault="00B2628A" w:rsidP="00984C26">
            <w:pPr>
              <w:pBdr>
                <w:top w:val="nil"/>
                <w:left w:val="nil"/>
                <w:bottom w:val="nil"/>
                <w:right w:val="nil"/>
                <w:between w:val="nil"/>
              </w:pBdr>
              <w:spacing w:line="259" w:lineRule="auto"/>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firstLine="416"/>
              <w:jc w:val="both"/>
              <w:rPr>
                <w:rFonts w:ascii="Arial" w:eastAsia="Arial" w:hAnsi="Arial" w:cs="Arial"/>
                <w:b/>
                <w:sz w:val="20"/>
                <w:szCs w:val="20"/>
              </w:rPr>
            </w:pPr>
            <w:r w:rsidRPr="00E0036F">
              <w:rPr>
                <w:rFonts w:ascii="Arial" w:eastAsia="Arial" w:hAnsi="Arial" w:cs="Arial"/>
                <w:b/>
                <w:sz w:val="20"/>
                <w:szCs w:val="20"/>
              </w:rPr>
              <w:t>Classification</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984C26">
            <w:pPr>
              <w:pBdr>
                <w:top w:val="nil"/>
                <w:left w:val="nil"/>
                <w:bottom w:val="nil"/>
                <w:right w:val="nil"/>
                <w:between w:val="nil"/>
              </w:pBdr>
              <w:spacing w:line="259" w:lineRule="auto"/>
              <w:ind w:left="405" w:hanging="602"/>
              <w:jc w:val="both"/>
              <w:rPr>
                <w:rFonts w:ascii="Arial" w:eastAsia="Arial" w:hAnsi="Arial" w:cs="Arial"/>
                <w:color w:val="000000"/>
                <w:sz w:val="20"/>
                <w:szCs w:val="20"/>
              </w:rPr>
            </w:pPr>
            <w:r w:rsidRPr="00E0036F">
              <w:rPr>
                <w:rFonts w:ascii="Arial" w:eastAsia="Arial" w:hAnsi="Arial" w:cs="Arial"/>
                <w:color w:val="000000"/>
                <w:sz w:val="20"/>
                <w:szCs w:val="20"/>
              </w:rPr>
              <w:t xml:space="preserve">   A12. In this case, CU750</w:t>
            </w:r>
            <w:proofErr w:type="gramStart"/>
            <w:r w:rsidRPr="00E0036F">
              <w:rPr>
                <w:rFonts w:ascii="Arial" w:eastAsia="Arial" w:hAnsi="Arial" w:cs="Arial"/>
                <w:color w:val="000000"/>
                <w:sz w:val="20"/>
                <w:szCs w:val="20"/>
              </w:rPr>
              <w:t>,000</w:t>
            </w:r>
            <w:proofErr w:type="gramEnd"/>
            <w:r w:rsidRPr="00E0036F">
              <w:rPr>
                <w:rFonts w:ascii="Arial" w:eastAsia="Arial" w:hAnsi="Arial" w:cs="Arial"/>
                <w:color w:val="000000"/>
                <w:sz w:val="20"/>
                <w:szCs w:val="20"/>
              </w:rPr>
              <w:t xml:space="preserve"> would be classified as equity and CU150,000 would be classified as financial liabilities. In addition to the paragraphs already cited, paragraph</w:t>
            </w:r>
            <w:r w:rsidR="00B2628A" w:rsidRPr="00E0036F">
              <w:rPr>
                <w:rFonts w:ascii="Arial" w:eastAsia="Arial" w:hAnsi="Arial" w:cs="Arial"/>
                <w:color w:val="000000"/>
                <w:sz w:val="20"/>
                <w:szCs w:val="20"/>
              </w:rPr>
              <w:t xml:space="preserve"> 18(b) of IAS 32 states in part:</w:t>
            </w: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color w:val="000000"/>
                <w:sz w:val="18"/>
                <w:szCs w:val="18"/>
              </w:rPr>
            </w:pPr>
          </w:p>
          <w:p w:rsidR="00247933" w:rsidRPr="00E0036F" w:rsidRDefault="003559DB" w:rsidP="00984C26">
            <w:pPr>
              <w:spacing w:line="259" w:lineRule="auto"/>
              <w:ind w:left="1021"/>
              <w:jc w:val="both"/>
              <w:rPr>
                <w:rFonts w:ascii="Arial" w:eastAsia="Arial" w:hAnsi="Arial" w:cs="Arial"/>
                <w:color w:val="000000"/>
                <w:sz w:val="18"/>
                <w:szCs w:val="18"/>
              </w:rPr>
            </w:pPr>
            <w:r w:rsidRPr="00E0036F">
              <w:rPr>
                <w:rFonts w:ascii="Arial" w:eastAsia="Arial" w:hAnsi="Arial" w:cs="Arial"/>
                <w:color w:val="000000"/>
                <w:sz w:val="18"/>
                <w:szCs w:val="18"/>
              </w:rPr>
              <w:t>… a financial instrument that gives the holder the right to put it back to the issuer for cash or another financial asset (a ‘puttable instrument’) is a financial liability, except for those instruments classified as equity instruments in accordance with paragraphs 16A and 16B or paragraphs 16C and 16D. The financial instrument is a financial liability even when the amount of cash or other financial assets is determined on the basis of an index or other item that has the potential to increase or decrease. The existence of an option for the holder to put the instrument back to the issuer for cash or another financial asset means that the puttable instrument meets the definition of a financial liability, except for those instruments classified as equity instruments in accordance with paragraphs 16A and 16B or paragraphs 16C and 16D.</w:t>
            </w:r>
          </w:p>
          <w:p w:rsidR="00247933" w:rsidRPr="00E0036F" w:rsidRDefault="00247933" w:rsidP="00AD3A25">
            <w:pPr>
              <w:spacing w:line="259" w:lineRule="auto"/>
              <w:ind w:left="1440"/>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left="461" w:hanging="644"/>
              <w:jc w:val="both"/>
              <w:rPr>
                <w:rFonts w:ascii="Arial" w:eastAsia="Arial" w:hAnsi="Arial" w:cs="Arial"/>
                <w:color w:val="000000"/>
                <w:sz w:val="20"/>
                <w:szCs w:val="20"/>
              </w:rPr>
            </w:pPr>
            <w:r w:rsidRPr="00E0036F">
              <w:rPr>
                <w:rFonts w:ascii="Arial" w:eastAsia="Arial" w:hAnsi="Arial" w:cs="Arial"/>
                <w:color w:val="000000"/>
                <w:sz w:val="20"/>
                <w:szCs w:val="20"/>
              </w:rPr>
              <w:t xml:space="preserve">   A13. The redemption prohibition described in this example is different from the restrictions described in paragraphs 19 and AG25 of IAS 32. Those restrictions are limitations on the ability of the entity to pay the amount due on a financial liability, ie they prevent payment of the liability only if specified conditions are met. In contrast, this example describes an unconditional prohibition on redemptions beyond a specified amount, regardless of the entity’s ability to redeem members’ shares (eg given its cash resources, profits or distributable reserves). In effect, the prohibition against redemption prevents the entity from incurring any financial liability to redeem more than a specified amount of paid</w:t>
            </w:r>
            <w:r w:rsidRPr="00E0036F">
              <w:rPr>
                <w:rFonts w:ascii="Cambria Math" w:eastAsia="Cambria Math" w:hAnsi="Cambria Math" w:cs="Cambria Math"/>
                <w:color w:val="000000"/>
                <w:sz w:val="20"/>
                <w:szCs w:val="20"/>
              </w:rPr>
              <w:t>‑</w:t>
            </w:r>
            <w:r w:rsidRPr="00E0036F">
              <w:rPr>
                <w:rFonts w:ascii="Arial" w:eastAsia="Arial" w:hAnsi="Arial" w:cs="Arial"/>
                <w:color w:val="000000"/>
                <w:sz w:val="20"/>
                <w:szCs w:val="20"/>
              </w:rPr>
              <w:t>in capital. Therefore, the portion of shares subject to the redemption prohibition is not a financial liability. While each member’s shares may be redeemable individually, a portion of the total shares outstanding is not redeemable in any circumstances other than liquidation of the entity.</w:t>
            </w: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E11C96" w:rsidRPr="00E0036F" w:rsidRDefault="00E11C96"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E11C96" w:rsidRPr="00E0036F" w:rsidRDefault="00E11C96"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firstLine="447"/>
              <w:jc w:val="both"/>
              <w:rPr>
                <w:rFonts w:ascii="Arial" w:eastAsia="Arial" w:hAnsi="Arial" w:cs="Arial"/>
                <w:b/>
                <w:sz w:val="20"/>
                <w:szCs w:val="20"/>
              </w:rPr>
            </w:pPr>
            <w:r w:rsidRPr="00E0036F">
              <w:rPr>
                <w:rFonts w:ascii="Arial" w:eastAsia="Arial" w:hAnsi="Arial" w:cs="Arial"/>
                <w:b/>
                <w:sz w:val="20"/>
                <w:szCs w:val="20"/>
              </w:rPr>
              <w:t>Example 5</w:t>
            </w:r>
          </w:p>
          <w:p w:rsidR="00247933" w:rsidRPr="00E0036F" w:rsidRDefault="00247933" w:rsidP="00984C26">
            <w:pPr>
              <w:pBdr>
                <w:top w:val="nil"/>
                <w:left w:val="nil"/>
                <w:bottom w:val="nil"/>
                <w:right w:val="nil"/>
                <w:between w:val="nil"/>
              </w:pBdr>
              <w:spacing w:line="259" w:lineRule="auto"/>
              <w:ind w:firstLine="447"/>
              <w:jc w:val="both"/>
              <w:rPr>
                <w:rFonts w:ascii="Arial" w:eastAsia="Arial" w:hAnsi="Arial" w:cs="Arial"/>
                <w:sz w:val="20"/>
                <w:szCs w:val="20"/>
              </w:rPr>
            </w:pPr>
          </w:p>
          <w:p w:rsidR="00247933" w:rsidRPr="00E0036F" w:rsidRDefault="003559DB" w:rsidP="00984C26">
            <w:pPr>
              <w:pBdr>
                <w:top w:val="nil"/>
                <w:left w:val="nil"/>
                <w:bottom w:val="nil"/>
                <w:right w:val="nil"/>
                <w:between w:val="nil"/>
              </w:pBdr>
              <w:spacing w:line="259" w:lineRule="auto"/>
              <w:ind w:firstLine="447"/>
              <w:jc w:val="both"/>
              <w:rPr>
                <w:rFonts w:ascii="Arial" w:eastAsia="Arial" w:hAnsi="Arial" w:cs="Arial"/>
                <w:b/>
                <w:sz w:val="20"/>
                <w:szCs w:val="20"/>
              </w:rPr>
            </w:pPr>
            <w:r w:rsidRPr="00E0036F">
              <w:rPr>
                <w:rFonts w:ascii="Arial" w:eastAsia="Arial" w:hAnsi="Arial" w:cs="Arial"/>
                <w:b/>
                <w:sz w:val="20"/>
                <w:szCs w:val="20"/>
              </w:rPr>
              <w:t>Facts</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984C26">
            <w:pPr>
              <w:pBdr>
                <w:top w:val="nil"/>
                <w:left w:val="nil"/>
                <w:bottom w:val="nil"/>
                <w:right w:val="nil"/>
                <w:between w:val="nil"/>
              </w:pBdr>
              <w:spacing w:line="259" w:lineRule="auto"/>
              <w:ind w:left="489" w:hanging="728"/>
              <w:jc w:val="both"/>
              <w:rPr>
                <w:rFonts w:ascii="Arial" w:eastAsia="Arial" w:hAnsi="Arial" w:cs="Arial"/>
                <w:color w:val="000000"/>
                <w:sz w:val="20"/>
                <w:szCs w:val="20"/>
              </w:rPr>
            </w:pPr>
            <w:r w:rsidRPr="00E0036F">
              <w:rPr>
                <w:rFonts w:ascii="Arial" w:eastAsia="Arial" w:hAnsi="Arial" w:cs="Arial"/>
                <w:color w:val="000000"/>
                <w:sz w:val="20"/>
                <w:szCs w:val="20"/>
              </w:rPr>
              <w:t xml:space="preserve">    A14. The facts of this example are as stated in example 4. In addition, at the end of the reporting period, liquidity requirements imposed in the local jurisdiction prevent the entity from redeeming any members’ shares unless its holdings of cash and short</w:t>
            </w:r>
            <w:r w:rsidRPr="00E0036F">
              <w:rPr>
                <w:rFonts w:ascii="Cambria Math" w:eastAsia="Cambria Math" w:hAnsi="Cambria Math" w:cs="Cambria Math"/>
                <w:color w:val="000000"/>
                <w:sz w:val="20"/>
                <w:szCs w:val="20"/>
              </w:rPr>
              <w:t>‑</w:t>
            </w:r>
            <w:r w:rsidRPr="00E0036F">
              <w:rPr>
                <w:rFonts w:ascii="Arial" w:eastAsia="Arial" w:hAnsi="Arial" w:cs="Arial"/>
                <w:color w:val="000000"/>
                <w:sz w:val="20"/>
                <w:szCs w:val="20"/>
              </w:rPr>
              <w:t>term investments are greater than a specified amount. The effect of these liquidity requirements at the end of the reporting period is that the entity cannot pay more than CU50</w:t>
            </w:r>
            <w:proofErr w:type="gramStart"/>
            <w:r w:rsidRPr="00E0036F">
              <w:rPr>
                <w:rFonts w:ascii="Arial" w:eastAsia="Arial" w:hAnsi="Arial" w:cs="Arial"/>
                <w:color w:val="000000"/>
                <w:sz w:val="20"/>
                <w:szCs w:val="20"/>
              </w:rPr>
              <w:t>,000</w:t>
            </w:r>
            <w:proofErr w:type="gramEnd"/>
            <w:r w:rsidRPr="00E0036F">
              <w:rPr>
                <w:rFonts w:ascii="Arial" w:eastAsia="Arial" w:hAnsi="Arial" w:cs="Arial"/>
                <w:color w:val="000000"/>
                <w:sz w:val="20"/>
                <w:szCs w:val="20"/>
              </w:rPr>
              <w:t xml:space="preserve"> to redeem the members’ shares.</w:t>
            </w:r>
          </w:p>
          <w:p w:rsidR="00E11C96" w:rsidRPr="00E0036F" w:rsidRDefault="00E11C96" w:rsidP="00984C26">
            <w:pPr>
              <w:pBdr>
                <w:top w:val="nil"/>
                <w:left w:val="nil"/>
                <w:bottom w:val="nil"/>
                <w:right w:val="nil"/>
                <w:between w:val="nil"/>
              </w:pBdr>
              <w:spacing w:line="259" w:lineRule="auto"/>
              <w:ind w:left="489" w:hanging="728"/>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firstLine="454"/>
              <w:jc w:val="both"/>
              <w:rPr>
                <w:rFonts w:ascii="Arial" w:eastAsia="Arial" w:hAnsi="Arial" w:cs="Arial"/>
                <w:b/>
                <w:sz w:val="20"/>
                <w:szCs w:val="20"/>
              </w:rPr>
            </w:pPr>
            <w:r w:rsidRPr="00E0036F">
              <w:rPr>
                <w:rFonts w:ascii="Arial" w:eastAsia="Arial" w:hAnsi="Arial" w:cs="Arial"/>
                <w:b/>
                <w:sz w:val="20"/>
                <w:szCs w:val="20"/>
              </w:rPr>
              <w:t>Classification</w:t>
            </w: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left="489" w:hanging="756"/>
              <w:jc w:val="both"/>
              <w:rPr>
                <w:rFonts w:ascii="Arial" w:eastAsia="Arial" w:hAnsi="Arial" w:cs="Arial"/>
                <w:color w:val="000000"/>
                <w:sz w:val="20"/>
                <w:szCs w:val="20"/>
              </w:rPr>
            </w:pPr>
            <w:r w:rsidRPr="00E0036F">
              <w:rPr>
                <w:rFonts w:ascii="Arial" w:eastAsia="Arial" w:hAnsi="Arial" w:cs="Arial"/>
                <w:color w:val="000000"/>
                <w:sz w:val="20"/>
                <w:szCs w:val="20"/>
              </w:rPr>
              <w:t xml:space="preserve">    A15. As in example 4, the entity classifies CU750</w:t>
            </w:r>
            <w:proofErr w:type="gramStart"/>
            <w:r w:rsidRPr="00E0036F">
              <w:rPr>
                <w:rFonts w:ascii="Arial" w:eastAsia="Arial" w:hAnsi="Arial" w:cs="Arial"/>
                <w:color w:val="000000"/>
                <w:sz w:val="20"/>
                <w:szCs w:val="20"/>
              </w:rPr>
              <w:t>,000</w:t>
            </w:r>
            <w:proofErr w:type="gramEnd"/>
            <w:r w:rsidRPr="00E0036F">
              <w:rPr>
                <w:rFonts w:ascii="Arial" w:eastAsia="Arial" w:hAnsi="Arial" w:cs="Arial"/>
                <w:color w:val="000000"/>
                <w:sz w:val="20"/>
                <w:szCs w:val="20"/>
              </w:rPr>
              <w:t xml:space="preserve"> as equity and CU150,000 as a financial liability. This is because the amount classified as a liability is based on the entity’s unconditional right to refuse redemption and not on conditional restrictions that prevent redemption only if liquidity or other conditions are not met and then only until such time as they are met. The provisions of paragraphs 19 and AG25 of IAS 32 apply in this case.</w:t>
            </w:r>
          </w:p>
          <w:p w:rsidR="00247933" w:rsidRPr="00E0036F" w:rsidRDefault="00247933" w:rsidP="00AD3A25">
            <w:pPr>
              <w:pBdr>
                <w:top w:val="nil"/>
                <w:left w:val="nil"/>
                <w:bottom w:val="nil"/>
                <w:right w:val="nil"/>
                <w:between w:val="nil"/>
              </w:pBdr>
              <w:spacing w:line="259" w:lineRule="auto"/>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firstLine="503"/>
              <w:jc w:val="both"/>
              <w:rPr>
                <w:rFonts w:ascii="Arial" w:eastAsia="Arial" w:hAnsi="Arial" w:cs="Arial"/>
                <w:b/>
                <w:sz w:val="20"/>
                <w:szCs w:val="20"/>
              </w:rPr>
            </w:pPr>
            <w:r w:rsidRPr="00E0036F">
              <w:rPr>
                <w:rFonts w:ascii="Arial" w:eastAsia="Arial" w:hAnsi="Arial" w:cs="Arial"/>
                <w:b/>
                <w:sz w:val="20"/>
                <w:szCs w:val="20"/>
              </w:rPr>
              <w:t>Example 6</w:t>
            </w:r>
          </w:p>
          <w:p w:rsidR="00247933" w:rsidRPr="00E0036F" w:rsidRDefault="00247933" w:rsidP="00984C26">
            <w:pPr>
              <w:pBdr>
                <w:top w:val="nil"/>
                <w:left w:val="nil"/>
                <w:bottom w:val="nil"/>
                <w:right w:val="nil"/>
                <w:between w:val="nil"/>
              </w:pBdr>
              <w:spacing w:line="259" w:lineRule="auto"/>
              <w:ind w:firstLine="503"/>
              <w:jc w:val="both"/>
              <w:rPr>
                <w:rFonts w:ascii="Arial" w:eastAsia="Arial" w:hAnsi="Arial" w:cs="Arial"/>
                <w:sz w:val="20"/>
                <w:szCs w:val="20"/>
              </w:rPr>
            </w:pPr>
          </w:p>
          <w:p w:rsidR="00BC4D40" w:rsidRPr="00E0036F" w:rsidRDefault="003559DB" w:rsidP="00984C26">
            <w:pPr>
              <w:pBdr>
                <w:top w:val="nil"/>
                <w:left w:val="nil"/>
                <w:bottom w:val="nil"/>
                <w:right w:val="nil"/>
                <w:between w:val="nil"/>
              </w:pBdr>
              <w:spacing w:line="259" w:lineRule="auto"/>
              <w:ind w:firstLine="503"/>
              <w:jc w:val="both"/>
              <w:rPr>
                <w:rFonts w:ascii="Arial" w:eastAsia="Arial" w:hAnsi="Arial" w:cs="Arial"/>
                <w:b/>
                <w:sz w:val="20"/>
                <w:szCs w:val="20"/>
              </w:rPr>
            </w:pPr>
            <w:r w:rsidRPr="00E0036F">
              <w:rPr>
                <w:rFonts w:ascii="Arial" w:eastAsia="Arial" w:hAnsi="Arial" w:cs="Arial"/>
                <w:b/>
                <w:sz w:val="20"/>
                <w:szCs w:val="20"/>
              </w:rPr>
              <w:t>Facts</w:t>
            </w:r>
          </w:p>
          <w:p w:rsidR="00BC4D40" w:rsidRPr="00E0036F" w:rsidRDefault="00BC4D40" w:rsidP="00AD3A25">
            <w:pPr>
              <w:pBdr>
                <w:top w:val="nil"/>
                <w:left w:val="nil"/>
                <w:bottom w:val="nil"/>
                <w:right w:val="nil"/>
                <w:between w:val="nil"/>
              </w:pBdr>
              <w:spacing w:line="259" w:lineRule="auto"/>
              <w:ind w:firstLine="731"/>
              <w:jc w:val="both"/>
              <w:rPr>
                <w:rFonts w:ascii="Arial" w:eastAsia="Arial" w:hAnsi="Arial" w:cs="Arial"/>
                <w:b/>
                <w:sz w:val="20"/>
                <w:szCs w:val="20"/>
              </w:rPr>
            </w:pPr>
          </w:p>
          <w:p w:rsidR="00247933" w:rsidRPr="00E0036F" w:rsidRDefault="00BC4D40" w:rsidP="00984C26">
            <w:pPr>
              <w:pBdr>
                <w:top w:val="nil"/>
                <w:left w:val="nil"/>
                <w:bottom w:val="nil"/>
                <w:right w:val="nil"/>
                <w:between w:val="nil"/>
              </w:pBdr>
              <w:spacing w:line="259" w:lineRule="auto"/>
              <w:ind w:left="503" w:hanging="532"/>
              <w:jc w:val="both"/>
              <w:rPr>
                <w:rFonts w:ascii="Arial" w:eastAsia="Arial" w:hAnsi="Arial" w:cs="Arial"/>
                <w:b/>
                <w:sz w:val="20"/>
                <w:szCs w:val="20"/>
              </w:rPr>
            </w:pPr>
            <w:r w:rsidRPr="00E0036F">
              <w:rPr>
                <w:rFonts w:ascii="Arial" w:eastAsia="Arial" w:hAnsi="Arial" w:cs="Arial"/>
                <w:sz w:val="20"/>
                <w:szCs w:val="20"/>
              </w:rPr>
              <w:t>A16.</w:t>
            </w:r>
            <w:r w:rsidR="00984C26" w:rsidRPr="00E0036F">
              <w:rPr>
                <w:rFonts w:ascii="Arial" w:eastAsia="Arial" w:hAnsi="Arial" w:cs="Arial"/>
                <w:sz w:val="20"/>
                <w:szCs w:val="20"/>
              </w:rPr>
              <w:t xml:space="preserve"> </w:t>
            </w:r>
            <w:r w:rsidRPr="00E0036F">
              <w:rPr>
                <w:rFonts w:ascii="Arial" w:eastAsia="Arial" w:hAnsi="Arial" w:cs="Arial"/>
                <w:color w:val="000000"/>
                <w:sz w:val="20"/>
                <w:szCs w:val="20"/>
              </w:rPr>
              <w:t>The entity’s governing charter prohibits it from redeeming members’ shares, except to the extent of proceeds received from the issue of additional members’ shares to new or existing members during the preceding three years. Proceeds from issuing members’ shares must be applied to redeem shares for which members have requested redemption. During the three preceding years, the proceeds from issuing members’ shares have been CU12</w:t>
            </w:r>
            <w:proofErr w:type="gramStart"/>
            <w:r w:rsidRPr="00E0036F">
              <w:rPr>
                <w:rFonts w:ascii="Arial" w:eastAsia="Arial" w:hAnsi="Arial" w:cs="Arial"/>
                <w:color w:val="000000"/>
                <w:sz w:val="20"/>
                <w:szCs w:val="20"/>
              </w:rPr>
              <w:t>,000</w:t>
            </w:r>
            <w:proofErr w:type="gramEnd"/>
            <w:r w:rsidRPr="00E0036F">
              <w:rPr>
                <w:rFonts w:ascii="Arial" w:eastAsia="Arial" w:hAnsi="Arial" w:cs="Arial"/>
                <w:color w:val="000000"/>
                <w:sz w:val="20"/>
                <w:szCs w:val="20"/>
              </w:rPr>
              <w:t xml:space="preserve"> and no member’s shares have been redeemed.</w:t>
            </w:r>
          </w:p>
          <w:p w:rsidR="00BC4D40" w:rsidRPr="00E0036F" w:rsidRDefault="00BC4D40" w:rsidP="00AD3A25">
            <w:pPr>
              <w:pBdr>
                <w:top w:val="nil"/>
                <w:left w:val="nil"/>
                <w:bottom w:val="nil"/>
                <w:right w:val="nil"/>
                <w:between w:val="nil"/>
              </w:pBdr>
              <w:spacing w:line="259" w:lineRule="auto"/>
              <w:ind w:left="738" w:hanging="425"/>
              <w:jc w:val="both"/>
              <w:rPr>
                <w:rFonts w:ascii="Arial" w:eastAsia="Arial" w:hAnsi="Arial" w:cs="Arial"/>
                <w:b/>
                <w:sz w:val="20"/>
                <w:szCs w:val="20"/>
              </w:rPr>
            </w:pPr>
          </w:p>
          <w:p w:rsidR="00247933" w:rsidRPr="00E0036F" w:rsidRDefault="003559DB" w:rsidP="00984C26">
            <w:pPr>
              <w:pBdr>
                <w:top w:val="nil"/>
                <w:left w:val="nil"/>
                <w:bottom w:val="nil"/>
                <w:right w:val="nil"/>
                <w:between w:val="nil"/>
              </w:pBdr>
              <w:spacing w:line="259" w:lineRule="auto"/>
              <w:ind w:firstLine="454"/>
              <w:jc w:val="both"/>
              <w:rPr>
                <w:rFonts w:ascii="Arial" w:eastAsia="Arial" w:hAnsi="Arial" w:cs="Arial"/>
                <w:b/>
                <w:sz w:val="20"/>
                <w:szCs w:val="20"/>
              </w:rPr>
            </w:pPr>
            <w:r w:rsidRPr="00E0036F">
              <w:rPr>
                <w:rFonts w:ascii="Arial" w:eastAsia="Arial" w:hAnsi="Arial" w:cs="Arial"/>
                <w:b/>
                <w:sz w:val="20"/>
                <w:szCs w:val="20"/>
              </w:rPr>
              <w:t>Classification</w:t>
            </w:r>
          </w:p>
          <w:p w:rsidR="00247933" w:rsidRPr="00E0036F" w:rsidRDefault="00247933" w:rsidP="00984C26">
            <w:pPr>
              <w:pBdr>
                <w:top w:val="nil"/>
                <w:left w:val="nil"/>
                <w:bottom w:val="nil"/>
                <w:right w:val="nil"/>
                <w:between w:val="nil"/>
              </w:pBdr>
              <w:spacing w:line="259" w:lineRule="auto"/>
              <w:ind w:left="731" w:firstLine="454"/>
              <w:jc w:val="both"/>
              <w:rPr>
                <w:rFonts w:ascii="Arial" w:eastAsia="Arial" w:hAnsi="Arial" w:cs="Arial"/>
                <w:color w:val="000000"/>
                <w:sz w:val="20"/>
                <w:szCs w:val="20"/>
              </w:rPr>
            </w:pPr>
          </w:p>
          <w:p w:rsidR="00247933" w:rsidRPr="00E0036F" w:rsidRDefault="003559DB" w:rsidP="00E11C96">
            <w:pPr>
              <w:pBdr>
                <w:top w:val="nil"/>
                <w:left w:val="nil"/>
                <w:bottom w:val="nil"/>
                <w:right w:val="nil"/>
                <w:between w:val="nil"/>
              </w:pBdr>
              <w:spacing w:line="259" w:lineRule="auto"/>
              <w:ind w:left="447" w:hanging="750"/>
              <w:jc w:val="both"/>
              <w:rPr>
                <w:rFonts w:ascii="Arial" w:eastAsia="Arial" w:hAnsi="Arial" w:cs="Arial"/>
                <w:color w:val="000000"/>
                <w:sz w:val="20"/>
                <w:szCs w:val="20"/>
              </w:rPr>
            </w:pPr>
            <w:r w:rsidRPr="00E0036F">
              <w:rPr>
                <w:rFonts w:ascii="Arial" w:eastAsia="Arial" w:hAnsi="Arial" w:cs="Arial"/>
                <w:color w:val="000000"/>
                <w:sz w:val="20"/>
                <w:szCs w:val="20"/>
              </w:rPr>
              <w:t xml:space="preserve">    A17. The entity classifies CU12</w:t>
            </w:r>
            <w:proofErr w:type="gramStart"/>
            <w:r w:rsidRPr="00E0036F">
              <w:rPr>
                <w:rFonts w:ascii="Arial" w:eastAsia="Arial" w:hAnsi="Arial" w:cs="Arial"/>
                <w:color w:val="000000"/>
                <w:sz w:val="20"/>
                <w:szCs w:val="20"/>
              </w:rPr>
              <w:t>,000</w:t>
            </w:r>
            <w:proofErr w:type="gramEnd"/>
            <w:r w:rsidRPr="00E0036F">
              <w:rPr>
                <w:rFonts w:ascii="Arial" w:eastAsia="Arial" w:hAnsi="Arial" w:cs="Arial"/>
                <w:color w:val="000000"/>
                <w:sz w:val="20"/>
                <w:szCs w:val="20"/>
              </w:rPr>
              <w:t xml:space="preserve"> of the members’ shares as financial </w:t>
            </w:r>
            <w:r w:rsidRPr="00E0036F">
              <w:rPr>
                <w:rFonts w:ascii="Arial" w:eastAsia="Arial" w:hAnsi="Arial" w:cs="Arial"/>
                <w:color w:val="000000"/>
                <w:sz w:val="20"/>
                <w:szCs w:val="20"/>
              </w:rPr>
              <w:lastRenderedPageBreak/>
              <w:t>liabilities. Consistently with the conclusions described in example 4, members’ shares subject to an unconditional prohibition against redemption are not financial liabilities. Such an unconditional prohibition applies to an amount equal to the proceeds of shares issued before the preceding three years, and accordingly, this amount is classified as equity. However, an amount equal to the proceeds from any shares issued in the preceding three years is not subject to an unconditional prohibition on redemption. Accordingly, proceeds from the issue of members’ shares in the preceding three years give rise to financial liabilities until they are no longer available for redemption of members’ shares. As a result the entity has a financial liability equal to the proceeds of shares issued during the three preceding years, net of any redemptions during that period.</w:t>
            </w:r>
          </w:p>
          <w:p w:rsidR="00247933" w:rsidRPr="00E0036F" w:rsidRDefault="00247933" w:rsidP="00984C26">
            <w:pPr>
              <w:pBdr>
                <w:top w:val="nil"/>
                <w:left w:val="nil"/>
                <w:bottom w:val="nil"/>
                <w:right w:val="nil"/>
                <w:between w:val="nil"/>
              </w:pBdr>
              <w:spacing w:line="259" w:lineRule="auto"/>
              <w:ind w:left="447" w:hanging="686"/>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firstLine="454"/>
              <w:jc w:val="both"/>
              <w:rPr>
                <w:rFonts w:ascii="Arial" w:eastAsia="Arial" w:hAnsi="Arial" w:cs="Arial"/>
                <w:b/>
                <w:sz w:val="20"/>
                <w:szCs w:val="20"/>
              </w:rPr>
            </w:pPr>
            <w:r w:rsidRPr="00E0036F">
              <w:rPr>
                <w:rFonts w:ascii="Arial" w:eastAsia="Arial" w:hAnsi="Arial" w:cs="Arial"/>
                <w:b/>
                <w:sz w:val="20"/>
                <w:szCs w:val="20"/>
              </w:rPr>
              <w:t>Example 7</w:t>
            </w:r>
          </w:p>
          <w:p w:rsidR="00247933" w:rsidRPr="00E0036F" w:rsidRDefault="00247933" w:rsidP="00984C26">
            <w:pPr>
              <w:pBdr>
                <w:top w:val="nil"/>
                <w:left w:val="nil"/>
                <w:bottom w:val="nil"/>
                <w:right w:val="nil"/>
                <w:between w:val="nil"/>
              </w:pBdr>
              <w:spacing w:line="259" w:lineRule="auto"/>
              <w:ind w:firstLine="454"/>
              <w:jc w:val="both"/>
              <w:rPr>
                <w:rFonts w:ascii="Arial" w:eastAsia="Arial" w:hAnsi="Arial" w:cs="Arial"/>
                <w:b/>
                <w:sz w:val="20"/>
                <w:szCs w:val="20"/>
              </w:rPr>
            </w:pPr>
          </w:p>
          <w:p w:rsidR="00247933" w:rsidRPr="00E0036F" w:rsidRDefault="003559DB" w:rsidP="00984C26">
            <w:pPr>
              <w:pBdr>
                <w:top w:val="nil"/>
                <w:left w:val="nil"/>
                <w:bottom w:val="nil"/>
                <w:right w:val="nil"/>
                <w:between w:val="nil"/>
              </w:pBdr>
              <w:spacing w:line="259" w:lineRule="auto"/>
              <w:ind w:firstLine="454"/>
              <w:jc w:val="both"/>
              <w:rPr>
                <w:rFonts w:ascii="Arial" w:eastAsia="Arial" w:hAnsi="Arial" w:cs="Arial"/>
                <w:b/>
                <w:sz w:val="20"/>
                <w:szCs w:val="20"/>
              </w:rPr>
            </w:pPr>
            <w:r w:rsidRPr="00E0036F">
              <w:rPr>
                <w:rFonts w:ascii="Arial" w:eastAsia="Arial" w:hAnsi="Arial" w:cs="Arial"/>
                <w:b/>
                <w:sz w:val="20"/>
                <w:szCs w:val="20"/>
              </w:rPr>
              <w:t>Facts</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984C26">
            <w:pPr>
              <w:pBdr>
                <w:top w:val="nil"/>
                <w:left w:val="nil"/>
                <w:bottom w:val="nil"/>
                <w:right w:val="nil"/>
                <w:between w:val="nil"/>
              </w:pBdr>
              <w:spacing w:line="259" w:lineRule="auto"/>
              <w:ind w:left="454" w:hanging="709"/>
              <w:jc w:val="both"/>
              <w:rPr>
                <w:rFonts w:ascii="Arial" w:eastAsia="Arial" w:hAnsi="Arial" w:cs="Arial"/>
                <w:color w:val="000000"/>
                <w:sz w:val="20"/>
                <w:szCs w:val="20"/>
              </w:rPr>
            </w:pPr>
            <w:r w:rsidRPr="00E0036F">
              <w:rPr>
                <w:rFonts w:ascii="Arial" w:eastAsia="Arial" w:hAnsi="Arial" w:cs="Arial"/>
                <w:color w:val="000000"/>
                <w:sz w:val="20"/>
                <w:szCs w:val="20"/>
              </w:rPr>
              <w:t xml:space="preserve">    A18. The entity is a co</w:t>
            </w:r>
            <w:r w:rsidRPr="00E0036F">
              <w:rPr>
                <w:rFonts w:ascii="Cambria Math" w:eastAsia="Cambria Math" w:hAnsi="Cambria Math" w:cs="Cambria Math"/>
                <w:color w:val="000000"/>
                <w:sz w:val="20"/>
                <w:szCs w:val="20"/>
              </w:rPr>
              <w:t>‑</w:t>
            </w:r>
            <w:r w:rsidRPr="00E0036F">
              <w:rPr>
                <w:rFonts w:ascii="Arial" w:eastAsia="Arial" w:hAnsi="Arial" w:cs="Arial"/>
                <w:color w:val="000000"/>
                <w:sz w:val="20"/>
                <w:szCs w:val="20"/>
              </w:rPr>
              <w:t>operative bank. Local law governing the operations of co</w:t>
            </w:r>
            <w:r w:rsidRPr="00E0036F">
              <w:rPr>
                <w:rFonts w:ascii="Cambria Math" w:eastAsia="Cambria Math" w:hAnsi="Cambria Math" w:cs="Cambria Math"/>
                <w:color w:val="000000"/>
                <w:sz w:val="20"/>
                <w:szCs w:val="20"/>
              </w:rPr>
              <w:t>‑</w:t>
            </w:r>
            <w:r w:rsidRPr="00E0036F">
              <w:rPr>
                <w:rFonts w:ascii="Arial" w:eastAsia="Arial" w:hAnsi="Arial" w:cs="Arial"/>
                <w:color w:val="000000"/>
                <w:sz w:val="20"/>
                <w:szCs w:val="20"/>
              </w:rPr>
              <w:t>operative banks state that at least 50 per cent of the entity’s total ‘outstanding liabilities’ (a term defined in the regulations to include members’ share accounts) has to be in the form of members’ paid</w:t>
            </w:r>
            <w:r w:rsidRPr="00E0036F">
              <w:rPr>
                <w:rFonts w:ascii="Cambria Math" w:eastAsia="Cambria Math" w:hAnsi="Cambria Math" w:cs="Cambria Math"/>
                <w:color w:val="000000"/>
                <w:sz w:val="20"/>
                <w:szCs w:val="20"/>
              </w:rPr>
              <w:t>‑</w:t>
            </w:r>
            <w:r w:rsidRPr="00E0036F">
              <w:rPr>
                <w:rFonts w:ascii="Arial" w:eastAsia="Arial" w:hAnsi="Arial" w:cs="Arial"/>
                <w:color w:val="000000"/>
                <w:sz w:val="20"/>
                <w:szCs w:val="20"/>
              </w:rPr>
              <w:t>in capital. The effect of the regulation is that if all of a co</w:t>
            </w:r>
            <w:r w:rsidRPr="00E0036F">
              <w:rPr>
                <w:rFonts w:ascii="Cambria Math" w:eastAsia="Cambria Math" w:hAnsi="Cambria Math" w:cs="Cambria Math"/>
                <w:color w:val="000000"/>
                <w:sz w:val="20"/>
                <w:szCs w:val="20"/>
              </w:rPr>
              <w:t>‑</w:t>
            </w:r>
            <w:r w:rsidRPr="00E0036F">
              <w:rPr>
                <w:rFonts w:ascii="Arial" w:eastAsia="Arial" w:hAnsi="Arial" w:cs="Arial"/>
                <w:color w:val="000000"/>
                <w:sz w:val="20"/>
                <w:szCs w:val="20"/>
              </w:rPr>
              <w:t>operative’s outstanding liabilities are in the form of members’ shares, it is able to redeem them all. On 31 December 20X1 the entity has total outstanding liabilities of CU200</w:t>
            </w:r>
            <w:proofErr w:type="gramStart"/>
            <w:r w:rsidRPr="00E0036F">
              <w:rPr>
                <w:rFonts w:ascii="Arial" w:eastAsia="Arial" w:hAnsi="Arial" w:cs="Arial"/>
                <w:color w:val="000000"/>
                <w:sz w:val="20"/>
                <w:szCs w:val="20"/>
              </w:rPr>
              <w:t>,000</w:t>
            </w:r>
            <w:proofErr w:type="gramEnd"/>
            <w:r w:rsidRPr="00E0036F">
              <w:rPr>
                <w:rFonts w:ascii="Arial" w:eastAsia="Arial" w:hAnsi="Arial" w:cs="Arial"/>
                <w:color w:val="000000"/>
                <w:sz w:val="20"/>
                <w:szCs w:val="20"/>
              </w:rPr>
              <w:t>, of which CU125,000 represent members’ share accounts. The terms of the members’ share accounts permit the holder to redeem them on demand and there are no limitations on redemption in the entity’s charter.</w:t>
            </w: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firstLine="454"/>
              <w:jc w:val="both"/>
              <w:rPr>
                <w:rFonts w:ascii="Arial" w:eastAsia="Arial" w:hAnsi="Arial" w:cs="Arial"/>
                <w:b/>
                <w:sz w:val="20"/>
                <w:szCs w:val="20"/>
              </w:rPr>
            </w:pPr>
            <w:r w:rsidRPr="00E0036F">
              <w:rPr>
                <w:rFonts w:ascii="Arial" w:eastAsia="Arial" w:hAnsi="Arial" w:cs="Arial"/>
                <w:b/>
                <w:sz w:val="20"/>
                <w:szCs w:val="20"/>
              </w:rPr>
              <w:t>Classification</w:t>
            </w:r>
          </w:p>
          <w:p w:rsidR="00247933" w:rsidRPr="00E0036F" w:rsidRDefault="00247933" w:rsidP="00984C26">
            <w:pPr>
              <w:pBdr>
                <w:top w:val="nil"/>
                <w:left w:val="nil"/>
                <w:bottom w:val="nil"/>
                <w:right w:val="nil"/>
                <w:between w:val="nil"/>
              </w:pBdr>
              <w:spacing w:line="259" w:lineRule="auto"/>
              <w:ind w:left="419" w:hanging="700"/>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left="419" w:hanging="700"/>
              <w:jc w:val="both"/>
              <w:rPr>
                <w:rFonts w:ascii="Arial" w:eastAsia="Arial" w:hAnsi="Arial" w:cs="Arial"/>
                <w:color w:val="000000"/>
                <w:sz w:val="20"/>
                <w:szCs w:val="20"/>
              </w:rPr>
            </w:pPr>
            <w:r w:rsidRPr="00E0036F">
              <w:rPr>
                <w:rFonts w:ascii="Arial" w:eastAsia="Arial" w:hAnsi="Arial" w:cs="Arial"/>
                <w:color w:val="000000"/>
                <w:sz w:val="20"/>
                <w:szCs w:val="20"/>
              </w:rPr>
              <w:t xml:space="preserve">    A19. In this example members’ shares are classified as financial liabilities. The redemption prohibition is similar to the restrictions described in paragraphs 19 and AG25 of IAS 32. The restriction is a conditional limitation on the ability of the entity to pay the amount due on a financial liability, ie they prevent payment of the liability only if specified </w:t>
            </w:r>
            <w:r w:rsidRPr="00E0036F">
              <w:rPr>
                <w:rFonts w:ascii="Arial" w:eastAsia="Arial" w:hAnsi="Arial" w:cs="Arial"/>
                <w:color w:val="000000"/>
                <w:sz w:val="20"/>
                <w:szCs w:val="20"/>
              </w:rPr>
              <w:lastRenderedPageBreak/>
              <w:t>conditions are met. More specifically, the entity could be required to redeem the entire amount of members’ shares (CU125</w:t>
            </w:r>
            <w:proofErr w:type="gramStart"/>
            <w:r w:rsidRPr="00E0036F">
              <w:rPr>
                <w:rFonts w:ascii="Arial" w:eastAsia="Arial" w:hAnsi="Arial" w:cs="Arial"/>
                <w:color w:val="000000"/>
                <w:sz w:val="20"/>
                <w:szCs w:val="20"/>
              </w:rPr>
              <w:t>,000</w:t>
            </w:r>
            <w:proofErr w:type="gramEnd"/>
            <w:r w:rsidRPr="00E0036F">
              <w:rPr>
                <w:rFonts w:ascii="Arial" w:eastAsia="Arial" w:hAnsi="Arial" w:cs="Arial"/>
                <w:color w:val="000000"/>
                <w:sz w:val="20"/>
                <w:szCs w:val="20"/>
              </w:rPr>
              <w:t>) if it repaid all of its other liabilities (CU75,000). Consequently, the prohibition against redemption does not prevent the entity from incurring a financial liability to redeem more than a specified number of members’ shares or amount of paid</w:t>
            </w:r>
            <w:r w:rsidRPr="00E0036F">
              <w:rPr>
                <w:rFonts w:ascii="Cambria Math" w:eastAsia="Cambria Math" w:hAnsi="Cambria Math" w:cs="Cambria Math"/>
                <w:color w:val="000000"/>
                <w:sz w:val="20"/>
                <w:szCs w:val="20"/>
              </w:rPr>
              <w:t>‑</w:t>
            </w:r>
            <w:r w:rsidRPr="00E0036F">
              <w:rPr>
                <w:rFonts w:ascii="Arial" w:eastAsia="Arial" w:hAnsi="Arial" w:cs="Arial"/>
                <w:color w:val="000000"/>
                <w:sz w:val="20"/>
                <w:szCs w:val="20"/>
              </w:rPr>
              <w:t>in capital. It allows the entity only to defer redemption until a condition is met, ie the repayment of other liabilities. Members’ shares in this example are not subject to an unconditional prohibition against redemption and are therefore classified as financial liabilities.</w:t>
            </w:r>
          </w:p>
        </w:tc>
        <w:tc>
          <w:tcPr>
            <w:tcW w:w="6804" w:type="dxa"/>
          </w:tcPr>
          <w:p w:rsidR="00247933" w:rsidRPr="00E0036F" w:rsidRDefault="00247933" w:rsidP="00AD3A25">
            <w:pPr>
              <w:spacing w:line="259" w:lineRule="auto"/>
              <w:rPr>
                <w:rFonts w:ascii="Arial" w:eastAsia="Arial" w:hAnsi="Arial" w:cs="Arial"/>
                <w:b/>
                <w:sz w:val="20"/>
                <w:szCs w:val="20"/>
              </w:rPr>
            </w:pPr>
          </w:p>
          <w:p w:rsidR="00247933" w:rsidRPr="00E0036F" w:rsidRDefault="003559DB" w:rsidP="00AD3A25">
            <w:pPr>
              <w:spacing w:line="259" w:lineRule="auto"/>
              <w:jc w:val="both"/>
              <w:rPr>
                <w:rFonts w:ascii="Arial" w:eastAsia="Arial" w:hAnsi="Arial" w:cs="Arial"/>
                <w:b/>
                <w:sz w:val="24"/>
                <w:szCs w:val="24"/>
              </w:rPr>
            </w:pPr>
            <w:r w:rsidRPr="00E0036F">
              <w:rPr>
                <w:rFonts w:ascii="Arial" w:eastAsia="Arial" w:hAnsi="Arial" w:cs="Arial"/>
                <w:b/>
                <w:sz w:val="24"/>
                <w:szCs w:val="24"/>
              </w:rPr>
              <w:t>Phụ lục</w:t>
            </w:r>
          </w:p>
          <w:p w:rsidR="00247933" w:rsidRPr="00E0036F" w:rsidRDefault="003559DB" w:rsidP="00AD3A25">
            <w:pPr>
              <w:spacing w:line="259" w:lineRule="auto"/>
              <w:jc w:val="both"/>
              <w:rPr>
                <w:rFonts w:ascii="Arial" w:eastAsia="Arial" w:hAnsi="Arial" w:cs="Arial"/>
                <w:b/>
                <w:sz w:val="24"/>
                <w:szCs w:val="24"/>
              </w:rPr>
            </w:pPr>
            <w:r w:rsidRPr="00E0036F">
              <w:rPr>
                <w:rFonts w:ascii="Arial" w:eastAsia="Arial" w:hAnsi="Arial" w:cs="Arial"/>
                <w:b/>
                <w:sz w:val="24"/>
                <w:szCs w:val="24"/>
              </w:rPr>
              <w:t>Ví dụ về việc áp dụng sự đồng thuận</w:t>
            </w:r>
          </w:p>
          <w:p w:rsidR="00AA41EC" w:rsidRPr="00E0036F" w:rsidRDefault="00AA41EC" w:rsidP="00AD3A25">
            <w:pPr>
              <w:spacing w:line="259" w:lineRule="auto"/>
              <w:jc w:val="both"/>
              <w:rPr>
                <w:rFonts w:ascii="Arial" w:eastAsia="Arial" w:hAnsi="Arial" w:cs="Arial"/>
                <w:b/>
                <w:sz w:val="20"/>
                <w:szCs w:val="20"/>
              </w:rPr>
            </w:pPr>
          </w:p>
          <w:p w:rsidR="00EC6B41" w:rsidRPr="00E0036F" w:rsidRDefault="00EC6B41" w:rsidP="00AD3A25">
            <w:pPr>
              <w:spacing w:line="259" w:lineRule="auto"/>
              <w:jc w:val="both"/>
              <w:rPr>
                <w:rFonts w:ascii="Arial" w:eastAsia="Arial" w:hAnsi="Arial" w:cs="Arial"/>
                <w:i/>
                <w:sz w:val="17"/>
                <w:szCs w:val="17"/>
              </w:rPr>
            </w:pPr>
            <w:r w:rsidRPr="00E0036F">
              <w:rPr>
                <w:rFonts w:ascii="Arial" w:eastAsia="Arial" w:hAnsi="Arial" w:cs="Arial"/>
                <w:i/>
                <w:sz w:val="17"/>
                <w:szCs w:val="17"/>
              </w:rPr>
              <w:t xml:space="preserve">Phụ lục này là một phần </w:t>
            </w:r>
            <w:r w:rsidR="00633A9D" w:rsidRPr="00E0036F">
              <w:rPr>
                <w:rFonts w:ascii="Arial" w:eastAsia="Arial" w:hAnsi="Arial" w:cs="Arial"/>
                <w:i/>
                <w:sz w:val="17"/>
                <w:szCs w:val="17"/>
              </w:rPr>
              <w:t>cấu thành</w:t>
            </w:r>
            <w:r w:rsidRPr="00E0036F">
              <w:rPr>
                <w:rFonts w:ascii="Arial" w:eastAsia="Arial" w:hAnsi="Arial" w:cs="Arial"/>
                <w:i/>
                <w:sz w:val="17"/>
                <w:szCs w:val="17"/>
              </w:rPr>
              <w:t xml:space="preserve"> </w:t>
            </w:r>
            <w:r w:rsidR="00B2628A" w:rsidRPr="00E0036F">
              <w:rPr>
                <w:rFonts w:ascii="Arial" w:eastAsia="Arial" w:hAnsi="Arial" w:cs="Arial"/>
                <w:i/>
                <w:sz w:val="17"/>
                <w:szCs w:val="17"/>
              </w:rPr>
              <w:t>Giải trình.</w:t>
            </w:r>
          </w:p>
          <w:p w:rsidR="00247933" w:rsidRPr="00E0036F" w:rsidRDefault="00247933" w:rsidP="00AD3A25">
            <w:pPr>
              <w:spacing w:line="259" w:lineRule="auto"/>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left="369" w:hanging="709"/>
              <w:jc w:val="both"/>
              <w:rPr>
                <w:rFonts w:ascii="Arial" w:eastAsia="Arial" w:hAnsi="Arial" w:cs="Arial"/>
                <w:color w:val="000000"/>
                <w:sz w:val="20"/>
                <w:szCs w:val="20"/>
              </w:rPr>
            </w:pPr>
            <w:r w:rsidRPr="00E0036F">
              <w:rPr>
                <w:rFonts w:ascii="Arial" w:eastAsia="Arial" w:hAnsi="Arial" w:cs="Arial"/>
                <w:color w:val="000000"/>
                <w:sz w:val="20"/>
                <w:szCs w:val="20"/>
              </w:rPr>
              <w:t xml:space="preserve">      A1. Phụ này đưa ra bảy ví dụ về việc áp dụng sự đồng thuận của IFRIC. Các ví dụ không tạo thành một danh sách đầy đủ, các dữ kiện khác là có thể. Mỗi ví dụ giả định rằng không có điều kiện nào khác ngoài những điều kiện được nêu trong d</w:t>
            </w:r>
            <w:r w:rsidRPr="00E0036F">
              <w:rPr>
                <w:rFonts w:ascii="Arial" w:eastAsia="Arial" w:hAnsi="Arial" w:cs="Arial"/>
                <w:sz w:val="20"/>
                <w:szCs w:val="20"/>
              </w:rPr>
              <w:t>ữ</w:t>
            </w:r>
            <w:r w:rsidRPr="00E0036F">
              <w:rPr>
                <w:rFonts w:ascii="Arial" w:eastAsia="Arial" w:hAnsi="Arial" w:cs="Arial"/>
                <w:color w:val="000000"/>
                <w:sz w:val="20"/>
                <w:szCs w:val="20"/>
              </w:rPr>
              <w:t xml:space="preserve"> kiện của ví dụ mà yêu cầu công cụ tài chính được phân loại thành một khoản nợ phải trả tài chính và công cụ tài chính không có tất c</w:t>
            </w:r>
            <w:r w:rsidRPr="00E0036F">
              <w:rPr>
                <w:rFonts w:ascii="Arial" w:eastAsia="Arial" w:hAnsi="Arial" w:cs="Arial"/>
                <w:sz w:val="20"/>
                <w:szCs w:val="20"/>
              </w:rPr>
              <w:t xml:space="preserve">ả </w:t>
            </w:r>
            <w:r w:rsidRPr="00E0036F">
              <w:rPr>
                <w:rFonts w:ascii="Arial" w:eastAsia="Arial" w:hAnsi="Arial" w:cs="Arial"/>
                <w:color w:val="000000"/>
                <w:sz w:val="20"/>
                <w:szCs w:val="20"/>
              </w:rPr>
              <w:t>các đặc điểm cũng như không thỏa mãn các điều kiện trong đoạn 16A và 16B hoặc đoạn 16C và đoạn 16D của IAS 32.</w:t>
            </w:r>
          </w:p>
          <w:p w:rsidR="00247933" w:rsidRPr="00E0036F" w:rsidRDefault="00247933" w:rsidP="00AD3A25">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247933" w:rsidRPr="00E0036F" w:rsidRDefault="003559DB" w:rsidP="00AD3A25">
            <w:pPr>
              <w:pBdr>
                <w:top w:val="nil"/>
                <w:left w:val="nil"/>
                <w:bottom w:val="nil"/>
                <w:right w:val="nil"/>
                <w:between w:val="nil"/>
              </w:pBdr>
              <w:spacing w:line="259" w:lineRule="auto"/>
              <w:jc w:val="both"/>
              <w:rPr>
                <w:rFonts w:ascii="Arial" w:eastAsia="Arial" w:hAnsi="Arial" w:cs="Arial"/>
                <w:b/>
                <w:u w:val="single"/>
              </w:rPr>
            </w:pPr>
            <w:r w:rsidRPr="00E0036F">
              <w:rPr>
                <w:rFonts w:ascii="Arial" w:eastAsia="Arial" w:hAnsi="Arial" w:cs="Arial"/>
                <w:b/>
                <w:u w:val="single"/>
              </w:rPr>
              <w:t>Quyền vô điều kiện để từ chối sự mua lại</w:t>
            </w:r>
            <w:r w:rsidR="00B2628A" w:rsidRPr="00E0036F">
              <w:rPr>
                <w:rFonts w:ascii="Arial" w:eastAsia="Arial" w:hAnsi="Arial" w:cs="Arial"/>
                <w:b/>
                <w:u w:val="single"/>
              </w:rPr>
              <w:t xml:space="preserve"> (đoạn 7)</w:t>
            </w:r>
          </w:p>
          <w:p w:rsidR="00247933" w:rsidRPr="00E0036F" w:rsidRDefault="00247933" w:rsidP="00AD3A25">
            <w:pPr>
              <w:pBdr>
                <w:top w:val="nil"/>
                <w:left w:val="nil"/>
                <w:bottom w:val="nil"/>
                <w:right w:val="nil"/>
                <w:between w:val="nil"/>
              </w:pBdr>
              <w:spacing w:line="259" w:lineRule="auto"/>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firstLine="368"/>
              <w:jc w:val="both"/>
              <w:rPr>
                <w:rFonts w:ascii="Arial" w:eastAsia="Arial" w:hAnsi="Arial" w:cs="Arial"/>
                <w:b/>
                <w:sz w:val="20"/>
                <w:szCs w:val="20"/>
              </w:rPr>
            </w:pPr>
            <w:r w:rsidRPr="00E0036F">
              <w:rPr>
                <w:rFonts w:ascii="Arial" w:eastAsia="Arial" w:hAnsi="Arial" w:cs="Arial"/>
                <w:b/>
                <w:sz w:val="20"/>
                <w:szCs w:val="20"/>
              </w:rPr>
              <w:t>Ví dụ 1</w:t>
            </w:r>
          </w:p>
          <w:p w:rsidR="00247933" w:rsidRPr="00E0036F" w:rsidRDefault="00247933" w:rsidP="00846801">
            <w:pPr>
              <w:pBdr>
                <w:top w:val="nil"/>
                <w:left w:val="nil"/>
                <w:bottom w:val="nil"/>
                <w:right w:val="nil"/>
                <w:between w:val="nil"/>
              </w:pBdr>
              <w:spacing w:line="259" w:lineRule="auto"/>
              <w:ind w:firstLine="368"/>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firstLine="368"/>
              <w:jc w:val="both"/>
              <w:rPr>
                <w:rFonts w:ascii="Arial" w:eastAsia="Arial" w:hAnsi="Arial" w:cs="Arial"/>
                <w:b/>
                <w:sz w:val="20"/>
                <w:szCs w:val="20"/>
              </w:rPr>
            </w:pPr>
            <w:r w:rsidRPr="00E0036F">
              <w:rPr>
                <w:rFonts w:ascii="Arial" w:eastAsia="Arial" w:hAnsi="Arial" w:cs="Arial"/>
                <w:b/>
                <w:sz w:val="20"/>
                <w:szCs w:val="20"/>
              </w:rPr>
              <w:t>Dữ kiện</w:t>
            </w:r>
          </w:p>
          <w:p w:rsidR="00247933" w:rsidRPr="00E0036F" w:rsidRDefault="00247933" w:rsidP="00846801">
            <w:pPr>
              <w:pBdr>
                <w:top w:val="nil"/>
                <w:left w:val="nil"/>
                <w:bottom w:val="nil"/>
                <w:right w:val="nil"/>
                <w:between w:val="nil"/>
              </w:pBdr>
              <w:spacing w:line="259" w:lineRule="auto"/>
              <w:ind w:firstLine="368"/>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left="368" w:hanging="687"/>
              <w:jc w:val="both"/>
              <w:rPr>
                <w:rFonts w:ascii="Arial" w:eastAsia="Arial" w:hAnsi="Arial" w:cs="Arial"/>
                <w:color w:val="000000"/>
                <w:sz w:val="20"/>
                <w:szCs w:val="20"/>
              </w:rPr>
            </w:pPr>
            <w:r w:rsidRPr="00E0036F">
              <w:rPr>
                <w:rFonts w:ascii="Arial" w:eastAsia="Arial" w:hAnsi="Arial" w:cs="Arial"/>
                <w:color w:val="000000"/>
                <w:sz w:val="20"/>
                <w:szCs w:val="20"/>
              </w:rPr>
              <w:t xml:space="preserve">      A2. Điều lệ của đơn vị khẳng định việc mua lại được thực hiện theo quyết định riêng đơn vị. Điều lệ không cung cấp thêm chi tiết hoặc giới hạn của quyết định đó. Trong lịch sử của đơn vị, đơn vị chưa bao giờ từ chối việc mua lại cổ phần của các thành viên, mặc dù ban điều hành có quyền làm như vậy. </w:t>
            </w:r>
          </w:p>
          <w:p w:rsidR="00846801" w:rsidRPr="00E0036F" w:rsidRDefault="00846801" w:rsidP="00846801">
            <w:pPr>
              <w:pBdr>
                <w:top w:val="nil"/>
                <w:left w:val="nil"/>
                <w:bottom w:val="nil"/>
                <w:right w:val="nil"/>
                <w:between w:val="nil"/>
              </w:pBdr>
              <w:spacing w:line="259" w:lineRule="auto"/>
              <w:jc w:val="both"/>
              <w:rPr>
                <w:rFonts w:ascii="Arial" w:eastAsia="Arial" w:hAnsi="Arial" w:cs="Arial"/>
                <w:color w:val="000000"/>
                <w:sz w:val="20"/>
                <w:szCs w:val="20"/>
              </w:rPr>
            </w:pPr>
          </w:p>
          <w:p w:rsidR="00247933" w:rsidRPr="00E0036F" w:rsidRDefault="003559DB" w:rsidP="00846801">
            <w:pPr>
              <w:pBdr>
                <w:top w:val="nil"/>
                <w:left w:val="nil"/>
                <w:bottom w:val="nil"/>
                <w:right w:val="nil"/>
                <w:between w:val="nil"/>
              </w:pBdr>
              <w:spacing w:line="259" w:lineRule="auto"/>
              <w:ind w:firstLine="368"/>
              <w:jc w:val="both"/>
              <w:rPr>
                <w:rFonts w:ascii="Arial" w:eastAsia="Arial" w:hAnsi="Arial" w:cs="Arial"/>
                <w:b/>
                <w:sz w:val="20"/>
                <w:szCs w:val="20"/>
              </w:rPr>
            </w:pPr>
            <w:r w:rsidRPr="00E0036F">
              <w:rPr>
                <w:rFonts w:ascii="Arial" w:eastAsia="Arial" w:hAnsi="Arial" w:cs="Arial"/>
                <w:b/>
                <w:sz w:val="20"/>
                <w:szCs w:val="20"/>
              </w:rPr>
              <w:t>Phân loại</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left="368" w:hanging="709"/>
              <w:jc w:val="both"/>
              <w:rPr>
                <w:rFonts w:ascii="Arial" w:eastAsia="Arial" w:hAnsi="Arial" w:cs="Arial"/>
                <w:color w:val="000000"/>
                <w:sz w:val="20"/>
                <w:szCs w:val="20"/>
              </w:rPr>
            </w:pPr>
            <w:r w:rsidRPr="00E0036F">
              <w:rPr>
                <w:rFonts w:ascii="Arial" w:eastAsia="Arial" w:hAnsi="Arial" w:cs="Arial"/>
                <w:color w:val="000000"/>
                <w:sz w:val="20"/>
                <w:szCs w:val="20"/>
              </w:rPr>
              <w:t xml:space="preserve">      A3. Đơn vị có quyền </w:t>
            </w:r>
            <w:r w:rsidRPr="00E0036F">
              <w:rPr>
                <w:rFonts w:ascii="Arial" w:eastAsia="Arial" w:hAnsi="Arial" w:cs="Arial"/>
                <w:sz w:val="20"/>
                <w:szCs w:val="20"/>
              </w:rPr>
              <w:t>vô điều kiện</w:t>
            </w:r>
            <w:r w:rsidRPr="00E0036F">
              <w:rPr>
                <w:rFonts w:ascii="Arial" w:eastAsia="Arial" w:hAnsi="Arial" w:cs="Arial"/>
                <w:color w:val="000000"/>
                <w:sz w:val="20"/>
                <w:szCs w:val="20"/>
              </w:rPr>
              <w:t xml:space="preserve"> từ chối sự mua lại và cổ phần của các thành viên là vốn chủ sở hữu. IAS 32 đưa ra quy định về việc phân loại dựa trên định nghĩa của công cụ tài chính và dựa trên lịch sử, </w:t>
            </w:r>
            <w:r w:rsidRPr="00E0036F">
              <w:rPr>
                <w:rFonts w:ascii="Arial" w:eastAsia="Arial" w:hAnsi="Arial" w:cs="Arial"/>
                <w:color w:val="000000"/>
                <w:sz w:val="20"/>
                <w:szCs w:val="20"/>
              </w:rPr>
              <w:lastRenderedPageBreak/>
              <w:t>hoặc dự định thực hiện, những khoản thanh toán tùy ý không dẫn đến việc việc phân loại sang nợ phải trả. Đoạn AG26 của IAS 32 khẳng định:</w:t>
            </w: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247933" w:rsidRPr="00E0036F" w:rsidRDefault="003559DB" w:rsidP="00846801">
            <w:pPr>
              <w:spacing w:line="259" w:lineRule="auto"/>
              <w:ind w:left="1076"/>
              <w:jc w:val="both"/>
              <w:rPr>
                <w:rFonts w:ascii="Arial" w:eastAsia="Arial" w:hAnsi="Arial" w:cs="Arial"/>
                <w:color w:val="000000"/>
                <w:sz w:val="18"/>
                <w:szCs w:val="18"/>
              </w:rPr>
            </w:pPr>
            <w:r w:rsidRPr="00E0036F">
              <w:rPr>
                <w:rFonts w:ascii="Arial" w:eastAsia="Arial" w:hAnsi="Arial" w:cs="Arial"/>
                <w:color w:val="000000"/>
                <w:sz w:val="18"/>
                <w:szCs w:val="18"/>
              </w:rPr>
              <w:t>Khi cổ phiếu ưu đãi là không bồi hoàn, sự phân loại phù hợp được xác định dựa trên các quyền l</w:t>
            </w:r>
            <w:r w:rsidRPr="00E0036F">
              <w:rPr>
                <w:rFonts w:ascii="Arial" w:eastAsia="Arial" w:hAnsi="Arial" w:cs="Arial"/>
                <w:sz w:val="18"/>
                <w:szCs w:val="18"/>
              </w:rPr>
              <w:t xml:space="preserve">ợi </w:t>
            </w:r>
            <w:r w:rsidRPr="00E0036F">
              <w:rPr>
                <w:rFonts w:ascii="Arial" w:eastAsia="Arial" w:hAnsi="Arial" w:cs="Arial"/>
                <w:color w:val="000000"/>
                <w:sz w:val="18"/>
                <w:szCs w:val="18"/>
              </w:rPr>
              <w:t xml:space="preserve">khác gắn liền với nó. Việc phân loại dựa trên sự đánh giá bản chất của thỏa thuận theo hợp đồng và định nghĩa của một khoản nợ phải trả tài chính và một công cụ vốn. Khi phân phối cho người nắm giữ cổ phiếu ưu đãi, dù tích lũy hay không tích lũy, đều tùy ý dựa trên quyết định của </w:t>
            </w:r>
            <w:r w:rsidRPr="00E0036F">
              <w:rPr>
                <w:rFonts w:ascii="Arial" w:eastAsia="Arial" w:hAnsi="Arial" w:cs="Arial"/>
                <w:sz w:val="18"/>
                <w:szCs w:val="18"/>
              </w:rPr>
              <w:t xml:space="preserve">đơn vị </w:t>
            </w:r>
            <w:r w:rsidRPr="00E0036F">
              <w:rPr>
                <w:rFonts w:ascii="Arial" w:eastAsia="Arial" w:hAnsi="Arial" w:cs="Arial"/>
                <w:color w:val="000000"/>
                <w:sz w:val="18"/>
                <w:szCs w:val="18"/>
              </w:rPr>
              <w:t xml:space="preserve">phát hành, khi đó cố phần là công cụ vốn. Việc phân loại một cổ phiếu ưu đãi là một công cụ vốn hoặc một khoản nợ phải trả tài chính không bị ảnh hưởng bởi các </w:t>
            </w:r>
            <w:r w:rsidRPr="00E0036F">
              <w:rPr>
                <w:rFonts w:ascii="Arial" w:eastAsia="Arial" w:hAnsi="Arial" w:cs="Arial"/>
                <w:sz w:val="18"/>
                <w:szCs w:val="18"/>
              </w:rPr>
              <w:t>vấn đề, chẳng hạn như</w:t>
            </w:r>
            <w:r w:rsidRPr="00E0036F">
              <w:rPr>
                <w:rFonts w:ascii="Arial" w:eastAsia="Arial" w:hAnsi="Arial" w:cs="Arial"/>
                <w:color w:val="000000"/>
                <w:sz w:val="18"/>
                <w:szCs w:val="18"/>
              </w:rPr>
              <w:t>:</w:t>
            </w:r>
          </w:p>
          <w:p w:rsidR="00B2628A" w:rsidRPr="00E0036F" w:rsidRDefault="00B2628A" w:rsidP="00846801">
            <w:pPr>
              <w:spacing w:line="259" w:lineRule="auto"/>
              <w:ind w:left="1076"/>
              <w:jc w:val="both"/>
              <w:rPr>
                <w:rFonts w:ascii="Arial" w:eastAsia="Arial" w:hAnsi="Arial" w:cs="Arial"/>
                <w:color w:val="000000"/>
                <w:sz w:val="18"/>
                <w:szCs w:val="18"/>
              </w:rPr>
            </w:pPr>
          </w:p>
          <w:p w:rsidR="00B2628A" w:rsidRPr="00E0036F" w:rsidRDefault="003559DB" w:rsidP="00846801">
            <w:pPr>
              <w:pStyle w:val="ListParagraph"/>
              <w:numPr>
                <w:ilvl w:val="0"/>
                <w:numId w:val="14"/>
              </w:numPr>
              <w:spacing w:line="259" w:lineRule="auto"/>
              <w:ind w:left="1076" w:firstLine="0"/>
              <w:jc w:val="both"/>
              <w:rPr>
                <w:rFonts w:ascii="Arial" w:eastAsia="Arial" w:hAnsi="Arial" w:cs="Arial"/>
                <w:color w:val="000000"/>
                <w:sz w:val="18"/>
                <w:szCs w:val="18"/>
              </w:rPr>
            </w:pPr>
            <w:r w:rsidRPr="00E0036F">
              <w:rPr>
                <w:rFonts w:ascii="Arial" w:eastAsia="Arial" w:hAnsi="Arial" w:cs="Arial"/>
                <w:color w:val="000000"/>
                <w:sz w:val="18"/>
                <w:szCs w:val="18"/>
              </w:rPr>
              <w:t>Lịch sử của việc phân bổ;</w:t>
            </w:r>
          </w:p>
          <w:p w:rsidR="00B2628A" w:rsidRPr="00E0036F" w:rsidRDefault="003559DB" w:rsidP="00846801">
            <w:pPr>
              <w:pStyle w:val="ListParagraph"/>
              <w:numPr>
                <w:ilvl w:val="0"/>
                <w:numId w:val="14"/>
              </w:numPr>
              <w:spacing w:line="259" w:lineRule="auto"/>
              <w:ind w:left="1076" w:firstLine="0"/>
              <w:jc w:val="both"/>
              <w:rPr>
                <w:rFonts w:ascii="Arial" w:eastAsia="Arial" w:hAnsi="Arial" w:cs="Arial"/>
                <w:color w:val="000000"/>
                <w:sz w:val="18"/>
                <w:szCs w:val="18"/>
              </w:rPr>
            </w:pPr>
            <w:r w:rsidRPr="00E0036F">
              <w:rPr>
                <w:rFonts w:ascii="Arial" w:eastAsia="Arial" w:hAnsi="Arial" w:cs="Arial"/>
                <w:color w:val="000000"/>
                <w:sz w:val="18"/>
                <w:szCs w:val="18"/>
              </w:rPr>
              <w:t>Một dự định thực hiện phân bổ trong tương lai;</w:t>
            </w:r>
          </w:p>
          <w:p w:rsidR="00B2628A" w:rsidRPr="00E0036F" w:rsidRDefault="003559DB" w:rsidP="00BB4936">
            <w:pPr>
              <w:pStyle w:val="ListParagraph"/>
              <w:numPr>
                <w:ilvl w:val="0"/>
                <w:numId w:val="14"/>
              </w:numPr>
              <w:spacing w:line="259" w:lineRule="auto"/>
              <w:ind w:left="1453" w:hanging="377"/>
              <w:jc w:val="both"/>
              <w:rPr>
                <w:rFonts w:ascii="Arial" w:eastAsia="Arial" w:hAnsi="Arial" w:cs="Arial"/>
                <w:color w:val="000000"/>
                <w:sz w:val="18"/>
                <w:szCs w:val="18"/>
              </w:rPr>
            </w:pPr>
            <w:r w:rsidRPr="00E0036F">
              <w:rPr>
                <w:rFonts w:ascii="Arial" w:eastAsia="Arial" w:hAnsi="Arial" w:cs="Arial"/>
                <w:color w:val="000000"/>
                <w:sz w:val="18"/>
                <w:szCs w:val="18"/>
              </w:rPr>
              <w:t xml:space="preserve">Một sự ảnh hưởng tiêu cực đến giá của cổ phiếu thường của </w:t>
            </w:r>
            <w:r w:rsidRPr="00E0036F">
              <w:rPr>
                <w:rFonts w:ascii="Arial" w:eastAsia="Arial" w:hAnsi="Arial" w:cs="Arial"/>
                <w:sz w:val="18"/>
                <w:szCs w:val="18"/>
              </w:rPr>
              <w:t xml:space="preserve">đơn vị </w:t>
            </w:r>
            <w:r w:rsidRPr="00E0036F">
              <w:rPr>
                <w:rFonts w:ascii="Arial" w:eastAsia="Arial" w:hAnsi="Arial" w:cs="Arial"/>
                <w:color w:val="000000"/>
                <w:sz w:val="18"/>
                <w:szCs w:val="18"/>
              </w:rPr>
              <w:t>phát hành nếu sự phân bổ không được thực hiện (</w:t>
            </w:r>
            <w:r w:rsidRPr="00E0036F">
              <w:rPr>
                <w:rFonts w:ascii="Arial" w:eastAsia="Arial" w:hAnsi="Arial" w:cs="Arial"/>
                <w:sz w:val="18"/>
                <w:szCs w:val="18"/>
              </w:rPr>
              <w:t>bởi</w:t>
            </w:r>
            <w:r w:rsidRPr="00E0036F">
              <w:rPr>
                <w:rFonts w:ascii="Arial" w:eastAsia="Arial" w:hAnsi="Arial" w:cs="Arial"/>
                <w:color w:val="000000"/>
                <w:sz w:val="18"/>
                <w:szCs w:val="18"/>
              </w:rPr>
              <w:t xml:space="preserve"> do việc hạn chế trong việc chi trả cổ tức cho cổ phiếu thường nếu cổ tức cho cổ phiếu ưu đãi không được trả);</w:t>
            </w:r>
          </w:p>
          <w:p w:rsidR="00B2628A" w:rsidRPr="00E0036F" w:rsidRDefault="003559DB" w:rsidP="00846801">
            <w:pPr>
              <w:pStyle w:val="ListParagraph"/>
              <w:numPr>
                <w:ilvl w:val="0"/>
                <w:numId w:val="14"/>
              </w:numPr>
              <w:spacing w:line="259" w:lineRule="auto"/>
              <w:ind w:left="1076" w:firstLine="0"/>
              <w:jc w:val="both"/>
              <w:rPr>
                <w:rFonts w:ascii="Arial" w:eastAsia="Arial" w:hAnsi="Arial" w:cs="Arial"/>
                <w:color w:val="000000"/>
                <w:sz w:val="18"/>
                <w:szCs w:val="18"/>
              </w:rPr>
            </w:pPr>
            <w:r w:rsidRPr="00E0036F">
              <w:rPr>
                <w:rFonts w:ascii="Arial" w:eastAsia="Arial" w:hAnsi="Arial" w:cs="Arial"/>
                <w:color w:val="000000"/>
                <w:sz w:val="18"/>
                <w:szCs w:val="18"/>
              </w:rPr>
              <w:t>Khoản tiền của quỹ dự trữ của bên phát hành;</w:t>
            </w:r>
          </w:p>
          <w:p w:rsidR="00B2628A" w:rsidRPr="00E0036F" w:rsidRDefault="003559DB" w:rsidP="0006710F">
            <w:pPr>
              <w:pStyle w:val="ListParagraph"/>
              <w:numPr>
                <w:ilvl w:val="0"/>
                <w:numId w:val="14"/>
              </w:numPr>
              <w:spacing w:line="259" w:lineRule="auto"/>
              <w:ind w:left="1453" w:hanging="377"/>
              <w:jc w:val="both"/>
              <w:rPr>
                <w:rFonts w:ascii="Arial" w:eastAsia="Arial" w:hAnsi="Arial" w:cs="Arial"/>
                <w:color w:val="000000"/>
                <w:sz w:val="18"/>
                <w:szCs w:val="18"/>
              </w:rPr>
            </w:pPr>
            <w:r w:rsidRPr="00E0036F">
              <w:rPr>
                <w:rFonts w:ascii="Arial" w:eastAsia="Arial" w:hAnsi="Arial" w:cs="Arial"/>
                <w:color w:val="000000"/>
                <w:sz w:val="18"/>
                <w:szCs w:val="18"/>
              </w:rPr>
              <w:t>Sự mong đợi của bên phát hành cho khoản lãi hoặc lỗ cho một giai đoạn; hoặc</w:t>
            </w:r>
          </w:p>
          <w:p w:rsidR="00247933" w:rsidRPr="00E0036F" w:rsidRDefault="003559DB" w:rsidP="0006710F">
            <w:pPr>
              <w:pStyle w:val="ListParagraph"/>
              <w:numPr>
                <w:ilvl w:val="0"/>
                <w:numId w:val="14"/>
              </w:numPr>
              <w:spacing w:line="259" w:lineRule="auto"/>
              <w:ind w:left="1453" w:hanging="377"/>
              <w:jc w:val="both"/>
              <w:rPr>
                <w:rFonts w:ascii="Arial" w:eastAsia="Arial" w:hAnsi="Arial" w:cs="Arial"/>
                <w:color w:val="000000"/>
                <w:sz w:val="18"/>
                <w:szCs w:val="18"/>
              </w:rPr>
            </w:pPr>
            <w:r w:rsidRPr="00E0036F">
              <w:rPr>
                <w:rFonts w:ascii="Arial" w:eastAsia="Arial" w:hAnsi="Arial" w:cs="Arial"/>
                <w:color w:val="000000"/>
                <w:sz w:val="18"/>
                <w:szCs w:val="18"/>
              </w:rPr>
              <w:t xml:space="preserve">Một khả năng hoặc không có khả năng của </w:t>
            </w:r>
            <w:r w:rsidRPr="00E0036F">
              <w:rPr>
                <w:rFonts w:ascii="Arial" w:eastAsia="Arial" w:hAnsi="Arial" w:cs="Arial"/>
                <w:sz w:val="18"/>
                <w:szCs w:val="18"/>
              </w:rPr>
              <w:t xml:space="preserve">đơn vị </w:t>
            </w:r>
            <w:r w:rsidRPr="00E0036F">
              <w:rPr>
                <w:rFonts w:ascii="Arial" w:eastAsia="Arial" w:hAnsi="Arial" w:cs="Arial"/>
                <w:color w:val="000000"/>
                <w:sz w:val="18"/>
                <w:szCs w:val="18"/>
              </w:rPr>
              <w:t>phát hành c</w:t>
            </w:r>
            <w:r w:rsidRPr="00E0036F">
              <w:rPr>
                <w:rFonts w:ascii="Arial" w:eastAsia="Arial" w:hAnsi="Arial" w:cs="Arial"/>
                <w:sz w:val="18"/>
                <w:szCs w:val="18"/>
              </w:rPr>
              <w:t xml:space="preserve">ó </w:t>
            </w:r>
            <w:r w:rsidRPr="00E0036F">
              <w:rPr>
                <w:rFonts w:ascii="Arial" w:eastAsia="Arial" w:hAnsi="Arial" w:cs="Arial"/>
                <w:color w:val="000000"/>
                <w:sz w:val="18"/>
                <w:szCs w:val="18"/>
              </w:rPr>
              <w:t>ảnh hưởng đến khoản lãi hoặc lỗ trong một giai đoạn</w:t>
            </w:r>
            <w:r w:rsidR="00B2628A" w:rsidRPr="00E0036F">
              <w:rPr>
                <w:rFonts w:ascii="Arial" w:eastAsia="Arial" w:hAnsi="Arial" w:cs="Arial"/>
                <w:color w:val="000000"/>
                <w:sz w:val="18"/>
                <w:szCs w:val="18"/>
              </w:rPr>
              <w:t>.</w:t>
            </w:r>
          </w:p>
          <w:p w:rsidR="00247933" w:rsidRPr="00E0036F" w:rsidRDefault="00247933" w:rsidP="00846801">
            <w:pPr>
              <w:spacing w:line="259" w:lineRule="auto"/>
              <w:ind w:left="1076"/>
              <w:rPr>
                <w:rFonts w:ascii="Arial" w:eastAsia="Arial" w:hAnsi="Arial" w:cs="Arial"/>
                <w:color w:val="000000"/>
                <w:sz w:val="20"/>
                <w:szCs w:val="20"/>
              </w:rPr>
            </w:pPr>
          </w:p>
          <w:p w:rsidR="00247933" w:rsidRPr="00E0036F" w:rsidRDefault="003559DB" w:rsidP="00FA4546">
            <w:pPr>
              <w:pBdr>
                <w:top w:val="nil"/>
                <w:left w:val="nil"/>
                <w:bottom w:val="nil"/>
                <w:right w:val="nil"/>
                <w:between w:val="nil"/>
              </w:pBdr>
              <w:spacing w:line="259" w:lineRule="auto"/>
              <w:ind w:firstLine="368"/>
              <w:jc w:val="both"/>
              <w:rPr>
                <w:rFonts w:ascii="Arial" w:eastAsia="Arial" w:hAnsi="Arial" w:cs="Arial"/>
                <w:b/>
                <w:sz w:val="20"/>
                <w:szCs w:val="20"/>
              </w:rPr>
            </w:pPr>
            <w:r w:rsidRPr="00E0036F">
              <w:rPr>
                <w:rFonts w:ascii="Arial" w:eastAsia="Arial" w:hAnsi="Arial" w:cs="Arial"/>
                <w:b/>
                <w:sz w:val="20"/>
                <w:szCs w:val="20"/>
              </w:rPr>
              <w:t>Ví dụ 2</w:t>
            </w:r>
          </w:p>
          <w:p w:rsidR="00247933" w:rsidRPr="00E0036F" w:rsidRDefault="00247933" w:rsidP="00AD3A25">
            <w:pPr>
              <w:pBdr>
                <w:top w:val="nil"/>
                <w:left w:val="nil"/>
                <w:bottom w:val="nil"/>
                <w:right w:val="nil"/>
                <w:between w:val="nil"/>
              </w:pBdr>
              <w:spacing w:line="259" w:lineRule="auto"/>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firstLine="368"/>
              <w:jc w:val="both"/>
              <w:rPr>
                <w:rFonts w:ascii="Arial" w:eastAsia="Arial" w:hAnsi="Arial" w:cs="Arial"/>
                <w:b/>
                <w:sz w:val="20"/>
                <w:szCs w:val="20"/>
              </w:rPr>
            </w:pPr>
            <w:r w:rsidRPr="00E0036F">
              <w:rPr>
                <w:rFonts w:ascii="Arial" w:eastAsia="Arial" w:hAnsi="Arial" w:cs="Arial"/>
                <w:b/>
                <w:sz w:val="20"/>
                <w:szCs w:val="20"/>
              </w:rPr>
              <w:t>Dữ kiện</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846801">
            <w:pPr>
              <w:pBdr>
                <w:top w:val="nil"/>
                <w:left w:val="nil"/>
                <w:bottom w:val="nil"/>
                <w:right w:val="nil"/>
                <w:between w:val="nil"/>
              </w:pBdr>
              <w:spacing w:line="259" w:lineRule="auto"/>
              <w:ind w:left="368" w:hanging="709"/>
              <w:jc w:val="both"/>
              <w:rPr>
                <w:rFonts w:ascii="Arial" w:eastAsia="Arial" w:hAnsi="Arial" w:cs="Arial"/>
                <w:color w:val="000000"/>
                <w:sz w:val="20"/>
                <w:szCs w:val="20"/>
              </w:rPr>
            </w:pPr>
            <w:r w:rsidRPr="00E0036F">
              <w:rPr>
                <w:rFonts w:ascii="Arial" w:eastAsia="Arial" w:hAnsi="Arial" w:cs="Arial"/>
                <w:color w:val="000000"/>
                <w:sz w:val="20"/>
                <w:szCs w:val="20"/>
              </w:rPr>
              <w:t xml:space="preserve">      A4. Điều lệ của đơn vị khẳng định việc mua lại được thực hiện theo quyết định riêng đơn vị. Tuy nhiên, điều lệ quy định thêm rằng việc phê chuẩn cho một yêu cầu mua lại là tự động trừ khi đơn vị không thể thanh toán mà không vi phạm luật của địa phương liên quan đến khả năng thanh khoản và quỹ dự trữ. </w:t>
            </w:r>
          </w:p>
          <w:p w:rsidR="00247933" w:rsidRPr="00E0036F" w:rsidRDefault="00247933" w:rsidP="00846801">
            <w:pPr>
              <w:pBdr>
                <w:top w:val="nil"/>
                <w:left w:val="nil"/>
                <w:bottom w:val="nil"/>
                <w:right w:val="nil"/>
                <w:between w:val="nil"/>
              </w:pBdr>
              <w:spacing w:line="259" w:lineRule="auto"/>
              <w:ind w:left="368" w:hanging="709"/>
              <w:jc w:val="both"/>
              <w:rPr>
                <w:rFonts w:ascii="Arial" w:eastAsia="Arial" w:hAnsi="Arial" w:cs="Arial"/>
                <w:color w:val="000000"/>
                <w:sz w:val="20"/>
                <w:szCs w:val="20"/>
              </w:rPr>
            </w:pPr>
          </w:p>
          <w:p w:rsidR="00247933" w:rsidRPr="00E0036F" w:rsidRDefault="003559DB" w:rsidP="00846801">
            <w:pPr>
              <w:pBdr>
                <w:top w:val="nil"/>
                <w:left w:val="nil"/>
                <w:bottom w:val="nil"/>
                <w:right w:val="nil"/>
                <w:between w:val="nil"/>
              </w:pBdr>
              <w:spacing w:line="259" w:lineRule="auto"/>
              <w:ind w:firstLine="368"/>
              <w:jc w:val="both"/>
              <w:rPr>
                <w:rFonts w:ascii="Arial" w:eastAsia="Arial" w:hAnsi="Arial" w:cs="Arial"/>
                <w:b/>
                <w:sz w:val="20"/>
                <w:szCs w:val="20"/>
              </w:rPr>
            </w:pPr>
            <w:r w:rsidRPr="00E0036F">
              <w:rPr>
                <w:rFonts w:ascii="Arial" w:eastAsia="Arial" w:hAnsi="Arial" w:cs="Arial"/>
                <w:b/>
                <w:sz w:val="20"/>
                <w:szCs w:val="20"/>
              </w:rPr>
              <w:t>Phân loại</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2A42A0">
            <w:pPr>
              <w:pBdr>
                <w:top w:val="nil"/>
                <w:left w:val="nil"/>
                <w:bottom w:val="nil"/>
                <w:right w:val="nil"/>
                <w:between w:val="nil"/>
              </w:pBdr>
              <w:spacing w:line="259" w:lineRule="auto"/>
              <w:ind w:left="403" w:hanging="784"/>
              <w:jc w:val="both"/>
              <w:rPr>
                <w:rFonts w:ascii="Arial" w:eastAsia="Arial" w:hAnsi="Arial" w:cs="Arial"/>
                <w:color w:val="000000"/>
                <w:sz w:val="20"/>
                <w:szCs w:val="20"/>
              </w:rPr>
            </w:pPr>
            <w:r w:rsidRPr="00E0036F">
              <w:rPr>
                <w:rFonts w:ascii="Arial" w:eastAsia="Arial" w:hAnsi="Arial" w:cs="Arial"/>
                <w:color w:val="000000"/>
                <w:sz w:val="20"/>
                <w:szCs w:val="20"/>
              </w:rPr>
              <w:t xml:space="preserve">      A5. </w:t>
            </w:r>
            <w:r w:rsidR="002A42A0" w:rsidRPr="00E0036F">
              <w:rPr>
                <w:rFonts w:ascii="Arial" w:eastAsia="Arial" w:hAnsi="Arial" w:cs="Arial"/>
                <w:color w:val="000000"/>
                <w:sz w:val="20"/>
                <w:szCs w:val="20"/>
              </w:rPr>
              <w:t xml:space="preserve"> </w:t>
            </w:r>
            <w:r w:rsidRPr="00E0036F">
              <w:rPr>
                <w:rFonts w:ascii="Arial" w:eastAsia="Arial" w:hAnsi="Arial" w:cs="Arial"/>
                <w:color w:val="000000"/>
                <w:sz w:val="20"/>
                <w:szCs w:val="20"/>
              </w:rPr>
              <w:t xml:space="preserve">Đơn vị không có quyền </w:t>
            </w:r>
            <w:r w:rsidRPr="00E0036F">
              <w:rPr>
                <w:rFonts w:ascii="Arial" w:eastAsia="Arial" w:hAnsi="Arial" w:cs="Arial"/>
                <w:sz w:val="20"/>
                <w:szCs w:val="20"/>
              </w:rPr>
              <w:t>vô điều kiện</w:t>
            </w:r>
            <w:r w:rsidRPr="00E0036F">
              <w:rPr>
                <w:rFonts w:ascii="Arial" w:eastAsia="Arial" w:hAnsi="Arial" w:cs="Arial"/>
                <w:color w:val="000000"/>
                <w:sz w:val="20"/>
                <w:szCs w:val="20"/>
              </w:rPr>
              <w:t xml:space="preserve"> từ chối sự mua lại và cổ phiếu </w:t>
            </w:r>
            <w:r w:rsidRPr="00E0036F">
              <w:rPr>
                <w:rFonts w:ascii="Arial" w:eastAsia="Arial" w:hAnsi="Arial" w:cs="Arial"/>
                <w:color w:val="000000"/>
                <w:sz w:val="20"/>
                <w:szCs w:val="20"/>
              </w:rPr>
              <w:lastRenderedPageBreak/>
              <w:t>của các thành viên là một khoản nợ phải trả tài chính. Những sự hạn chế này được miêu tả bên trên phụ thuộc vào khả năng thanh toán nợ phải trả của đơn vị. Việc mua lại bị hạn chế chỉ khi khả năng thanh khoản hoặc yêu cầu về quỹ dự trữ không được thỏa mãn và cho đến thời gian mà nó được thoả mãn. Do v</w:t>
            </w:r>
            <w:r w:rsidRPr="00E0036F">
              <w:rPr>
                <w:rFonts w:ascii="Arial" w:eastAsia="Arial" w:hAnsi="Arial" w:cs="Arial"/>
                <w:sz w:val="20"/>
                <w:szCs w:val="20"/>
              </w:rPr>
              <w:t>ậy</w:t>
            </w:r>
            <w:r w:rsidRPr="00E0036F">
              <w:rPr>
                <w:rFonts w:ascii="Arial" w:eastAsia="Arial" w:hAnsi="Arial" w:cs="Arial"/>
                <w:color w:val="000000"/>
                <w:sz w:val="20"/>
                <w:szCs w:val="20"/>
              </w:rPr>
              <w:t>, việc đó không, theo quy định đưa ra trong IAS 32, dẫn đến việc phân loại công cụ tài chính là vốn chủ sở hữu. Đoạn AG25 của IAS 32 khẳng định rằng</w:t>
            </w:r>
            <w:r w:rsidR="00B2628A" w:rsidRPr="00E0036F">
              <w:rPr>
                <w:rFonts w:ascii="Arial" w:eastAsia="Arial" w:hAnsi="Arial" w:cs="Arial"/>
                <w:color w:val="000000"/>
                <w:sz w:val="20"/>
                <w:szCs w:val="20"/>
              </w:rPr>
              <w:t>:</w:t>
            </w:r>
          </w:p>
          <w:p w:rsidR="00247933" w:rsidRPr="00E0036F" w:rsidRDefault="00247933" w:rsidP="00AD3A25">
            <w:pPr>
              <w:pBdr>
                <w:top w:val="nil"/>
                <w:left w:val="nil"/>
                <w:bottom w:val="nil"/>
                <w:right w:val="nil"/>
                <w:between w:val="nil"/>
              </w:pBdr>
              <w:spacing w:line="259" w:lineRule="auto"/>
              <w:jc w:val="both"/>
              <w:rPr>
                <w:rFonts w:ascii="Arial" w:eastAsia="Arial" w:hAnsi="Arial" w:cs="Arial"/>
                <w:color w:val="000000"/>
                <w:sz w:val="20"/>
                <w:szCs w:val="20"/>
              </w:rPr>
            </w:pPr>
          </w:p>
          <w:p w:rsidR="00247933" w:rsidRPr="00E0036F" w:rsidRDefault="003559DB" w:rsidP="002A42A0">
            <w:pPr>
              <w:spacing w:line="259" w:lineRule="auto"/>
              <w:ind w:left="1075" w:hanging="14"/>
              <w:jc w:val="both"/>
              <w:rPr>
                <w:rFonts w:ascii="Arial" w:eastAsia="Arial" w:hAnsi="Arial" w:cs="Arial"/>
                <w:color w:val="000000"/>
                <w:sz w:val="18"/>
                <w:szCs w:val="18"/>
              </w:rPr>
            </w:pPr>
            <w:r w:rsidRPr="00E0036F">
              <w:rPr>
                <w:rFonts w:ascii="Arial" w:eastAsia="Arial" w:hAnsi="Arial" w:cs="Arial"/>
                <w:color w:val="000000"/>
                <w:sz w:val="18"/>
                <w:szCs w:val="18"/>
              </w:rPr>
              <w:t>Cổ phiếu ưu đãi có thể được phát hành với những quyền khác nhau. Khi xác định một cổ phiếu ưu đãi là một khoản nợ phải trả tài chính hay một công cụ vốn, đơn vị phát hành đánh giá các quyền riêng biệt đính kèm cùng cổ phiếu để xác định xem nó c</w:t>
            </w:r>
            <w:r w:rsidRPr="00E0036F">
              <w:rPr>
                <w:rFonts w:ascii="Arial" w:eastAsia="Arial" w:hAnsi="Arial" w:cs="Arial"/>
                <w:sz w:val="18"/>
                <w:szCs w:val="18"/>
              </w:rPr>
              <w:t>ó</w:t>
            </w:r>
            <w:r w:rsidRPr="00E0036F">
              <w:rPr>
                <w:rFonts w:ascii="Arial" w:eastAsia="Arial" w:hAnsi="Arial" w:cs="Arial"/>
                <w:color w:val="000000"/>
                <w:sz w:val="18"/>
                <w:szCs w:val="18"/>
              </w:rPr>
              <w:t xml:space="preserve"> mang những đặc điểm cơ bản của một khoản nợ phải trả tài chính hay kh</w:t>
            </w:r>
            <w:r w:rsidRPr="00E0036F">
              <w:rPr>
                <w:rFonts w:ascii="Arial" w:eastAsia="Arial" w:hAnsi="Arial" w:cs="Arial"/>
                <w:sz w:val="18"/>
                <w:szCs w:val="18"/>
              </w:rPr>
              <w:t>ông</w:t>
            </w:r>
            <w:r w:rsidRPr="00E0036F">
              <w:rPr>
                <w:rFonts w:ascii="Arial" w:eastAsia="Arial" w:hAnsi="Arial" w:cs="Arial"/>
                <w:color w:val="000000"/>
                <w:sz w:val="18"/>
                <w:szCs w:val="18"/>
              </w:rPr>
              <w:t xml:space="preserve">. Ví dụ, một cổ phiếu ưu đãi được mua lại vào một ngày xác định hoặc theo lựa chọn của người nắm giữ có chứa đựng một khoản nợ phải trả tài chính vì đơn vị phát hành có nghĩa vụ chuyển giao tài sản tài chính cho người nắm giữ. </w:t>
            </w:r>
            <w:r w:rsidRPr="00E0036F">
              <w:rPr>
                <w:rFonts w:ascii="Arial" w:eastAsia="Arial" w:hAnsi="Arial" w:cs="Arial"/>
                <w:i/>
                <w:color w:val="000000"/>
                <w:sz w:val="18"/>
                <w:szCs w:val="18"/>
              </w:rPr>
              <w:t xml:space="preserve">Khả năng đơn vị phát hành không thể thực hiện nghĩa vụ mua lại một cổ phiếu ưu đãi như đã quy định, do tình hình tài chính khó khăn, do quy định hoặc lợi nhuận và các quỹ không đủ, không làm nghĩa vụ này mất đi. </w:t>
            </w:r>
            <w:r w:rsidRPr="00E0036F">
              <w:rPr>
                <w:rFonts w:ascii="Arial" w:eastAsia="Arial" w:hAnsi="Arial" w:cs="Arial"/>
                <w:color w:val="000000"/>
                <w:sz w:val="18"/>
                <w:szCs w:val="18"/>
              </w:rPr>
              <w:t>[</w:t>
            </w:r>
            <w:r w:rsidR="0006710F" w:rsidRPr="00E0036F">
              <w:rPr>
                <w:rFonts w:ascii="Arial" w:eastAsia="Arial" w:hAnsi="Arial" w:cs="Arial"/>
                <w:color w:val="000000"/>
                <w:sz w:val="18"/>
                <w:szCs w:val="18"/>
              </w:rPr>
              <w:t>T</w:t>
            </w:r>
            <w:r w:rsidRPr="00E0036F">
              <w:rPr>
                <w:rFonts w:ascii="Arial" w:eastAsia="Arial" w:hAnsi="Arial" w:cs="Arial"/>
                <w:color w:val="000000"/>
                <w:sz w:val="18"/>
                <w:szCs w:val="18"/>
              </w:rPr>
              <w:t>hêm đoạn nhấn mạ</w:t>
            </w:r>
            <w:r w:rsidR="00B2628A" w:rsidRPr="00E0036F">
              <w:rPr>
                <w:rFonts w:ascii="Arial" w:eastAsia="Arial" w:hAnsi="Arial" w:cs="Arial"/>
                <w:color w:val="000000"/>
                <w:sz w:val="18"/>
                <w:szCs w:val="18"/>
              </w:rPr>
              <w:t>nh]</w:t>
            </w:r>
          </w:p>
          <w:p w:rsidR="00247933" w:rsidRPr="00E0036F" w:rsidRDefault="00247933" w:rsidP="00AD3A25">
            <w:pPr>
              <w:spacing w:line="259" w:lineRule="auto"/>
              <w:ind w:left="1440"/>
              <w:jc w:val="both"/>
              <w:rPr>
                <w:rFonts w:ascii="Arial" w:eastAsia="Arial" w:hAnsi="Arial" w:cs="Arial"/>
                <w:sz w:val="20"/>
                <w:szCs w:val="20"/>
              </w:rPr>
            </w:pPr>
          </w:p>
          <w:p w:rsidR="00247933" w:rsidRPr="00E0036F" w:rsidRDefault="00247933" w:rsidP="00AD3A25">
            <w:pPr>
              <w:spacing w:line="259" w:lineRule="auto"/>
              <w:jc w:val="both"/>
              <w:rPr>
                <w:rFonts w:ascii="Arial" w:eastAsia="Arial" w:hAnsi="Arial" w:cs="Arial"/>
                <w:color w:val="000000"/>
                <w:sz w:val="20"/>
                <w:szCs w:val="20"/>
              </w:rPr>
            </w:pPr>
          </w:p>
          <w:p w:rsidR="00247933" w:rsidRPr="00E0036F" w:rsidRDefault="003559DB" w:rsidP="00AD3A25">
            <w:pPr>
              <w:spacing w:line="259" w:lineRule="auto"/>
              <w:jc w:val="both"/>
              <w:rPr>
                <w:rFonts w:ascii="Arial" w:eastAsia="Arial" w:hAnsi="Arial" w:cs="Arial"/>
                <w:b/>
                <w:color w:val="000000"/>
                <w:u w:val="single"/>
              </w:rPr>
            </w:pPr>
            <w:r w:rsidRPr="00E0036F">
              <w:rPr>
                <w:rFonts w:ascii="Arial" w:eastAsia="Arial" w:hAnsi="Arial" w:cs="Arial"/>
                <w:b/>
                <w:u w:val="single"/>
              </w:rPr>
              <w:t>Cấm đối với việc mua lại (đoạn 8 và 9)</w:t>
            </w:r>
          </w:p>
          <w:p w:rsidR="00247933" w:rsidRPr="00E0036F" w:rsidRDefault="00247933" w:rsidP="00AD3A25">
            <w:pPr>
              <w:spacing w:line="259" w:lineRule="auto"/>
              <w:jc w:val="both"/>
              <w:rPr>
                <w:rFonts w:ascii="Arial" w:eastAsia="Arial" w:hAnsi="Arial" w:cs="Arial"/>
                <w:color w:val="000000"/>
                <w:sz w:val="20"/>
                <w:szCs w:val="20"/>
              </w:rPr>
            </w:pPr>
          </w:p>
          <w:p w:rsidR="00247933" w:rsidRPr="00E0036F" w:rsidRDefault="003559DB" w:rsidP="002A42A0">
            <w:pPr>
              <w:pBdr>
                <w:top w:val="nil"/>
                <w:left w:val="nil"/>
                <w:bottom w:val="nil"/>
                <w:right w:val="nil"/>
                <w:between w:val="nil"/>
              </w:pBdr>
              <w:spacing w:line="259" w:lineRule="auto"/>
              <w:ind w:firstLine="361"/>
              <w:jc w:val="both"/>
              <w:rPr>
                <w:rFonts w:ascii="Arial" w:eastAsia="Arial" w:hAnsi="Arial" w:cs="Arial"/>
                <w:b/>
                <w:sz w:val="20"/>
                <w:szCs w:val="20"/>
              </w:rPr>
            </w:pPr>
            <w:r w:rsidRPr="00E0036F">
              <w:rPr>
                <w:rFonts w:ascii="Arial" w:eastAsia="Arial" w:hAnsi="Arial" w:cs="Arial"/>
                <w:b/>
                <w:sz w:val="20"/>
                <w:szCs w:val="20"/>
              </w:rPr>
              <w:t>Ví dụ 3</w:t>
            </w:r>
          </w:p>
          <w:p w:rsidR="00247933" w:rsidRPr="00E0036F" w:rsidRDefault="00247933" w:rsidP="002A42A0">
            <w:pPr>
              <w:pBdr>
                <w:top w:val="nil"/>
                <w:left w:val="nil"/>
                <w:bottom w:val="nil"/>
                <w:right w:val="nil"/>
                <w:between w:val="nil"/>
              </w:pBdr>
              <w:spacing w:line="259" w:lineRule="auto"/>
              <w:ind w:firstLine="361"/>
              <w:jc w:val="both"/>
              <w:rPr>
                <w:rFonts w:ascii="Arial" w:eastAsia="Arial" w:hAnsi="Arial" w:cs="Arial"/>
                <w:sz w:val="20"/>
                <w:szCs w:val="20"/>
              </w:rPr>
            </w:pPr>
          </w:p>
          <w:p w:rsidR="00247933" w:rsidRPr="00E0036F" w:rsidRDefault="003559DB" w:rsidP="002A42A0">
            <w:pPr>
              <w:pBdr>
                <w:top w:val="nil"/>
                <w:left w:val="nil"/>
                <w:bottom w:val="nil"/>
                <w:right w:val="nil"/>
                <w:between w:val="nil"/>
              </w:pBdr>
              <w:spacing w:line="259" w:lineRule="auto"/>
              <w:ind w:firstLine="361"/>
              <w:jc w:val="both"/>
              <w:rPr>
                <w:rFonts w:ascii="Arial" w:eastAsia="Arial" w:hAnsi="Arial" w:cs="Arial"/>
                <w:b/>
                <w:sz w:val="20"/>
                <w:szCs w:val="20"/>
              </w:rPr>
            </w:pPr>
            <w:r w:rsidRPr="00E0036F">
              <w:rPr>
                <w:rFonts w:ascii="Arial" w:eastAsia="Arial" w:hAnsi="Arial" w:cs="Arial"/>
                <w:b/>
                <w:sz w:val="20"/>
                <w:szCs w:val="20"/>
              </w:rPr>
              <w:t>Dữ kiện</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2A42A0">
            <w:pPr>
              <w:pBdr>
                <w:top w:val="nil"/>
                <w:left w:val="nil"/>
                <w:bottom w:val="nil"/>
                <w:right w:val="nil"/>
                <w:between w:val="nil"/>
              </w:pBdr>
              <w:spacing w:line="259" w:lineRule="auto"/>
              <w:ind w:left="389" w:hanging="742"/>
              <w:jc w:val="both"/>
              <w:rPr>
                <w:rFonts w:ascii="Arial" w:eastAsia="Arial" w:hAnsi="Arial" w:cs="Arial"/>
                <w:color w:val="000000"/>
                <w:sz w:val="20"/>
                <w:szCs w:val="20"/>
              </w:rPr>
            </w:pPr>
            <w:r w:rsidRPr="00E0036F">
              <w:rPr>
                <w:rFonts w:ascii="Arial" w:eastAsia="Arial" w:hAnsi="Arial" w:cs="Arial"/>
                <w:color w:val="000000"/>
                <w:sz w:val="20"/>
                <w:szCs w:val="20"/>
              </w:rPr>
              <w:t xml:space="preserve">      A6.</w:t>
            </w:r>
            <w:r w:rsidR="002A42A0" w:rsidRPr="00E0036F">
              <w:rPr>
                <w:rFonts w:ascii="Arial" w:eastAsia="Arial" w:hAnsi="Arial" w:cs="Arial"/>
                <w:color w:val="000000"/>
                <w:sz w:val="20"/>
                <w:szCs w:val="20"/>
              </w:rPr>
              <w:t xml:space="preserve"> </w:t>
            </w:r>
            <w:r w:rsidRPr="00E0036F">
              <w:rPr>
                <w:rFonts w:ascii="Arial" w:eastAsia="Arial" w:hAnsi="Arial" w:cs="Arial"/>
                <w:color w:val="000000"/>
                <w:sz w:val="20"/>
                <w:szCs w:val="20"/>
              </w:rPr>
              <w:t xml:space="preserve"> Một đơn vị hợp tác x</w:t>
            </w:r>
            <w:r w:rsidRPr="00E0036F">
              <w:rPr>
                <w:rFonts w:ascii="Arial" w:eastAsia="Arial" w:hAnsi="Arial" w:cs="Arial"/>
                <w:sz w:val="20"/>
                <w:szCs w:val="20"/>
              </w:rPr>
              <w:t>ã</w:t>
            </w:r>
            <w:r w:rsidRPr="00E0036F">
              <w:rPr>
                <w:rFonts w:ascii="Arial" w:eastAsia="Arial" w:hAnsi="Arial" w:cs="Arial"/>
                <w:color w:val="000000"/>
                <w:sz w:val="20"/>
                <w:szCs w:val="20"/>
              </w:rPr>
              <w:t xml:space="preserve"> đã phát hành cổ phiếu cho các thành viên vào các ngày khác nhau và cho các số tiền khác nhau trong quá khứ</w:t>
            </w:r>
            <w:r w:rsidR="00B2628A" w:rsidRPr="00E0036F">
              <w:rPr>
                <w:rFonts w:ascii="Arial" w:eastAsia="Arial" w:hAnsi="Arial" w:cs="Arial"/>
                <w:color w:val="000000"/>
                <w:sz w:val="20"/>
                <w:szCs w:val="20"/>
              </w:rPr>
              <w:t xml:space="preserve"> như sau:</w:t>
            </w:r>
          </w:p>
          <w:p w:rsidR="00B2628A" w:rsidRPr="00E0036F" w:rsidRDefault="00B2628A"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247933" w:rsidRPr="00E0036F" w:rsidRDefault="003559DB" w:rsidP="002A42A0">
            <w:pPr>
              <w:numPr>
                <w:ilvl w:val="0"/>
                <w:numId w:val="1"/>
              </w:numPr>
              <w:pBdr>
                <w:top w:val="nil"/>
                <w:left w:val="nil"/>
                <w:bottom w:val="nil"/>
                <w:right w:val="nil"/>
                <w:between w:val="nil"/>
              </w:pBdr>
              <w:spacing w:line="259" w:lineRule="auto"/>
              <w:ind w:left="417" w:firstLine="0"/>
              <w:jc w:val="both"/>
              <w:rPr>
                <w:rFonts w:ascii="Arial" w:eastAsia="Arial" w:hAnsi="Arial" w:cs="Arial"/>
                <w:color w:val="000000"/>
                <w:sz w:val="20"/>
                <w:szCs w:val="20"/>
              </w:rPr>
            </w:pPr>
            <w:r w:rsidRPr="00E0036F">
              <w:rPr>
                <w:rFonts w:ascii="Arial" w:eastAsia="Arial" w:hAnsi="Arial" w:cs="Arial"/>
                <w:color w:val="000000"/>
                <w:sz w:val="20"/>
                <w:szCs w:val="20"/>
              </w:rPr>
              <w:t>100</w:t>
            </w:r>
            <w:r w:rsidR="0006710F" w:rsidRPr="00E0036F">
              <w:rPr>
                <w:rFonts w:ascii="Arial" w:eastAsia="Arial" w:hAnsi="Arial" w:cs="Arial"/>
                <w:color w:val="000000"/>
                <w:sz w:val="20"/>
                <w:szCs w:val="20"/>
              </w:rPr>
              <w:t>.</w:t>
            </w:r>
            <w:r w:rsidRPr="00E0036F">
              <w:rPr>
                <w:rFonts w:ascii="Arial" w:eastAsia="Arial" w:hAnsi="Arial" w:cs="Arial"/>
                <w:color w:val="000000"/>
                <w:sz w:val="20"/>
                <w:szCs w:val="20"/>
              </w:rPr>
              <w:t>000 cổ phiếu v</w:t>
            </w:r>
            <w:r w:rsidRPr="00E0036F">
              <w:rPr>
                <w:rFonts w:ascii="Arial" w:eastAsia="Arial" w:hAnsi="Arial" w:cs="Arial"/>
                <w:sz w:val="20"/>
                <w:szCs w:val="20"/>
              </w:rPr>
              <w:t xml:space="preserve">ào ngày 1 </w:t>
            </w:r>
            <w:r w:rsidRPr="00E0036F">
              <w:rPr>
                <w:rFonts w:ascii="Arial" w:eastAsia="Arial" w:hAnsi="Arial" w:cs="Arial"/>
                <w:color w:val="000000"/>
                <w:sz w:val="20"/>
                <w:szCs w:val="20"/>
              </w:rPr>
              <w:t>tháng 1 năm 20X1 với giá 10 CU mỗi cổ phiếu (1</w:t>
            </w:r>
            <w:r w:rsidR="0006710F" w:rsidRPr="00E0036F">
              <w:rPr>
                <w:rFonts w:ascii="Arial" w:eastAsia="Arial" w:hAnsi="Arial" w:cs="Arial"/>
                <w:color w:val="000000"/>
                <w:sz w:val="20"/>
                <w:szCs w:val="20"/>
              </w:rPr>
              <w:t>.</w:t>
            </w:r>
            <w:r w:rsidRPr="00E0036F">
              <w:rPr>
                <w:rFonts w:ascii="Arial" w:eastAsia="Arial" w:hAnsi="Arial" w:cs="Arial"/>
                <w:color w:val="000000"/>
                <w:sz w:val="20"/>
                <w:szCs w:val="20"/>
              </w:rPr>
              <w:t>000</w:t>
            </w:r>
            <w:r w:rsidR="0006710F" w:rsidRPr="00E0036F">
              <w:rPr>
                <w:rFonts w:ascii="Arial" w:eastAsia="Arial" w:hAnsi="Arial" w:cs="Arial"/>
                <w:color w:val="000000"/>
                <w:sz w:val="20"/>
                <w:szCs w:val="20"/>
              </w:rPr>
              <w:t>.</w:t>
            </w:r>
            <w:r w:rsidRPr="00E0036F">
              <w:rPr>
                <w:rFonts w:ascii="Arial" w:eastAsia="Arial" w:hAnsi="Arial" w:cs="Arial"/>
                <w:color w:val="000000"/>
                <w:sz w:val="20"/>
                <w:szCs w:val="20"/>
              </w:rPr>
              <w:t>000 CU);</w:t>
            </w:r>
          </w:p>
          <w:p w:rsidR="00E11C96" w:rsidRPr="00E0036F" w:rsidRDefault="00E11C96" w:rsidP="00E11C96">
            <w:pPr>
              <w:pBdr>
                <w:top w:val="nil"/>
                <w:left w:val="nil"/>
                <w:bottom w:val="nil"/>
                <w:right w:val="nil"/>
                <w:between w:val="nil"/>
              </w:pBdr>
              <w:spacing w:line="259" w:lineRule="auto"/>
              <w:ind w:left="417"/>
              <w:jc w:val="both"/>
              <w:rPr>
                <w:rFonts w:ascii="Arial" w:eastAsia="Arial" w:hAnsi="Arial" w:cs="Arial"/>
                <w:color w:val="000000"/>
                <w:sz w:val="20"/>
                <w:szCs w:val="20"/>
              </w:rPr>
            </w:pPr>
          </w:p>
          <w:p w:rsidR="00247933" w:rsidRPr="00E0036F" w:rsidRDefault="003559DB" w:rsidP="002A42A0">
            <w:pPr>
              <w:numPr>
                <w:ilvl w:val="0"/>
                <w:numId w:val="1"/>
              </w:numPr>
              <w:pBdr>
                <w:top w:val="nil"/>
                <w:left w:val="nil"/>
                <w:bottom w:val="nil"/>
                <w:right w:val="nil"/>
                <w:between w:val="nil"/>
              </w:pBdr>
              <w:spacing w:line="259" w:lineRule="auto"/>
              <w:ind w:left="417" w:firstLine="0"/>
              <w:jc w:val="both"/>
              <w:rPr>
                <w:rFonts w:ascii="Arial" w:eastAsia="Arial" w:hAnsi="Arial" w:cs="Arial"/>
                <w:color w:val="000000"/>
                <w:sz w:val="20"/>
                <w:szCs w:val="20"/>
              </w:rPr>
            </w:pPr>
            <w:r w:rsidRPr="00E0036F">
              <w:rPr>
                <w:rFonts w:ascii="Arial" w:eastAsia="Arial" w:hAnsi="Arial" w:cs="Arial"/>
                <w:color w:val="000000"/>
                <w:sz w:val="20"/>
                <w:szCs w:val="20"/>
              </w:rPr>
              <w:t>100</w:t>
            </w:r>
            <w:r w:rsidR="0006710F" w:rsidRPr="00E0036F">
              <w:rPr>
                <w:rFonts w:ascii="Arial" w:eastAsia="Arial" w:hAnsi="Arial" w:cs="Arial"/>
                <w:color w:val="000000"/>
                <w:sz w:val="20"/>
                <w:szCs w:val="20"/>
              </w:rPr>
              <w:t>.</w:t>
            </w:r>
            <w:r w:rsidRPr="00E0036F">
              <w:rPr>
                <w:rFonts w:ascii="Arial" w:eastAsia="Arial" w:hAnsi="Arial" w:cs="Arial"/>
                <w:color w:val="000000"/>
                <w:sz w:val="20"/>
                <w:szCs w:val="20"/>
              </w:rPr>
              <w:t xml:space="preserve">000 cổ phiếu tại ngày 1 tháng 1 năm 20X2 với giá 20 </w:t>
            </w:r>
            <w:r w:rsidRPr="00E0036F">
              <w:rPr>
                <w:rFonts w:ascii="Arial" w:eastAsia="Arial" w:hAnsi="Arial" w:cs="Arial"/>
                <w:sz w:val="20"/>
                <w:szCs w:val="20"/>
              </w:rPr>
              <w:t xml:space="preserve">CU </w:t>
            </w:r>
            <w:r w:rsidRPr="00E0036F">
              <w:rPr>
                <w:rFonts w:ascii="Arial" w:eastAsia="Arial" w:hAnsi="Arial" w:cs="Arial"/>
                <w:color w:val="000000"/>
                <w:sz w:val="20"/>
                <w:szCs w:val="20"/>
              </w:rPr>
              <w:t>mỗi cổ phiếu (thêm 2</w:t>
            </w:r>
            <w:r w:rsidR="0006710F" w:rsidRPr="00E0036F">
              <w:rPr>
                <w:rFonts w:ascii="Arial" w:eastAsia="Arial" w:hAnsi="Arial" w:cs="Arial"/>
                <w:color w:val="000000"/>
                <w:sz w:val="20"/>
                <w:szCs w:val="20"/>
              </w:rPr>
              <w:t>.</w:t>
            </w:r>
            <w:r w:rsidRPr="00E0036F">
              <w:rPr>
                <w:rFonts w:ascii="Arial" w:eastAsia="Arial" w:hAnsi="Arial" w:cs="Arial"/>
                <w:color w:val="000000"/>
                <w:sz w:val="20"/>
                <w:szCs w:val="20"/>
              </w:rPr>
              <w:t>000</w:t>
            </w:r>
            <w:r w:rsidR="0006710F" w:rsidRPr="00E0036F">
              <w:rPr>
                <w:rFonts w:ascii="Arial" w:eastAsia="Arial" w:hAnsi="Arial" w:cs="Arial"/>
                <w:color w:val="000000"/>
                <w:sz w:val="20"/>
                <w:szCs w:val="20"/>
              </w:rPr>
              <w:t>.</w:t>
            </w:r>
            <w:r w:rsidRPr="00E0036F">
              <w:rPr>
                <w:rFonts w:ascii="Arial" w:eastAsia="Arial" w:hAnsi="Arial" w:cs="Arial"/>
                <w:color w:val="000000"/>
                <w:sz w:val="20"/>
                <w:szCs w:val="20"/>
              </w:rPr>
              <w:t xml:space="preserve">000 </w:t>
            </w:r>
            <w:r w:rsidRPr="00E0036F">
              <w:rPr>
                <w:rFonts w:ascii="Arial" w:eastAsia="Arial" w:hAnsi="Arial" w:cs="Arial"/>
                <w:sz w:val="20"/>
                <w:szCs w:val="20"/>
              </w:rPr>
              <w:t>CU</w:t>
            </w:r>
            <w:r w:rsidRPr="00E0036F">
              <w:rPr>
                <w:rFonts w:ascii="Arial" w:eastAsia="Arial" w:hAnsi="Arial" w:cs="Arial"/>
                <w:color w:val="000000"/>
                <w:sz w:val="20"/>
                <w:szCs w:val="20"/>
              </w:rPr>
              <w:t>, do đó tổng số cổ phiếu đã phát hành là 3</w:t>
            </w:r>
            <w:r w:rsidR="0006710F" w:rsidRPr="00E0036F">
              <w:rPr>
                <w:rFonts w:ascii="Arial" w:eastAsia="Arial" w:hAnsi="Arial" w:cs="Arial"/>
                <w:color w:val="000000"/>
                <w:sz w:val="20"/>
                <w:szCs w:val="20"/>
              </w:rPr>
              <w:t>.</w:t>
            </w:r>
            <w:r w:rsidRPr="00E0036F">
              <w:rPr>
                <w:rFonts w:ascii="Arial" w:eastAsia="Arial" w:hAnsi="Arial" w:cs="Arial"/>
                <w:color w:val="000000"/>
                <w:sz w:val="20"/>
                <w:szCs w:val="20"/>
              </w:rPr>
              <w:t>000</w:t>
            </w:r>
            <w:r w:rsidR="0006710F" w:rsidRPr="00E0036F">
              <w:rPr>
                <w:rFonts w:ascii="Arial" w:eastAsia="Arial" w:hAnsi="Arial" w:cs="Arial"/>
                <w:color w:val="000000"/>
                <w:sz w:val="20"/>
                <w:szCs w:val="20"/>
              </w:rPr>
              <w:t>.</w:t>
            </w:r>
            <w:r w:rsidRPr="00E0036F">
              <w:rPr>
                <w:rFonts w:ascii="Arial" w:eastAsia="Arial" w:hAnsi="Arial" w:cs="Arial"/>
                <w:color w:val="000000"/>
                <w:sz w:val="20"/>
                <w:szCs w:val="20"/>
              </w:rPr>
              <w:t xml:space="preserve">000 </w:t>
            </w:r>
            <w:r w:rsidRPr="00E0036F">
              <w:rPr>
                <w:rFonts w:ascii="Arial" w:eastAsia="Arial" w:hAnsi="Arial" w:cs="Arial"/>
                <w:sz w:val="20"/>
                <w:szCs w:val="20"/>
              </w:rPr>
              <w:t>CU</w:t>
            </w:r>
            <w:r w:rsidRPr="00E0036F">
              <w:rPr>
                <w:rFonts w:ascii="Arial" w:eastAsia="Arial" w:hAnsi="Arial" w:cs="Arial"/>
                <w:color w:val="000000"/>
                <w:sz w:val="20"/>
                <w:szCs w:val="20"/>
              </w:rPr>
              <w:t>).</w:t>
            </w:r>
          </w:p>
          <w:p w:rsidR="0006710F" w:rsidRPr="00E0036F" w:rsidRDefault="0006710F" w:rsidP="002A42A0">
            <w:pPr>
              <w:pBdr>
                <w:top w:val="nil"/>
                <w:left w:val="nil"/>
                <w:bottom w:val="nil"/>
                <w:right w:val="nil"/>
                <w:between w:val="nil"/>
              </w:pBdr>
              <w:spacing w:line="259" w:lineRule="auto"/>
              <w:ind w:left="417"/>
              <w:jc w:val="both"/>
              <w:rPr>
                <w:rFonts w:ascii="Arial" w:eastAsia="Arial" w:hAnsi="Arial" w:cs="Arial"/>
                <w:color w:val="000000"/>
                <w:sz w:val="20"/>
                <w:szCs w:val="20"/>
              </w:rPr>
            </w:pPr>
          </w:p>
          <w:p w:rsidR="00247933" w:rsidRPr="00E0036F" w:rsidRDefault="003559DB" w:rsidP="002A42A0">
            <w:pPr>
              <w:pBdr>
                <w:top w:val="nil"/>
                <w:left w:val="nil"/>
                <w:bottom w:val="nil"/>
                <w:right w:val="nil"/>
                <w:between w:val="nil"/>
              </w:pBdr>
              <w:spacing w:line="259" w:lineRule="auto"/>
              <w:ind w:left="417"/>
              <w:jc w:val="both"/>
              <w:rPr>
                <w:rFonts w:ascii="Arial" w:eastAsia="Arial" w:hAnsi="Arial" w:cs="Arial"/>
                <w:color w:val="000000"/>
                <w:sz w:val="20"/>
                <w:szCs w:val="20"/>
              </w:rPr>
            </w:pPr>
            <w:r w:rsidRPr="00E0036F">
              <w:rPr>
                <w:rFonts w:ascii="Arial" w:eastAsia="Arial" w:hAnsi="Arial" w:cs="Arial"/>
                <w:color w:val="000000"/>
                <w:sz w:val="20"/>
                <w:szCs w:val="20"/>
              </w:rPr>
              <w:t xml:space="preserve">Cổ phiếu được hoàn lại theo yêu cầu với giá trị đã được phát hành. </w:t>
            </w:r>
          </w:p>
          <w:p w:rsidR="00247933" w:rsidRPr="00E0036F" w:rsidRDefault="00247933" w:rsidP="002A42A0">
            <w:pPr>
              <w:pBdr>
                <w:top w:val="nil"/>
                <w:left w:val="nil"/>
                <w:bottom w:val="nil"/>
                <w:right w:val="nil"/>
                <w:between w:val="nil"/>
              </w:pBdr>
              <w:spacing w:line="259" w:lineRule="auto"/>
              <w:ind w:left="417"/>
              <w:jc w:val="both"/>
              <w:rPr>
                <w:rFonts w:ascii="Arial" w:eastAsia="Arial" w:hAnsi="Arial" w:cs="Arial"/>
                <w:color w:val="000000"/>
                <w:sz w:val="20"/>
                <w:szCs w:val="20"/>
              </w:rPr>
            </w:pPr>
          </w:p>
          <w:p w:rsidR="0006710F" w:rsidRPr="00E0036F" w:rsidRDefault="0006710F" w:rsidP="002A42A0">
            <w:pPr>
              <w:pBdr>
                <w:top w:val="nil"/>
                <w:left w:val="nil"/>
                <w:bottom w:val="nil"/>
                <w:right w:val="nil"/>
                <w:between w:val="nil"/>
              </w:pBdr>
              <w:spacing w:line="259" w:lineRule="auto"/>
              <w:ind w:left="417"/>
              <w:jc w:val="both"/>
              <w:rPr>
                <w:rFonts w:ascii="Arial" w:eastAsia="Arial" w:hAnsi="Arial" w:cs="Arial"/>
                <w:color w:val="000000"/>
                <w:sz w:val="20"/>
                <w:szCs w:val="20"/>
              </w:rPr>
            </w:pPr>
          </w:p>
          <w:p w:rsidR="00247933" w:rsidRPr="00E0036F" w:rsidRDefault="003559DB" w:rsidP="002A42A0">
            <w:pPr>
              <w:pBdr>
                <w:top w:val="nil"/>
                <w:left w:val="nil"/>
                <w:bottom w:val="nil"/>
                <w:right w:val="nil"/>
                <w:between w:val="nil"/>
              </w:pBdr>
              <w:spacing w:line="259" w:lineRule="auto"/>
              <w:ind w:left="368" w:hanging="709"/>
              <w:jc w:val="both"/>
              <w:rPr>
                <w:rFonts w:ascii="Arial" w:eastAsia="Arial" w:hAnsi="Arial" w:cs="Arial"/>
                <w:color w:val="000000"/>
                <w:sz w:val="20"/>
                <w:szCs w:val="20"/>
              </w:rPr>
            </w:pPr>
            <w:r w:rsidRPr="00E0036F">
              <w:rPr>
                <w:rFonts w:ascii="Arial" w:eastAsia="Arial" w:hAnsi="Arial" w:cs="Arial"/>
                <w:color w:val="000000"/>
                <w:sz w:val="20"/>
                <w:szCs w:val="20"/>
              </w:rPr>
              <w:t xml:space="preserve">      A7. </w:t>
            </w:r>
            <w:r w:rsidR="002A42A0" w:rsidRPr="00E0036F">
              <w:rPr>
                <w:rFonts w:ascii="Arial" w:eastAsia="Arial" w:hAnsi="Arial" w:cs="Arial"/>
                <w:color w:val="000000"/>
                <w:sz w:val="20"/>
                <w:szCs w:val="20"/>
              </w:rPr>
              <w:t xml:space="preserve"> </w:t>
            </w:r>
            <w:r w:rsidRPr="00E0036F">
              <w:rPr>
                <w:rFonts w:ascii="Arial" w:eastAsia="Arial" w:hAnsi="Arial" w:cs="Arial"/>
                <w:color w:val="000000"/>
                <w:sz w:val="20"/>
                <w:szCs w:val="20"/>
              </w:rPr>
              <w:t xml:space="preserve">Điều lệ của đơn vị quy </w:t>
            </w:r>
            <w:r w:rsidRPr="00E0036F">
              <w:rPr>
                <w:rFonts w:ascii="Arial" w:eastAsia="Arial" w:hAnsi="Arial" w:cs="Arial"/>
                <w:sz w:val="20"/>
                <w:szCs w:val="20"/>
              </w:rPr>
              <w:t xml:space="preserve">định tổng </w:t>
            </w:r>
            <w:r w:rsidRPr="00E0036F">
              <w:rPr>
                <w:rFonts w:ascii="Arial" w:eastAsia="Arial" w:hAnsi="Arial" w:cs="Arial"/>
                <w:color w:val="000000"/>
                <w:sz w:val="20"/>
                <w:szCs w:val="20"/>
              </w:rPr>
              <w:t>mua lại lũy k</w:t>
            </w:r>
            <w:r w:rsidRPr="00E0036F">
              <w:rPr>
                <w:rFonts w:ascii="Arial" w:eastAsia="Arial" w:hAnsi="Arial" w:cs="Arial"/>
                <w:sz w:val="20"/>
                <w:szCs w:val="20"/>
              </w:rPr>
              <w:t xml:space="preserve">ế </w:t>
            </w:r>
            <w:r w:rsidRPr="00E0036F">
              <w:rPr>
                <w:rFonts w:ascii="Arial" w:eastAsia="Arial" w:hAnsi="Arial" w:cs="Arial"/>
                <w:color w:val="000000"/>
                <w:sz w:val="20"/>
                <w:szCs w:val="20"/>
              </w:rPr>
              <w:t>không thể vượt quá 20% của số lượng cao nhất cổ phiếu c</w:t>
            </w:r>
            <w:r w:rsidRPr="00E0036F">
              <w:rPr>
                <w:rFonts w:ascii="Arial" w:eastAsia="Arial" w:hAnsi="Arial" w:cs="Arial"/>
                <w:sz w:val="20"/>
                <w:szCs w:val="20"/>
              </w:rPr>
              <w:t xml:space="preserve">ủa thành viên đã từng </w:t>
            </w:r>
            <w:r w:rsidRPr="00E0036F">
              <w:rPr>
                <w:rFonts w:ascii="Arial" w:eastAsia="Arial" w:hAnsi="Arial" w:cs="Arial"/>
                <w:color w:val="000000"/>
                <w:sz w:val="20"/>
                <w:szCs w:val="20"/>
              </w:rPr>
              <w:t>lưu hành. Tại ngày 31 tháng 12 năm 20X2, đơn vị có 200</w:t>
            </w:r>
            <w:r w:rsidR="0006710F" w:rsidRPr="00E0036F">
              <w:rPr>
                <w:rFonts w:ascii="Arial" w:eastAsia="Arial" w:hAnsi="Arial" w:cs="Arial"/>
                <w:color w:val="000000"/>
                <w:sz w:val="20"/>
                <w:szCs w:val="20"/>
              </w:rPr>
              <w:t>.</w:t>
            </w:r>
            <w:r w:rsidRPr="00E0036F">
              <w:rPr>
                <w:rFonts w:ascii="Arial" w:eastAsia="Arial" w:hAnsi="Arial" w:cs="Arial"/>
                <w:color w:val="000000"/>
                <w:sz w:val="20"/>
                <w:szCs w:val="20"/>
              </w:rPr>
              <w:t>000 cổ phiếu, đây là số lượng cổ phiếu của các thành viên cao nhất đang lưu hành từng có và không có cổ phiếu n</w:t>
            </w:r>
            <w:r w:rsidRPr="00E0036F">
              <w:rPr>
                <w:rFonts w:ascii="Arial" w:eastAsia="Arial" w:hAnsi="Arial" w:cs="Arial"/>
                <w:sz w:val="20"/>
                <w:szCs w:val="20"/>
              </w:rPr>
              <w:t>ào</w:t>
            </w:r>
            <w:r w:rsidRPr="00E0036F">
              <w:rPr>
                <w:rFonts w:ascii="Arial" w:eastAsia="Arial" w:hAnsi="Arial" w:cs="Arial"/>
                <w:color w:val="000000"/>
                <w:sz w:val="20"/>
                <w:szCs w:val="20"/>
              </w:rPr>
              <w:t xml:space="preserve"> được hoàn lại trong quá khứ. Tại ngày 1 tháng 1 năm 20X3, đơn vị thay đổi điều lệ quản trị và tăng lượng mua lại tích lũy cho phép lên 25% của số lượng cao nhất cổ phiếu của các thành viên </w:t>
            </w:r>
            <w:r w:rsidRPr="00E0036F">
              <w:rPr>
                <w:rFonts w:ascii="Arial" w:eastAsia="Arial" w:hAnsi="Arial" w:cs="Arial"/>
                <w:sz w:val="20"/>
                <w:szCs w:val="20"/>
              </w:rPr>
              <w:t xml:space="preserve">đã từng </w:t>
            </w:r>
            <w:r w:rsidRPr="00E0036F">
              <w:rPr>
                <w:rFonts w:ascii="Arial" w:eastAsia="Arial" w:hAnsi="Arial" w:cs="Arial"/>
                <w:color w:val="000000"/>
                <w:sz w:val="20"/>
                <w:szCs w:val="20"/>
              </w:rPr>
              <w:t xml:space="preserve">lưu hành.  </w:t>
            </w:r>
          </w:p>
          <w:p w:rsidR="00247933" w:rsidRPr="00E0036F" w:rsidRDefault="00247933" w:rsidP="00AD3A25">
            <w:pPr>
              <w:pBdr>
                <w:top w:val="nil"/>
                <w:left w:val="nil"/>
                <w:bottom w:val="nil"/>
                <w:right w:val="nil"/>
                <w:between w:val="nil"/>
              </w:pBdr>
              <w:spacing w:line="259" w:lineRule="auto"/>
              <w:ind w:left="731"/>
              <w:jc w:val="both"/>
              <w:rPr>
                <w:rFonts w:ascii="Arial" w:eastAsia="Arial" w:hAnsi="Arial" w:cs="Arial"/>
                <w:color w:val="000000"/>
                <w:sz w:val="20"/>
                <w:szCs w:val="20"/>
              </w:rPr>
            </w:pPr>
          </w:p>
          <w:p w:rsidR="00247933" w:rsidRPr="00E0036F" w:rsidRDefault="003559DB" w:rsidP="002A42A0">
            <w:pPr>
              <w:pBdr>
                <w:top w:val="nil"/>
                <w:left w:val="nil"/>
                <w:bottom w:val="nil"/>
                <w:right w:val="nil"/>
                <w:between w:val="nil"/>
              </w:pBdr>
              <w:spacing w:line="259" w:lineRule="auto"/>
              <w:ind w:firstLine="368"/>
              <w:jc w:val="both"/>
              <w:rPr>
                <w:rFonts w:ascii="Arial" w:eastAsia="Arial" w:hAnsi="Arial" w:cs="Arial"/>
                <w:b/>
                <w:sz w:val="20"/>
                <w:szCs w:val="20"/>
              </w:rPr>
            </w:pPr>
            <w:r w:rsidRPr="00E0036F">
              <w:rPr>
                <w:rFonts w:ascii="Arial" w:eastAsia="Arial" w:hAnsi="Arial" w:cs="Arial"/>
                <w:b/>
                <w:sz w:val="20"/>
                <w:szCs w:val="20"/>
              </w:rPr>
              <w:t>Phân loại</w:t>
            </w:r>
          </w:p>
          <w:p w:rsidR="00247933" w:rsidRPr="00E0036F" w:rsidRDefault="00247933" w:rsidP="002A42A0">
            <w:pPr>
              <w:pBdr>
                <w:top w:val="nil"/>
                <w:left w:val="nil"/>
                <w:bottom w:val="nil"/>
                <w:right w:val="nil"/>
                <w:between w:val="nil"/>
              </w:pBdr>
              <w:spacing w:line="259" w:lineRule="auto"/>
              <w:jc w:val="both"/>
              <w:rPr>
                <w:rFonts w:ascii="Arial" w:eastAsia="Arial" w:hAnsi="Arial" w:cs="Arial"/>
                <w:sz w:val="20"/>
                <w:szCs w:val="20"/>
              </w:rPr>
            </w:pPr>
          </w:p>
          <w:p w:rsidR="00247933" w:rsidRPr="00E0036F" w:rsidRDefault="003559DB" w:rsidP="002A42A0">
            <w:pPr>
              <w:pBdr>
                <w:top w:val="nil"/>
                <w:left w:val="nil"/>
                <w:bottom w:val="nil"/>
                <w:right w:val="nil"/>
                <w:between w:val="nil"/>
              </w:pBdr>
              <w:spacing w:line="259" w:lineRule="auto"/>
              <w:ind w:left="375"/>
              <w:jc w:val="both"/>
              <w:rPr>
                <w:rFonts w:ascii="Arial" w:eastAsia="Arial" w:hAnsi="Arial" w:cs="Arial"/>
                <w:i/>
              </w:rPr>
            </w:pPr>
            <w:r w:rsidRPr="00E0036F">
              <w:rPr>
                <w:rFonts w:ascii="Arial" w:eastAsia="Arial" w:hAnsi="Arial" w:cs="Arial"/>
                <w:i/>
              </w:rPr>
              <w:t>Trước khi điều lệ được thay đổi</w:t>
            </w:r>
          </w:p>
          <w:p w:rsidR="00247933" w:rsidRPr="00E0036F" w:rsidRDefault="00247933" w:rsidP="002A42A0">
            <w:pPr>
              <w:pBdr>
                <w:top w:val="nil"/>
                <w:left w:val="nil"/>
                <w:bottom w:val="nil"/>
                <w:right w:val="nil"/>
                <w:between w:val="nil"/>
              </w:pBdr>
              <w:spacing w:line="259" w:lineRule="auto"/>
              <w:ind w:left="375" w:hanging="714"/>
              <w:jc w:val="both"/>
              <w:rPr>
                <w:rFonts w:ascii="Arial" w:eastAsia="Arial" w:hAnsi="Arial" w:cs="Arial"/>
                <w:sz w:val="20"/>
                <w:szCs w:val="20"/>
              </w:rPr>
            </w:pPr>
          </w:p>
          <w:p w:rsidR="00247933" w:rsidRPr="00E0036F" w:rsidRDefault="003559DB" w:rsidP="0006710F">
            <w:pPr>
              <w:pBdr>
                <w:top w:val="nil"/>
                <w:left w:val="nil"/>
                <w:bottom w:val="nil"/>
                <w:right w:val="nil"/>
                <w:between w:val="nil"/>
              </w:pBdr>
              <w:spacing w:line="259" w:lineRule="auto"/>
              <w:ind w:left="375" w:hanging="714"/>
              <w:jc w:val="both"/>
              <w:rPr>
                <w:rFonts w:ascii="Arial" w:eastAsia="Arial" w:hAnsi="Arial" w:cs="Arial"/>
                <w:color w:val="000000"/>
                <w:sz w:val="20"/>
                <w:szCs w:val="20"/>
              </w:rPr>
            </w:pPr>
            <w:r w:rsidRPr="00E0036F">
              <w:rPr>
                <w:rFonts w:ascii="Arial" w:eastAsia="Arial" w:hAnsi="Arial" w:cs="Arial"/>
                <w:color w:val="000000"/>
                <w:sz w:val="20"/>
                <w:szCs w:val="20"/>
              </w:rPr>
              <w:t xml:space="preserve">      A8. Cổ phiếu của các thành viên vượt quá mức cấm mua lại lại là nợ phải trả tài chính. Đơn vị hợp </w:t>
            </w:r>
            <w:r w:rsidRPr="00E0036F">
              <w:rPr>
                <w:rFonts w:ascii="Arial" w:eastAsia="Arial" w:hAnsi="Arial" w:cs="Arial"/>
                <w:sz w:val="20"/>
                <w:szCs w:val="20"/>
              </w:rPr>
              <w:t>tác</w:t>
            </w:r>
            <w:r w:rsidRPr="00E0036F">
              <w:rPr>
                <w:rFonts w:ascii="Arial" w:eastAsia="Arial" w:hAnsi="Arial" w:cs="Arial"/>
                <w:color w:val="000000"/>
                <w:sz w:val="20"/>
                <w:szCs w:val="20"/>
              </w:rPr>
              <w:t xml:space="preserve"> xã đo lường nợ phải trả tài chính này theo giá trị hợp lý tại thời điểm ghi nhận ban đầu. Bởi vì những cổ phiếu này được hoàn lại theo yêu cầu, đơn vị hợp tác đo lường giá trị hợp lý của những khoản nợ phải trả tài chính theo đoạn 47 của IFRS 13: “Giá trị hợp lý của một khoản nợ phải trả tài chính cùng với những đặc điểm yêu cầu (ví dụ như yêu cầu về đặt cọc) không được thấp hơn giá trị phải trả của yêu cầu đó…”. Do đó, đơn vị hợp tác phân loại nợ phải trả tài chính bằng số tiền tối đa phải trả lại theo yêu cầu của việc mua lại đó.</w:t>
            </w:r>
          </w:p>
          <w:p w:rsidR="002A42A0" w:rsidRPr="00E0036F" w:rsidRDefault="002A42A0" w:rsidP="002A42A0">
            <w:pPr>
              <w:spacing w:line="259" w:lineRule="auto"/>
              <w:ind w:left="375" w:hanging="714"/>
              <w:jc w:val="both"/>
              <w:rPr>
                <w:rFonts w:ascii="Arial" w:eastAsia="Arial" w:hAnsi="Arial" w:cs="Arial"/>
                <w:color w:val="000000"/>
                <w:sz w:val="20"/>
                <w:szCs w:val="20"/>
              </w:rPr>
            </w:pPr>
          </w:p>
          <w:p w:rsidR="00247933" w:rsidRPr="00E0036F" w:rsidRDefault="003559DB" w:rsidP="002A42A0">
            <w:pPr>
              <w:pBdr>
                <w:top w:val="nil"/>
                <w:left w:val="nil"/>
                <w:bottom w:val="nil"/>
                <w:right w:val="nil"/>
                <w:between w:val="nil"/>
              </w:pBdr>
              <w:spacing w:line="259" w:lineRule="auto"/>
              <w:ind w:left="375" w:hanging="714"/>
              <w:jc w:val="both"/>
              <w:rPr>
                <w:rFonts w:ascii="Arial" w:eastAsia="Arial" w:hAnsi="Arial" w:cs="Arial"/>
                <w:color w:val="000000"/>
                <w:sz w:val="20"/>
                <w:szCs w:val="20"/>
              </w:rPr>
            </w:pPr>
            <w:r w:rsidRPr="00E0036F">
              <w:rPr>
                <w:rFonts w:ascii="Arial" w:eastAsia="Arial" w:hAnsi="Arial" w:cs="Arial"/>
                <w:color w:val="000000"/>
                <w:sz w:val="20"/>
                <w:szCs w:val="20"/>
              </w:rPr>
              <w:t xml:space="preserve">      A9. Tại ngày 1 tháng 1 năm 20X1, số tiền tối đa phải trả theo yêu cầu mua lại là 20.000 cổ phiếu tại giá 10 CU mỗi cổ phiếu và theo đó đơn vị phân loại 200.000 </w:t>
            </w:r>
            <w:r w:rsidRPr="00E0036F">
              <w:rPr>
                <w:rFonts w:ascii="Arial" w:eastAsia="Arial" w:hAnsi="Arial" w:cs="Arial"/>
                <w:sz w:val="20"/>
                <w:szCs w:val="20"/>
              </w:rPr>
              <w:t xml:space="preserve">CU </w:t>
            </w:r>
            <w:r w:rsidRPr="00E0036F">
              <w:rPr>
                <w:rFonts w:ascii="Arial" w:eastAsia="Arial" w:hAnsi="Arial" w:cs="Arial"/>
                <w:color w:val="000000"/>
                <w:sz w:val="20"/>
                <w:szCs w:val="20"/>
              </w:rPr>
              <w:t xml:space="preserve">thành nợ phải trả tài chính và 800.000 </w:t>
            </w:r>
            <w:r w:rsidRPr="00E0036F">
              <w:rPr>
                <w:rFonts w:ascii="Arial" w:eastAsia="Arial" w:hAnsi="Arial" w:cs="Arial"/>
                <w:sz w:val="20"/>
                <w:szCs w:val="20"/>
              </w:rPr>
              <w:t xml:space="preserve">CU </w:t>
            </w:r>
            <w:r w:rsidRPr="00E0036F">
              <w:rPr>
                <w:rFonts w:ascii="Arial" w:eastAsia="Arial" w:hAnsi="Arial" w:cs="Arial"/>
                <w:color w:val="000000"/>
                <w:sz w:val="20"/>
                <w:szCs w:val="20"/>
              </w:rPr>
              <w:t xml:space="preserve">là công cụ vốn. Tuy nhiên, tại ngày 1 tháng 1 năm 20X2, do việc phát hành cổ phiếu mới tại giá 20 CU, số tiền tối đa phải trả theo yêu cầu mua lại tăng lên thành 40.000 cổ phiếu tại giá 20 CU mỗi cổ phiếu. Việc phát hành thêm cổ phiếu tại giá 20 CU tạo a khoản nợ phải trả mới được đo lường tại thời điểm ban đầu theo giá trị hợp lý. Nợ phải trả sau khi phát hành các cổ </w:t>
            </w:r>
            <w:r w:rsidRPr="00E0036F">
              <w:rPr>
                <w:rFonts w:ascii="Arial" w:eastAsia="Arial" w:hAnsi="Arial" w:cs="Arial"/>
                <w:sz w:val="20"/>
                <w:szCs w:val="20"/>
              </w:rPr>
              <w:t>phiếu</w:t>
            </w:r>
            <w:r w:rsidRPr="00E0036F">
              <w:rPr>
                <w:rFonts w:ascii="Arial" w:eastAsia="Arial" w:hAnsi="Arial" w:cs="Arial"/>
                <w:color w:val="000000"/>
                <w:sz w:val="20"/>
                <w:szCs w:val="20"/>
              </w:rPr>
              <w:t xml:space="preserve"> này là 20% của toàn bộ cổ phiếu </w:t>
            </w:r>
            <w:r w:rsidRPr="00E0036F">
              <w:rPr>
                <w:rFonts w:ascii="Arial" w:eastAsia="Arial" w:hAnsi="Arial" w:cs="Arial"/>
                <w:color w:val="000000"/>
                <w:sz w:val="20"/>
                <w:szCs w:val="20"/>
              </w:rPr>
              <w:lastRenderedPageBreak/>
              <w:t xml:space="preserve">đã phát hành (200.000), đo lường tại 20 </w:t>
            </w:r>
            <w:r w:rsidRPr="00E0036F">
              <w:rPr>
                <w:rFonts w:ascii="Arial" w:eastAsia="Arial" w:hAnsi="Arial" w:cs="Arial"/>
                <w:sz w:val="20"/>
                <w:szCs w:val="20"/>
              </w:rPr>
              <w:t>CU</w:t>
            </w:r>
            <w:r w:rsidRPr="00E0036F">
              <w:rPr>
                <w:rFonts w:ascii="Arial" w:eastAsia="Arial" w:hAnsi="Arial" w:cs="Arial"/>
                <w:color w:val="000000"/>
                <w:sz w:val="20"/>
                <w:szCs w:val="20"/>
              </w:rPr>
              <w:t xml:space="preserve">, hay 800.000 </w:t>
            </w:r>
            <w:r w:rsidRPr="00E0036F">
              <w:rPr>
                <w:rFonts w:ascii="Arial" w:eastAsia="Arial" w:hAnsi="Arial" w:cs="Arial"/>
                <w:sz w:val="20"/>
                <w:szCs w:val="20"/>
              </w:rPr>
              <w:t>CU</w:t>
            </w:r>
            <w:r w:rsidRPr="00E0036F">
              <w:rPr>
                <w:rFonts w:ascii="Arial" w:eastAsia="Arial" w:hAnsi="Arial" w:cs="Arial"/>
                <w:color w:val="000000"/>
                <w:sz w:val="20"/>
                <w:szCs w:val="20"/>
              </w:rPr>
              <w:t xml:space="preserve">. Nó yêu cầu phải ghi nhận thêm một khoản nợ phải trả với giá trị 600.000 </w:t>
            </w:r>
            <w:r w:rsidRPr="00E0036F">
              <w:rPr>
                <w:rFonts w:ascii="Arial" w:eastAsia="Arial" w:hAnsi="Arial" w:cs="Arial"/>
                <w:sz w:val="20"/>
                <w:szCs w:val="20"/>
              </w:rPr>
              <w:t>CU</w:t>
            </w:r>
            <w:r w:rsidRPr="00E0036F">
              <w:rPr>
                <w:rFonts w:ascii="Arial" w:eastAsia="Arial" w:hAnsi="Arial" w:cs="Arial"/>
                <w:color w:val="000000"/>
                <w:sz w:val="20"/>
                <w:szCs w:val="20"/>
              </w:rPr>
              <w:t xml:space="preserve">. Trong vị dụ này không có lãi hoặc lỗ được ghi nhận. Theo đó đơn vị hiện nay phân loại 800.000 </w:t>
            </w:r>
            <w:r w:rsidRPr="00E0036F">
              <w:rPr>
                <w:rFonts w:ascii="Arial" w:eastAsia="Arial" w:hAnsi="Arial" w:cs="Arial"/>
                <w:sz w:val="20"/>
                <w:szCs w:val="20"/>
              </w:rPr>
              <w:t xml:space="preserve">CU </w:t>
            </w:r>
            <w:r w:rsidRPr="00E0036F">
              <w:rPr>
                <w:rFonts w:ascii="Arial" w:eastAsia="Arial" w:hAnsi="Arial" w:cs="Arial"/>
                <w:color w:val="000000"/>
                <w:sz w:val="20"/>
                <w:szCs w:val="20"/>
              </w:rPr>
              <w:t xml:space="preserve">là nợ phải trả tài chính và 2.200.000 </w:t>
            </w:r>
            <w:r w:rsidRPr="00E0036F">
              <w:rPr>
                <w:rFonts w:ascii="Arial" w:eastAsia="Arial" w:hAnsi="Arial" w:cs="Arial"/>
                <w:sz w:val="20"/>
                <w:szCs w:val="20"/>
              </w:rPr>
              <w:t xml:space="preserve">CU </w:t>
            </w:r>
            <w:r w:rsidRPr="00E0036F">
              <w:rPr>
                <w:rFonts w:ascii="Arial" w:eastAsia="Arial" w:hAnsi="Arial" w:cs="Arial"/>
                <w:color w:val="000000"/>
                <w:sz w:val="20"/>
                <w:szCs w:val="20"/>
              </w:rPr>
              <w:t xml:space="preserve">là vốn chủ sở hữu. Ví dụ này giả định những giá trị này không thay đổi giữa ngày 1 tháng 1 năm 20X1 và ngày 31 tháng 12 năm 20X2. </w:t>
            </w:r>
          </w:p>
          <w:p w:rsidR="00247933" w:rsidRPr="00E0036F" w:rsidRDefault="00247933" w:rsidP="002A42A0">
            <w:pPr>
              <w:pBdr>
                <w:top w:val="nil"/>
                <w:left w:val="nil"/>
                <w:bottom w:val="nil"/>
                <w:right w:val="nil"/>
                <w:between w:val="nil"/>
              </w:pBdr>
              <w:spacing w:line="259" w:lineRule="auto"/>
              <w:ind w:left="375" w:hanging="714"/>
              <w:jc w:val="both"/>
              <w:rPr>
                <w:rFonts w:ascii="Arial" w:eastAsia="Arial" w:hAnsi="Arial" w:cs="Arial"/>
                <w:color w:val="000000"/>
                <w:sz w:val="20"/>
                <w:szCs w:val="20"/>
              </w:rPr>
            </w:pPr>
          </w:p>
          <w:p w:rsidR="00247933" w:rsidRPr="00E0036F" w:rsidRDefault="003559DB" w:rsidP="002A42A0">
            <w:pPr>
              <w:pBdr>
                <w:top w:val="nil"/>
                <w:left w:val="nil"/>
                <w:bottom w:val="nil"/>
                <w:right w:val="nil"/>
                <w:between w:val="nil"/>
              </w:pBdr>
              <w:spacing w:line="259" w:lineRule="auto"/>
              <w:ind w:left="249" w:firstLine="134"/>
              <w:jc w:val="both"/>
              <w:rPr>
                <w:rFonts w:ascii="Arial" w:eastAsia="Arial" w:hAnsi="Arial" w:cs="Arial"/>
                <w:i/>
              </w:rPr>
            </w:pPr>
            <w:r w:rsidRPr="00E0036F">
              <w:rPr>
                <w:rFonts w:ascii="Arial" w:eastAsia="Arial" w:hAnsi="Arial" w:cs="Arial"/>
                <w:i/>
              </w:rPr>
              <w:t>Sau khi điều lệ được thay đổi</w:t>
            </w:r>
          </w:p>
          <w:p w:rsidR="00247933" w:rsidRPr="00E0036F" w:rsidRDefault="00247933" w:rsidP="002A42A0">
            <w:pPr>
              <w:pBdr>
                <w:top w:val="nil"/>
                <w:left w:val="nil"/>
                <w:bottom w:val="nil"/>
                <w:right w:val="nil"/>
                <w:between w:val="nil"/>
              </w:pBdr>
              <w:spacing w:line="259" w:lineRule="auto"/>
              <w:ind w:left="417" w:hanging="686"/>
              <w:jc w:val="both"/>
              <w:rPr>
                <w:rFonts w:ascii="Arial" w:eastAsia="Helvetica Neue" w:hAnsi="Arial" w:cs="Arial"/>
                <w:i/>
                <w:sz w:val="19"/>
                <w:szCs w:val="19"/>
              </w:rPr>
            </w:pPr>
          </w:p>
          <w:p w:rsidR="00247933" w:rsidRPr="00E0036F" w:rsidRDefault="003559DB" w:rsidP="002A42A0">
            <w:pPr>
              <w:pBdr>
                <w:top w:val="nil"/>
                <w:left w:val="nil"/>
                <w:bottom w:val="nil"/>
                <w:right w:val="nil"/>
                <w:between w:val="nil"/>
              </w:pBdr>
              <w:spacing w:line="259" w:lineRule="auto"/>
              <w:ind w:left="417" w:hanging="686"/>
              <w:jc w:val="both"/>
              <w:rPr>
                <w:rFonts w:ascii="Arial" w:eastAsia="Arial" w:hAnsi="Arial" w:cs="Arial"/>
                <w:color w:val="000000"/>
                <w:sz w:val="20"/>
                <w:szCs w:val="20"/>
              </w:rPr>
            </w:pPr>
            <w:r w:rsidRPr="00E0036F">
              <w:rPr>
                <w:rFonts w:ascii="Arial" w:eastAsia="Arial" w:hAnsi="Arial" w:cs="Arial"/>
                <w:color w:val="000000"/>
                <w:sz w:val="20"/>
                <w:szCs w:val="20"/>
              </w:rPr>
              <w:t xml:space="preserve">    A10. Theo sự thay đổi của điều lệ, đơn vị hợp tác x</w:t>
            </w:r>
            <w:r w:rsidRPr="00E0036F">
              <w:rPr>
                <w:rFonts w:ascii="Arial" w:eastAsia="Arial" w:hAnsi="Arial" w:cs="Arial"/>
                <w:sz w:val="20"/>
                <w:szCs w:val="20"/>
              </w:rPr>
              <w:t>ã</w:t>
            </w:r>
            <w:r w:rsidRPr="00E0036F">
              <w:rPr>
                <w:rFonts w:ascii="Arial" w:eastAsia="Arial" w:hAnsi="Arial" w:cs="Arial"/>
                <w:color w:val="000000"/>
                <w:sz w:val="20"/>
                <w:szCs w:val="20"/>
              </w:rPr>
              <w:t xml:space="preserve"> hiện có thể bị yêu cầu mua lại tối đa 25% của số lượng cổ phiếu đang lưu hành ho</w:t>
            </w:r>
            <w:r w:rsidRPr="00E0036F">
              <w:rPr>
                <w:rFonts w:ascii="Arial" w:eastAsia="Arial" w:hAnsi="Arial" w:cs="Arial"/>
                <w:sz w:val="20"/>
                <w:szCs w:val="20"/>
              </w:rPr>
              <w:t>ặc</w:t>
            </w:r>
            <w:r w:rsidRPr="00E0036F">
              <w:rPr>
                <w:rFonts w:ascii="Arial" w:eastAsia="Arial" w:hAnsi="Arial" w:cs="Arial"/>
                <w:color w:val="000000"/>
                <w:sz w:val="20"/>
                <w:szCs w:val="20"/>
              </w:rPr>
              <w:t xml:space="preserve"> tối đa 50.000 cổ phiếu tại giá 20 CU mỗi cổ phiếu. Theo đó, ngày 1 tháng 1 năm 20X3 đơn vị hợp tác phân loại là nợ phải trả tài chính cho số tiền 1.000.000 </w:t>
            </w:r>
            <w:r w:rsidRPr="00E0036F">
              <w:rPr>
                <w:rFonts w:ascii="Arial" w:eastAsia="Arial" w:hAnsi="Arial" w:cs="Arial"/>
                <w:sz w:val="20"/>
                <w:szCs w:val="20"/>
              </w:rPr>
              <w:t xml:space="preserve">CU </w:t>
            </w:r>
            <w:r w:rsidRPr="00E0036F">
              <w:rPr>
                <w:rFonts w:ascii="Arial" w:eastAsia="Arial" w:hAnsi="Arial" w:cs="Arial"/>
                <w:color w:val="000000"/>
                <w:sz w:val="20"/>
                <w:szCs w:val="20"/>
              </w:rPr>
              <w:t xml:space="preserve">là số tiền tối đa phải trả theo yêu cầu, được xác định theo điều 47 của IFRS 13. Do đó tại ngày 1 tháng 1 năm 20X3 nó được chuyển đổi từ vốn chủ sở hữu sang nợ phải trả tài chính số tiền 200.000 </w:t>
            </w:r>
            <w:r w:rsidRPr="00E0036F">
              <w:rPr>
                <w:rFonts w:ascii="Arial" w:eastAsia="Arial" w:hAnsi="Arial" w:cs="Arial"/>
                <w:sz w:val="20"/>
                <w:szCs w:val="20"/>
              </w:rPr>
              <w:t>CU</w:t>
            </w:r>
            <w:r w:rsidRPr="00E0036F">
              <w:rPr>
                <w:rFonts w:ascii="Arial" w:eastAsia="Arial" w:hAnsi="Arial" w:cs="Arial"/>
                <w:color w:val="000000"/>
                <w:sz w:val="20"/>
                <w:szCs w:val="20"/>
              </w:rPr>
              <w:t xml:space="preserve">, và 2.000.000 </w:t>
            </w:r>
            <w:r w:rsidRPr="00E0036F">
              <w:rPr>
                <w:rFonts w:ascii="Arial" w:eastAsia="Arial" w:hAnsi="Arial" w:cs="Arial"/>
                <w:sz w:val="20"/>
                <w:szCs w:val="20"/>
              </w:rPr>
              <w:t>CU</w:t>
            </w:r>
            <w:r w:rsidRPr="00E0036F">
              <w:rPr>
                <w:rFonts w:ascii="Arial" w:eastAsia="Arial" w:hAnsi="Arial" w:cs="Arial"/>
                <w:color w:val="000000"/>
                <w:sz w:val="20"/>
                <w:szCs w:val="20"/>
              </w:rPr>
              <w:t xml:space="preserve"> còn lại được phân loại là vốn chủ sở hữu. Trong ví dụ này đơn vị không ghi nhận lãi hoặc lỗ cho việc chuyển giao.</w:t>
            </w: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sz w:val="20"/>
                <w:szCs w:val="20"/>
              </w:rPr>
            </w:pPr>
          </w:p>
          <w:p w:rsidR="00247933" w:rsidRPr="00E0036F" w:rsidRDefault="003559DB" w:rsidP="002A42A0">
            <w:pPr>
              <w:pBdr>
                <w:top w:val="nil"/>
                <w:left w:val="nil"/>
                <w:bottom w:val="nil"/>
                <w:right w:val="nil"/>
                <w:between w:val="nil"/>
              </w:pBdr>
              <w:spacing w:line="259" w:lineRule="auto"/>
              <w:ind w:firstLine="389"/>
              <w:jc w:val="both"/>
              <w:rPr>
                <w:rFonts w:ascii="Arial" w:eastAsia="Arial" w:hAnsi="Arial" w:cs="Arial"/>
                <w:b/>
                <w:sz w:val="20"/>
                <w:szCs w:val="20"/>
              </w:rPr>
            </w:pPr>
            <w:r w:rsidRPr="00E0036F">
              <w:rPr>
                <w:rFonts w:ascii="Arial" w:eastAsia="Arial" w:hAnsi="Arial" w:cs="Arial"/>
                <w:b/>
                <w:sz w:val="20"/>
                <w:szCs w:val="20"/>
              </w:rPr>
              <w:t>Ví dụ 4</w:t>
            </w:r>
          </w:p>
          <w:p w:rsidR="00247933" w:rsidRPr="00E0036F" w:rsidRDefault="00247933" w:rsidP="002A42A0">
            <w:pPr>
              <w:pBdr>
                <w:top w:val="nil"/>
                <w:left w:val="nil"/>
                <w:bottom w:val="nil"/>
                <w:right w:val="nil"/>
                <w:between w:val="nil"/>
              </w:pBdr>
              <w:spacing w:line="259" w:lineRule="auto"/>
              <w:ind w:firstLine="389"/>
              <w:jc w:val="both"/>
              <w:rPr>
                <w:rFonts w:ascii="Arial" w:eastAsia="Arial" w:hAnsi="Arial" w:cs="Arial"/>
                <w:sz w:val="20"/>
                <w:szCs w:val="20"/>
              </w:rPr>
            </w:pPr>
          </w:p>
          <w:p w:rsidR="00247933" w:rsidRPr="00E0036F" w:rsidRDefault="003559DB" w:rsidP="002A42A0">
            <w:pPr>
              <w:pBdr>
                <w:top w:val="nil"/>
                <w:left w:val="nil"/>
                <w:bottom w:val="nil"/>
                <w:right w:val="nil"/>
                <w:between w:val="nil"/>
              </w:pBdr>
              <w:spacing w:line="259" w:lineRule="auto"/>
              <w:ind w:firstLine="389"/>
              <w:jc w:val="both"/>
              <w:rPr>
                <w:rFonts w:ascii="Arial" w:eastAsia="Arial" w:hAnsi="Arial" w:cs="Arial"/>
                <w:b/>
                <w:sz w:val="20"/>
                <w:szCs w:val="20"/>
              </w:rPr>
            </w:pPr>
            <w:r w:rsidRPr="00E0036F">
              <w:rPr>
                <w:rFonts w:ascii="Arial" w:eastAsia="Arial" w:hAnsi="Arial" w:cs="Arial"/>
                <w:b/>
                <w:sz w:val="20"/>
                <w:szCs w:val="20"/>
              </w:rPr>
              <w:t xml:space="preserve">Dữ kiện </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984C26">
            <w:pPr>
              <w:pBdr>
                <w:top w:val="nil"/>
                <w:left w:val="nil"/>
                <w:bottom w:val="nil"/>
                <w:right w:val="nil"/>
                <w:between w:val="nil"/>
              </w:pBdr>
              <w:spacing w:line="259" w:lineRule="auto"/>
              <w:ind w:left="431" w:hanging="714"/>
              <w:jc w:val="both"/>
              <w:rPr>
                <w:rFonts w:ascii="Arial" w:eastAsia="Arial" w:hAnsi="Arial" w:cs="Arial"/>
                <w:color w:val="000000"/>
                <w:sz w:val="20"/>
                <w:szCs w:val="20"/>
              </w:rPr>
            </w:pPr>
            <w:r w:rsidRPr="00E0036F">
              <w:rPr>
                <w:rFonts w:ascii="Arial" w:eastAsia="Arial" w:hAnsi="Arial" w:cs="Arial"/>
                <w:color w:val="000000"/>
                <w:sz w:val="20"/>
                <w:szCs w:val="20"/>
              </w:rPr>
              <w:t xml:space="preserve">    A11. Luật quản lý hoạt động của các đơn vị hợp tác x</w:t>
            </w:r>
            <w:r w:rsidRPr="00E0036F">
              <w:rPr>
                <w:rFonts w:ascii="Arial" w:eastAsia="Arial" w:hAnsi="Arial" w:cs="Arial"/>
                <w:sz w:val="20"/>
                <w:szCs w:val="20"/>
              </w:rPr>
              <w:t>ã</w:t>
            </w:r>
            <w:r w:rsidRPr="00E0036F">
              <w:rPr>
                <w:rFonts w:ascii="Arial" w:eastAsia="Arial" w:hAnsi="Arial" w:cs="Arial"/>
                <w:color w:val="000000"/>
                <w:sz w:val="20"/>
                <w:szCs w:val="20"/>
              </w:rPr>
              <w:t>, hoặc điều khoản trong điều lệ của đơn vị, c</w:t>
            </w:r>
            <w:r w:rsidRPr="00E0036F">
              <w:rPr>
                <w:rFonts w:ascii="Arial" w:eastAsia="Arial" w:hAnsi="Arial" w:cs="Arial"/>
                <w:sz w:val="20"/>
                <w:szCs w:val="20"/>
              </w:rPr>
              <w:t>ấ</w:t>
            </w:r>
            <w:r w:rsidRPr="00E0036F">
              <w:rPr>
                <w:rFonts w:ascii="Arial" w:eastAsia="Arial" w:hAnsi="Arial" w:cs="Arial"/>
                <w:color w:val="000000"/>
                <w:sz w:val="20"/>
                <w:szCs w:val="20"/>
              </w:rPr>
              <w:t xml:space="preserve">m đơn vị mua lại cổ phiếu của các thành viên nếu, bằng cách mua lại chúng, nó làm giảm khoản vốn đã góp từ cổ phiếu của các thành viên xuống dưới 75% của số cao nhất của phần vốn đã góp từ cổ phiếu của các thành viên. Số cao nhất cho một đơn vị hợp tác cụ thể là 1.000.000 </w:t>
            </w:r>
            <w:r w:rsidRPr="00E0036F">
              <w:rPr>
                <w:rFonts w:ascii="Arial" w:eastAsia="Arial" w:hAnsi="Arial" w:cs="Arial"/>
                <w:sz w:val="20"/>
                <w:szCs w:val="20"/>
              </w:rPr>
              <w:t>CU</w:t>
            </w:r>
            <w:r w:rsidRPr="00E0036F">
              <w:rPr>
                <w:rFonts w:ascii="Arial" w:eastAsia="Arial" w:hAnsi="Arial" w:cs="Arial"/>
                <w:color w:val="000000"/>
                <w:sz w:val="20"/>
                <w:szCs w:val="20"/>
              </w:rPr>
              <w:t xml:space="preserve">. Tại ngày cuối cùng của kỳ báo cáo, số dư của khoản vốn đã góp là 900.000 </w:t>
            </w:r>
            <w:r w:rsidRPr="00E0036F">
              <w:rPr>
                <w:rFonts w:ascii="Arial" w:eastAsia="Arial" w:hAnsi="Arial" w:cs="Arial"/>
                <w:sz w:val="20"/>
                <w:szCs w:val="20"/>
              </w:rPr>
              <w:t>CU.</w:t>
            </w: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firstLine="403"/>
              <w:jc w:val="both"/>
              <w:rPr>
                <w:rFonts w:ascii="Arial" w:eastAsia="Arial" w:hAnsi="Arial" w:cs="Arial"/>
                <w:b/>
                <w:sz w:val="20"/>
                <w:szCs w:val="20"/>
              </w:rPr>
            </w:pPr>
            <w:r w:rsidRPr="00E0036F">
              <w:rPr>
                <w:rFonts w:ascii="Arial" w:eastAsia="Arial" w:hAnsi="Arial" w:cs="Arial"/>
                <w:b/>
                <w:sz w:val="20"/>
                <w:szCs w:val="20"/>
              </w:rPr>
              <w:t>Phân loại</w:t>
            </w:r>
          </w:p>
          <w:p w:rsidR="00247933" w:rsidRPr="00E0036F" w:rsidRDefault="00247933" w:rsidP="00984C26">
            <w:pPr>
              <w:pBdr>
                <w:top w:val="nil"/>
                <w:left w:val="nil"/>
                <w:bottom w:val="nil"/>
                <w:right w:val="nil"/>
                <w:between w:val="nil"/>
              </w:pBdr>
              <w:spacing w:line="259" w:lineRule="auto"/>
              <w:ind w:left="375" w:hanging="588"/>
              <w:jc w:val="both"/>
              <w:rPr>
                <w:rFonts w:ascii="Arial" w:eastAsia="Arial" w:hAnsi="Arial" w:cs="Arial"/>
                <w:sz w:val="20"/>
                <w:szCs w:val="20"/>
              </w:rPr>
            </w:pPr>
          </w:p>
          <w:p w:rsidR="00247933" w:rsidRPr="00E0036F" w:rsidRDefault="003559DB" w:rsidP="00984C26">
            <w:pPr>
              <w:pBdr>
                <w:top w:val="nil"/>
                <w:left w:val="nil"/>
                <w:bottom w:val="nil"/>
                <w:right w:val="nil"/>
                <w:between w:val="nil"/>
              </w:pBdr>
              <w:spacing w:line="259" w:lineRule="auto"/>
              <w:ind w:left="431" w:hanging="644"/>
              <w:jc w:val="both"/>
              <w:rPr>
                <w:rFonts w:ascii="Arial" w:eastAsia="Arial" w:hAnsi="Arial" w:cs="Arial"/>
                <w:color w:val="000000"/>
                <w:sz w:val="20"/>
                <w:szCs w:val="20"/>
              </w:rPr>
            </w:pPr>
            <w:r w:rsidRPr="00E0036F">
              <w:rPr>
                <w:rFonts w:ascii="Arial" w:eastAsia="Arial" w:hAnsi="Arial" w:cs="Arial"/>
                <w:color w:val="000000"/>
                <w:sz w:val="20"/>
                <w:szCs w:val="20"/>
              </w:rPr>
              <w:t xml:space="preserve">   A12. Trong trường hợp này, 750.000 </w:t>
            </w:r>
            <w:r w:rsidRPr="00E0036F">
              <w:rPr>
                <w:rFonts w:ascii="Arial" w:eastAsia="Arial" w:hAnsi="Arial" w:cs="Arial"/>
                <w:sz w:val="20"/>
                <w:szCs w:val="20"/>
              </w:rPr>
              <w:t xml:space="preserve">CU </w:t>
            </w:r>
            <w:r w:rsidRPr="00E0036F">
              <w:rPr>
                <w:rFonts w:ascii="Arial" w:eastAsia="Arial" w:hAnsi="Arial" w:cs="Arial"/>
                <w:color w:val="000000"/>
                <w:sz w:val="20"/>
                <w:szCs w:val="20"/>
              </w:rPr>
              <w:t xml:space="preserve">sẽ được phân loại thành vốn chủ sở hữu và 150.000 </w:t>
            </w:r>
            <w:r w:rsidRPr="00E0036F">
              <w:rPr>
                <w:rFonts w:ascii="Arial" w:eastAsia="Arial" w:hAnsi="Arial" w:cs="Arial"/>
                <w:sz w:val="20"/>
                <w:szCs w:val="20"/>
              </w:rPr>
              <w:t xml:space="preserve">CU </w:t>
            </w:r>
            <w:r w:rsidRPr="00E0036F">
              <w:rPr>
                <w:rFonts w:ascii="Arial" w:eastAsia="Arial" w:hAnsi="Arial" w:cs="Arial"/>
                <w:color w:val="000000"/>
                <w:sz w:val="20"/>
                <w:szCs w:val="20"/>
              </w:rPr>
              <w:t xml:space="preserve">sẽ được phân loại thành nợ phải trả tài chính. </w:t>
            </w:r>
            <w:r w:rsidRPr="00E0036F">
              <w:rPr>
                <w:rFonts w:ascii="Arial" w:eastAsia="Arial" w:hAnsi="Arial" w:cs="Arial"/>
                <w:color w:val="000000"/>
                <w:sz w:val="20"/>
                <w:szCs w:val="20"/>
              </w:rPr>
              <w:lastRenderedPageBreak/>
              <w:t>Theo các đoạn đã được trích dẫn, đoạn 18(b) của IAS 32 đã n</w:t>
            </w:r>
            <w:r w:rsidRPr="00E0036F">
              <w:rPr>
                <w:rFonts w:ascii="Arial" w:eastAsia="Arial" w:hAnsi="Arial" w:cs="Arial"/>
                <w:sz w:val="20"/>
                <w:szCs w:val="20"/>
              </w:rPr>
              <w:t xml:space="preserve">êu ra </w:t>
            </w:r>
            <w:r w:rsidRPr="00E0036F">
              <w:rPr>
                <w:rFonts w:ascii="Arial" w:eastAsia="Arial" w:hAnsi="Arial" w:cs="Arial"/>
                <w:color w:val="000000"/>
                <w:sz w:val="20"/>
                <w:szCs w:val="20"/>
              </w:rPr>
              <w:t>như sau</w:t>
            </w:r>
            <w:r w:rsidR="00B2628A" w:rsidRPr="00E0036F">
              <w:rPr>
                <w:rFonts w:ascii="Arial" w:eastAsia="Arial" w:hAnsi="Arial" w:cs="Arial"/>
                <w:color w:val="000000"/>
                <w:sz w:val="20"/>
                <w:szCs w:val="20"/>
              </w:rPr>
              <w:t>:</w:t>
            </w:r>
          </w:p>
          <w:p w:rsidR="00247933" w:rsidRPr="00E0036F" w:rsidRDefault="003559DB" w:rsidP="00984C26">
            <w:pPr>
              <w:spacing w:line="259" w:lineRule="auto"/>
              <w:ind w:left="1076"/>
              <w:jc w:val="both"/>
              <w:rPr>
                <w:rFonts w:ascii="Arial" w:eastAsia="Arial" w:hAnsi="Arial" w:cs="Arial"/>
                <w:sz w:val="18"/>
                <w:szCs w:val="18"/>
              </w:rPr>
            </w:pPr>
            <w:r w:rsidRPr="00E0036F">
              <w:rPr>
                <w:rFonts w:ascii="Arial" w:eastAsia="Arial" w:hAnsi="Arial" w:cs="Arial"/>
                <w:sz w:val="18"/>
                <w:szCs w:val="18"/>
              </w:rPr>
              <w:t xml:space="preserve">…. một công cụ tài chính cho người nắm giữ quyền được bán lại cho bên phát hành để nhận lại tiền hoặc tài sản tài chính khác (“quyền mua lại công cụ”) là một khoản nợ phải trả tài chính, trừ những công cụ được phân loại là công cụ vốn theo đoạn 16A và 16B hoặc đoạn 16C và đoạn 16D. Công cụ tài chính là một nợ phải trả tài chính ngay cả khi số tiền hoặc tài sản tài chính khác được xác định dựa trên một chỉ số hoặc một đối tượng khác có thể tăng hay giảm giá. Sự tồn tại của một quyền chọn cho phép người nắm giữ bán lại công cụ cho bên phát hành để nhận lại tiền hoặc tài sản tài chính khác có nghĩa là quyền mua lại công cụ thỏa mãn định nghĩa về một khoản nợ phải trả tài chính, trừ các công cụ được phân loại là công cụ vốn theo các đoạn 16A và 16B hoặc các đoạn 16C và 16D. </w:t>
            </w:r>
          </w:p>
          <w:p w:rsidR="00247933" w:rsidRPr="00E0036F" w:rsidRDefault="00247933" w:rsidP="00AD3A25">
            <w:pPr>
              <w:spacing w:line="259" w:lineRule="auto"/>
              <w:ind w:left="1440"/>
              <w:jc w:val="both"/>
              <w:rPr>
                <w:rFonts w:ascii="Arial" w:eastAsia="Arial" w:hAnsi="Arial" w:cs="Arial"/>
                <w:sz w:val="20"/>
                <w:szCs w:val="20"/>
              </w:rPr>
            </w:pPr>
          </w:p>
          <w:p w:rsidR="00247933" w:rsidRPr="00E0036F" w:rsidRDefault="003559DB" w:rsidP="00984C26">
            <w:pPr>
              <w:pBdr>
                <w:top w:val="nil"/>
                <w:left w:val="nil"/>
                <w:bottom w:val="nil"/>
                <w:right w:val="nil"/>
                <w:between w:val="nil"/>
              </w:pBdr>
              <w:spacing w:line="259" w:lineRule="auto"/>
              <w:ind w:left="459" w:hanging="658"/>
              <w:jc w:val="both"/>
              <w:rPr>
                <w:rFonts w:ascii="Arial" w:eastAsia="Arial" w:hAnsi="Arial" w:cs="Arial"/>
                <w:color w:val="000000"/>
                <w:sz w:val="20"/>
                <w:szCs w:val="20"/>
              </w:rPr>
            </w:pPr>
            <w:r w:rsidRPr="00E0036F">
              <w:rPr>
                <w:rFonts w:ascii="Arial" w:eastAsia="Arial" w:hAnsi="Arial" w:cs="Arial"/>
                <w:color w:val="000000"/>
                <w:sz w:val="20"/>
                <w:szCs w:val="20"/>
              </w:rPr>
              <w:t xml:space="preserve">   A13. Sự hạn chế mua lại như đã được miêu tả trong ví dụ này khác với sự hạn chế được miêu tả trong đoạn 19 và AG25 của IAS 32. Những sự hạn chế này là giới hạn trong khả năng của đơn vị cho việc chi trả số tiền còn nợ của một khoản nợ phải trả tài chính, ví dụ họ chỉ ngăn chặn việc thanh toán khoản nợ phải trả này nếu một số điều kiện xác định được thỏa mãn. Ngược lại, ví dụ này miêu tả một sự hạn chế </w:t>
            </w:r>
            <w:r w:rsidRPr="00E0036F">
              <w:rPr>
                <w:rFonts w:ascii="Arial" w:eastAsia="Arial" w:hAnsi="Arial" w:cs="Arial"/>
                <w:sz w:val="20"/>
                <w:szCs w:val="20"/>
              </w:rPr>
              <w:t>vô điều kiện</w:t>
            </w:r>
            <w:r w:rsidRPr="00E0036F">
              <w:rPr>
                <w:rFonts w:ascii="Arial" w:eastAsia="Arial" w:hAnsi="Arial" w:cs="Arial"/>
                <w:color w:val="000000"/>
                <w:sz w:val="20"/>
                <w:szCs w:val="20"/>
              </w:rPr>
              <w:t xml:space="preserve"> đối với sự mua lại vượ</w:t>
            </w:r>
            <w:r w:rsidRPr="00E0036F">
              <w:rPr>
                <w:rFonts w:ascii="Arial" w:eastAsia="Arial" w:hAnsi="Arial" w:cs="Arial"/>
                <w:sz w:val="20"/>
                <w:szCs w:val="20"/>
              </w:rPr>
              <w:t>t</w:t>
            </w:r>
            <w:r w:rsidRPr="00E0036F">
              <w:rPr>
                <w:rFonts w:ascii="Arial" w:eastAsia="Arial" w:hAnsi="Arial" w:cs="Arial"/>
                <w:color w:val="000000"/>
                <w:sz w:val="20"/>
                <w:szCs w:val="20"/>
              </w:rPr>
              <w:t xml:space="preserve"> qu</w:t>
            </w:r>
            <w:r w:rsidRPr="00E0036F">
              <w:rPr>
                <w:rFonts w:ascii="Arial" w:eastAsia="Arial" w:hAnsi="Arial" w:cs="Arial"/>
                <w:sz w:val="20"/>
                <w:szCs w:val="20"/>
              </w:rPr>
              <w:t>á</w:t>
            </w:r>
            <w:r w:rsidRPr="00E0036F">
              <w:rPr>
                <w:rFonts w:ascii="Arial" w:eastAsia="Arial" w:hAnsi="Arial" w:cs="Arial"/>
                <w:color w:val="000000"/>
                <w:sz w:val="20"/>
                <w:szCs w:val="20"/>
              </w:rPr>
              <w:t xml:space="preserve"> số tiền được định sẵn, bất kể khả năng của đơn vị đối với việc mua lại cổ phiếu của các thành viên (ví dụ như nguồn lực tiền mặt, lãi hoặc các quỹ dự trữ phân phối). Trên thực tế, việc cấm đối với việc mua lại ngăn chặn đơn vị phải gánh chịu bất cứ khoản nợ phải trả tài chính mà phải mua lại nhiều hơn số tiền đã định sẵn của khoản vốn đã góp. Do đó, phần cổ phiếu liên quan đến việc cấm mua lại không phải là một khoản nợ phải trả tài chính. Trong khi cổ phiếu của mỗi thành viên có thể được mua lại một cách độc lập, một phần của toàn bộ số cổ phiếu đang lưu hành sẽ không thể mua lại trong bất cứ trường hợp nào ngoại trừ khi đơn vị giải thể.</w:t>
            </w: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firstLine="473"/>
              <w:jc w:val="both"/>
              <w:rPr>
                <w:rFonts w:ascii="Arial" w:eastAsia="Arial" w:hAnsi="Arial" w:cs="Arial"/>
                <w:b/>
                <w:sz w:val="20"/>
                <w:szCs w:val="20"/>
              </w:rPr>
            </w:pPr>
            <w:r w:rsidRPr="00E0036F">
              <w:rPr>
                <w:rFonts w:ascii="Arial" w:eastAsia="Arial" w:hAnsi="Arial" w:cs="Arial"/>
                <w:b/>
                <w:sz w:val="20"/>
                <w:szCs w:val="20"/>
              </w:rPr>
              <w:t>Ví dụ 5</w:t>
            </w:r>
          </w:p>
          <w:p w:rsidR="00247933" w:rsidRPr="00E0036F" w:rsidRDefault="00247933" w:rsidP="00984C26">
            <w:pPr>
              <w:pBdr>
                <w:top w:val="nil"/>
                <w:left w:val="nil"/>
                <w:bottom w:val="nil"/>
                <w:right w:val="nil"/>
                <w:between w:val="nil"/>
              </w:pBdr>
              <w:spacing w:line="259" w:lineRule="auto"/>
              <w:ind w:firstLine="473"/>
              <w:jc w:val="both"/>
              <w:rPr>
                <w:rFonts w:ascii="Arial" w:eastAsia="Arial" w:hAnsi="Arial" w:cs="Arial"/>
                <w:sz w:val="20"/>
                <w:szCs w:val="20"/>
              </w:rPr>
            </w:pPr>
          </w:p>
          <w:p w:rsidR="00247933" w:rsidRPr="00E0036F" w:rsidRDefault="003559DB" w:rsidP="00984C26">
            <w:pPr>
              <w:pBdr>
                <w:top w:val="nil"/>
                <w:left w:val="nil"/>
                <w:bottom w:val="nil"/>
                <w:right w:val="nil"/>
                <w:between w:val="nil"/>
              </w:pBdr>
              <w:spacing w:line="259" w:lineRule="auto"/>
              <w:ind w:firstLine="473"/>
              <w:jc w:val="both"/>
              <w:rPr>
                <w:rFonts w:ascii="Arial" w:eastAsia="Arial" w:hAnsi="Arial" w:cs="Arial"/>
                <w:b/>
                <w:sz w:val="20"/>
                <w:szCs w:val="20"/>
              </w:rPr>
            </w:pPr>
            <w:r w:rsidRPr="00E0036F">
              <w:rPr>
                <w:rFonts w:ascii="Arial" w:eastAsia="Arial" w:hAnsi="Arial" w:cs="Arial"/>
                <w:b/>
                <w:sz w:val="20"/>
                <w:szCs w:val="20"/>
              </w:rPr>
              <w:t>Dữ kiện</w:t>
            </w:r>
          </w:p>
          <w:p w:rsidR="00247933" w:rsidRPr="00E0036F" w:rsidRDefault="00247933" w:rsidP="00984C26">
            <w:pPr>
              <w:pBdr>
                <w:top w:val="nil"/>
                <w:left w:val="nil"/>
                <w:bottom w:val="nil"/>
                <w:right w:val="nil"/>
                <w:between w:val="nil"/>
              </w:pBdr>
              <w:spacing w:line="259" w:lineRule="auto"/>
              <w:ind w:firstLine="473"/>
              <w:jc w:val="both"/>
              <w:rPr>
                <w:rFonts w:ascii="Arial" w:eastAsia="Arial" w:hAnsi="Arial" w:cs="Arial"/>
                <w:sz w:val="20"/>
                <w:szCs w:val="20"/>
              </w:rPr>
            </w:pPr>
          </w:p>
          <w:p w:rsidR="00247933" w:rsidRPr="00E0036F" w:rsidRDefault="003559DB" w:rsidP="00984C26">
            <w:pPr>
              <w:pBdr>
                <w:top w:val="nil"/>
                <w:left w:val="nil"/>
                <w:bottom w:val="nil"/>
                <w:right w:val="nil"/>
                <w:between w:val="nil"/>
              </w:pBdr>
              <w:spacing w:line="259" w:lineRule="auto"/>
              <w:ind w:left="431" w:hanging="714"/>
              <w:jc w:val="both"/>
              <w:rPr>
                <w:rFonts w:ascii="Arial" w:eastAsia="Arial" w:hAnsi="Arial" w:cs="Arial"/>
                <w:color w:val="000000"/>
                <w:sz w:val="20"/>
                <w:szCs w:val="20"/>
              </w:rPr>
            </w:pPr>
            <w:r w:rsidRPr="00E0036F">
              <w:rPr>
                <w:rFonts w:ascii="Arial" w:eastAsia="Arial" w:hAnsi="Arial" w:cs="Arial"/>
                <w:color w:val="000000"/>
                <w:sz w:val="20"/>
                <w:szCs w:val="20"/>
              </w:rPr>
              <w:t xml:space="preserve">    A14. Dữ kiện của ví dụ này đã được đưa ra trong ví dụ 4. Ngoài ra, tại thời </w:t>
            </w:r>
            <w:r w:rsidRPr="00E0036F">
              <w:rPr>
                <w:rFonts w:ascii="Arial" w:eastAsia="Arial" w:hAnsi="Arial" w:cs="Arial"/>
                <w:color w:val="000000"/>
                <w:sz w:val="20"/>
                <w:szCs w:val="20"/>
              </w:rPr>
              <w:lastRenderedPageBreak/>
              <w:t>điểm cuối của kỳ báo cáo, các yêu cầu thanh khoản được áp đặt theo yêu cầu địa phương ngăn chặn đơn vị mua lại bất cứ khoản cổ phiếu của các thành viên trừ khi tổng số tiền mặt và đầu tư ngắn hạn đang nắm giữ lớn hơn một số tiền xác định. Ảnh hưởng của yêu cầu thanh khoản cuối kỳ báo cáo là đơn vị không thể thanh to</w:t>
            </w:r>
            <w:r w:rsidRPr="00E0036F">
              <w:rPr>
                <w:rFonts w:ascii="Arial" w:eastAsia="Arial" w:hAnsi="Arial" w:cs="Arial"/>
                <w:sz w:val="20"/>
                <w:szCs w:val="20"/>
              </w:rPr>
              <w:t>án</w:t>
            </w:r>
            <w:r w:rsidRPr="00E0036F">
              <w:rPr>
                <w:rFonts w:ascii="Arial" w:eastAsia="Arial" w:hAnsi="Arial" w:cs="Arial"/>
                <w:color w:val="000000"/>
                <w:sz w:val="20"/>
                <w:szCs w:val="20"/>
              </w:rPr>
              <w:t xml:space="preserve"> nhiều hơn 50.000 </w:t>
            </w:r>
            <w:r w:rsidRPr="00E0036F">
              <w:rPr>
                <w:rFonts w:ascii="Arial" w:eastAsia="Arial" w:hAnsi="Arial" w:cs="Arial"/>
                <w:sz w:val="20"/>
                <w:szCs w:val="20"/>
              </w:rPr>
              <w:t xml:space="preserve">CU </w:t>
            </w:r>
            <w:r w:rsidRPr="00E0036F">
              <w:rPr>
                <w:rFonts w:ascii="Arial" w:eastAsia="Arial" w:hAnsi="Arial" w:cs="Arial"/>
                <w:color w:val="000000"/>
                <w:sz w:val="20"/>
                <w:szCs w:val="20"/>
              </w:rPr>
              <w:t>để mua lại cổ phiếu của các thành viên.</w:t>
            </w:r>
          </w:p>
          <w:p w:rsidR="00E11C96" w:rsidRPr="00E0036F" w:rsidRDefault="00E11C96" w:rsidP="00984C26">
            <w:pPr>
              <w:pBdr>
                <w:top w:val="nil"/>
                <w:left w:val="nil"/>
                <w:bottom w:val="nil"/>
                <w:right w:val="nil"/>
                <w:between w:val="nil"/>
              </w:pBdr>
              <w:spacing w:line="259" w:lineRule="auto"/>
              <w:ind w:firstLine="368"/>
              <w:jc w:val="both"/>
              <w:rPr>
                <w:rFonts w:ascii="Arial" w:eastAsia="Arial" w:hAnsi="Arial" w:cs="Arial"/>
                <w:b/>
                <w:sz w:val="20"/>
                <w:szCs w:val="20"/>
              </w:rPr>
            </w:pPr>
          </w:p>
          <w:p w:rsidR="00247933" w:rsidRPr="00E0036F" w:rsidRDefault="00E11C96" w:rsidP="00984C26">
            <w:pPr>
              <w:pBdr>
                <w:top w:val="nil"/>
                <w:left w:val="nil"/>
                <w:bottom w:val="nil"/>
                <w:right w:val="nil"/>
                <w:between w:val="nil"/>
              </w:pBdr>
              <w:spacing w:line="259" w:lineRule="auto"/>
              <w:ind w:firstLine="368"/>
              <w:jc w:val="both"/>
              <w:rPr>
                <w:rFonts w:ascii="Arial" w:eastAsia="Arial" w:hAnsi="Arial" w:cs="Arial"/>
                <w:b/>
                <w:sz w:val="20"/>
                <w:szCs w:val="20"/>
              </w:rPr>
            </w:pPr>
            <w:r w:rsidRPr="00E0036F">
              <w:rPr>
                <w:rFonts w:ascii="Arial" w:eastAsia="Arial" w:hAnsi="Arial" w:cs="Arial"/>
                <w:b/>
                <w:sz w:val="20"/>
                <w:szCs w:val="20"/>
              </w:rPr>
              <w:t xml:space="preserve"> </w:t>
            </w:r>
            <w:r w:rsidR="003559DB" w:rsidRPr="00E0036F">
              <w:rPr>
                <w:rFonts w:ascii="Arial" w:eastAsia="Arial" w:hAnsi="Arial" w:cs="Arial"/>
                <w:b/>
                <w:sz w:val="20"/>
                <w:szCs w:val="20"/>
              </w:rPr>
              <w:t>Phân loại</w:t>
            </w: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left="431" w:hanging="714"/>
              <w:jc w:val="both"/>
              <w:rPr>
                <w:rFonts w:ascii="Arial" w:eastAsia="Arial" w:hAnsi="Arial" w:cs="Arial"/>
                <w:color w:val="000000"/>
                <w:sz w:val="20"/>
                <w:szCs w:val="20"/>
              </w:rPr>
            </w:pPr>
            <w:r w:rsidRPr="00E0036F">
              <w:rPr>
                <w:rFonts w:ascii="Arial" w:eastAsia="Arial" w:hAnsi="Arial" w:cs="Arial"/>
                <w:color w:val="000000"/>
                <w:sz w:val="20"/>
                <w:szCs w:val="20"/>
              </w:rPr>
              <w:t xml:space="preserve">    A15. Tương tự như ví dụ 4, đơn vị phân loại 750.000 </w:t>
            </w:r>
            <w:r w:rsidRPr="00E0036F">
              <w:rPr>
                <w:rFonts w:ascii="Arial" w:eastAsia="Arial" w:hAnsi="Arial" w:cs="Arial"/>
                <w:sz w:val="20"/>
                <w:szCs w:val="20"/>
              </w:rPr>
              <w:t xml:space="preserve">CU </w:t>
            </w:r>
            <w:r w:rsidRPr="00E0036F">
              <w:rPr>
                <w:rFonts w:ascii="Arial" w:eastAsia="Arial" w:hAnsi="Arial" w:cs="Arial"/>
                <w:color w:val="000000"/>
                <w:sz w:val="20"/>
                <w:szCs w:val="20"/>
              </w:rPr>
              <w:t xml:space="preserve">là vốn chủ sở hữu và 150.000 </w:t>
            </w:r>
            <w:r w:rsidRPr="00E0036F">
              <w:rPr>
                <w:rFonts w:ascii="Arial" w:eastAsia="Arial" w:hAnsi="Arial" w:cs="Arial"/>
                <w:sz w:val="20"/>
                <w:szCs w:val="20"/>
              </w:rPr>
              <w:t xml:space="preserve">CU </w:t>
            </w:r>
            <w:r w:rsidRPr="00E0036F">
              <w:rPr>
                <w:rFonts w:ascii="Arial" w:eastAsia="Arial" w:hAnsi="Arial" w:cs="Arial"/>
                <w:color w:val="000000"/>
                <w:sz w:val="20"/>
                <w:szCs w:val="20"/>
              </w:rPr>
              <w:t xml:space="preserve">là một khoản nợ phải trả tài chính. Bởi do số tiền phân loại là một khoản nợ phải trả dựa trên quyền từ chối mua lại </w:t>
            </w:r>
            <w:r w:rsidRPr="00E0036F">
              <w:rPr>
                <w:rFonts w:ascii="Arial" w:eastAsia="Arial" w:hAnsi="Arial" w:cs="Arial"/>
                <w:sz w:val="20"/>
                <w:szCs w:val="20"/>
              </w:rPr>
              <w:t>vô điều kiện</w:t>
            </w:r>
            <w:r w:rsidRPr="00E0036F">
              <w:rPr>
                <w:rFonts w:ascii="Arial" w:eastAsia="Arial" w:hAnsi="Arial" w:cs="Arial"/>
                <w:color w:val="000000"/>
                <w:sz w:val="20"/>
                <w:szCs w:val="20"/>
              </w:rPr>
              <w:t xml:space="preserve"> của đơn vị chứ không dựa vào sự hạn chế có điều kiện ngăn chặn việc mua lại nếu khả năng thanh khoản hoặc các điều kiện khác không được thỏa mãn cho đến khi nó được thỏa mãn. Các quy định của điều 19 và AG25 của IAS 32 được áp dụng trong trường hợp này. </w:t>
            </w: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firstLine="389"/>
              <w:jc w:val="both"/>
              <w:rPr>
                <w:rFonts w:ascii="Arial" w:eastAsia="Arial" w:hAnsi="Arial" w:cs="Arial"/>
                <w:b/>
                <w:sz w:val="20"/>
                <w:szCs w:val="20"/>
              </w:rPr>
            </w:pPr>
            <w:r w:rsidRPr="00E0036F">
              <w:rPr>
                <w:rFonts w:ascii="Arial" w:eastAsia="Arial" w:hAnsi="Arial" w:cs="Arial"/>
                <w:b/>
                <w:sz w:val="20"/>
                <w:szCs w:val="20"/>
              </w:rPr>
              <w:t>Ví dụ 6</w:t>
            </w:r>
          </w:p>
          <w:p w:rsidR="00247933" w:rsidRPr="00E0036F" w:rsidRDefault="00247933" w:rsidP="00984C26">
            <w:pPr>
              <w:pBdr>
                <w:top w:val="nil"/>
                <w:left w:val="nil"/>
                <w:bottom w:val="nil"/>
                <w:right w:val="nil"/>
                <w:between w:val="nil"/>
              </w:pBdr>
              <w:spacing w:line="259" w:lineRule="auto"/>
              <w:ind w:firstLine="389"/>
              <w:jc w:val="both"/>
              <w:rPr>
                <w:rFonts w:ascii="Arial" w:eastAsia="Arial" w:hAnsi="Arial" w:cs="Arial"/>
                <w:sz w:val="20"/>
                <w:szCs w:val="20"/>
              </w:rPr>
            </w:pPr>
          </w:p>
          <w:p w:rsidR="00247933" w:rsidRPr="00E0036F" w:rsidRDefault="003559DB" w:rsidP="00984C26">
            <w:pPr>
              <w:pBdr>
                <w:top w:val="nil"/>
                <w:left w:val="nil"/>
                <w:bottom w:val="nil"/>
                <w:right w:val="nil"/>
                <w:between w:val="nil"/>
              </w:pBdr>
              <w:spacing w:line="259" w:lineRule="auto"/>
              <w:ind w:firstLine="389"/>
              <w:jc w:val="both"/>
              <w:rPr>
                <w:rFonts w:ascii="Arial" w:eastAsia="Arial" w:hAnsi="Arial" w:cs="Arial"/>
                <w:b/>
                <w:sz w:val="20"/>
                <w:szCs w:val="20"/>
              </w:rPr>
            </w:pPr>
            <w:r w:rsidRPr="00E0036F">
              <w:rPr>
                <w:rFonts w:ascii="Arial" w:eastAsia="Arial" w:hAnsi="Arial" w:cs="Arial"/>
                <w:b/>
                <w:sz w:val="20"/>
                <w:szCs w:val="20"/>
              </w:rPr>
              <w:t>Dữ kiện</w:t>
            </w:r>
          </w:p>
          <w:p w:rsidR="00BC4D40" w:rsidRPr="00E0036F" w:rsidRDefault="00BC4D40" w:rsidP="00AD3A25">
            <w:pPr>
              <w:pBdr>
                <w:top w:val="nil"/>
                <w:left w:val="nil"/>
                <w:bottom w:val="nil"/>
                <w:right w:val="nil"/>
                <w:between w:val="nil"/>
              </w:pBdr>
              <w:spacing w:line="259" w:lineRule="auto"/>
              <w:ind w:firstLine="731"/>
              <w:jc w:val="both"/>
              <w:rPr>
                <w:rFonts w:ascii="Arial" w:eastAsia="Arial" w:hAnsi="Arial" w:cs="Arial"/>
                <w:b/>
                <w:sz w:val="20"/>
                <w:szCs w:val="20"/>
              </w:rPr>
            </w:pPr>
          </w:p>
          <w:p w:rsidR="00B2628A" w:rsidRPr="00E0036F" w:rsidRDefault="00BC4D40" w:rsidP="00984C26">
            <w:pPr>
              <w:pBdr>
                <w:top w:val="nil"/>
                <w:left w:val="nil"/>
                <w:bottom w:val="nil"/>
                <w:right w:val="nil"/>
                <w:between w:val="nil"/>
              </w:pBdr>
              <w:spacing w:line="259" w:lineRule="auto"/>
              <w:ind w:left="431" w:hanging="546"/>
              <w:jc w:val="both"/>
              <w:rPr>
                <w:rFonts w:ascii="Arial" w:eastAsia="Arial" w:hAnsi="Arial" w:cs="Arial"/>
                <w:color w:val="000000"/>
                <w:sz w:val="20"/>
                <w:szCs w:val="20"/>
              </w:rPr>
            </w:pPr>
            <w:r w:rsidRPr="00E0036F">
              <w:rPr>
                <w:rFonts w:ascii="Arial" w:eastAsia="Arial" w:hAnsi="Arial" w:cs="Arial"/>
                <w:color w:val="000000"/>
                <w:sz w:val="20"/>
                <w:szCs w:val="20"/>
              </w:rPr>
              <w:t xml:space="preserve"> A16. </w:t>
            </w:r>
            <w:r w:rsidR="00B2628A" w:rsidRPr="00E0036F">
              <w:rPr>
                <w:rFonts w:ascii="Arial" w:eastAsia="Arial" w:hAnsi="Arial" w:cs="Arial"/>
                <w:color w:val="000000"/>
                <w:sz w:val="20"/>
                <w:szCs w:val="20"/>
              </w:rPr>
              <w:t>Điều lệ của đơn vị cấm việc mua lại cổ phiếu của các thành viên, ngoại trừ trong phạm vi gi</w:t>
            </w:r>
            <w:r w:rsidR="00B2628A" w:rsidRPr="00E0036F">
              <w:rPr>
                <w:rFonts w:ascii="Arial" w:eastAsia="Arial" w:hAnsi="Arial" w:cs="Arial"/>
                <w:sz w:val="20"/>
                <w:szCs w:val="20"/>
              </w:rPr>
              <w:t xml:space="preserve">ới hạn </w:t>
            </w:r>
            <w:r w:rsidR="00B2628A" w:rsidRPr="00E0036F">
              <w:rPr>
                <w:rFonts w:ascii="Arial" w:eastAsia="Arial" w:hAnsi="Arial" w:cs="Arial"/>
                <w:color w:val="000000"/>
                <w:sz w:val="20"/>
                <w:szCs w:val="20"/>
              </w:rPr>
              <w:t>của c</w:t>
            </w:r>
            <w:r w:rsidR="00B2628A" w:rsidRPr="00E0036F">
              <w:rPr>
                <w:rFonts w:ascii="Arial" w:eastAsia="Arial" w:hAnsi="Arial" w:cs="Arial"/>
                <w:sz w:val="20"/>
                <w:szCs w:val="20"/>
              </w:rPr>
              <w:t xml:space="preserve">ác </w:t>
            </w:r>
            <w:r w:rsidR="00B2628A" w:rsidRPr="00E0036F">
              <w:rPr>
                <w:rFonts w:ascii="Arial" w:eastAsia="Arial" w:hAnsi="Arial" w:cs="Arial"/>
                <w:color w:val="000000"/>
                <w:sz w:val="20"/>
                <w:szCs w:val="20"/>
              </w:rPr>
              <w:t xml:space="preserve">khoản tiền thu được từ việc phát hành thêm cổ phiếu cho các thành viên mới hoặc thành viên hiện hành trong thời gian ba năm trước. Số tiền từ việc phát hành cổ phần phải được áp dụng đối với việc mua lại cổ phần mà thành viên đã yêu cầu mua lại. Trong ba năm trước đó, số tiền từ việc phát hành cổ phần là 12.000 </w:t>
            </w:r>
            <w:r w:rsidR="00B2628A" w:rsidRPr="00E0036F">
              <w:rPr>
                <w:rFonts w:ascii="Arial" w:eastAsia="Arial" w:hAnsi="Arial" w:cs="Arial"/>
                <w:sz w:val="20"/>
                <w:szCs w:val="20"/>
              </w:rPr>
              <w:t xml:space="preserve">CU </w:t>
            </w:r>
            <w:r w:rsidR="00B2628A" w:rsidRPr="00E0036F">
              <w:rPr>
                <w:rFonts w:ascii="Arial" w:eastAsia="Arial" w:hAnsi="Arial" w:cs="Arial"/>
                <w:color w:val="000000"/>
                <w:sz w:val="20"/>
                <w:szCs w:val="20"/>
              </w:rPr>
              <w:t>và không có cổ phần nào được mua lại.</w:t>
            </w:r>
          </w:p>
          <w:p w:rsidR="00247933" w:rsidRPr="00E0036F" w:rsidRDefault="00247933" w:rsidP="00AD3A25">
            <w:pPr>
              <w:pBdr>
                <w:top w:val="nil"/>
                <w:left w:val="nil"/>
                <w:bottom w:val="nil"/>
                <w:right w:val="nil"/>
                <w:between w:val="nil"/>
              </w:pBdr>
              <w:spacing w:line="259" w:lineRule="auto"/>
              <w:jc w:val="both"/>
              <w:rPr>
                <w:rFonts w:ascii="Arial" w:eastAsia="Arial" w:hAnsi="Arial" w:cs="Arial"/>
                <w:color w:val="000000"/>
                <w:sz w:val="20"/>
                <w:szCs w:val="20"/>
              </w:rPr>
            </w:pPr>
          </w:p>
          <w:p w:rsidR="00BC4D40" w:rsidRPr="00E0036F" w:rsidRDefault="00BC4D40" w:rsidP="00AD3A25">
            <w:pPr>
              <w:pBdr>
                <w:top w:val="nil"/>
                <w:left w:val="nil"/>
                <w:bottom w:val="nil"/>
                <w:right w:val="nil"/>
                <w:between w:val="nil"/>
              </w:pBdr>
              <w:spacing w:line="259" w:lineRule="auto"/>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firstLine="368"/>
              <w:jc w:val="both"/>
              <w:rPr>
                <w:rFonts w:ascii="Arial" w:eastAsia="Arial" w:hAnsi="Arial" w:cs="Arial"/>
                <w:b/>
                <w:sz w:val="20"/>
                <w:szCs w:val="20"/>
              </w:rPr>
            </w:pPr>
            <w:r w:rsidRPr="00E0036F">
              <w:rPr>
                <w:rFonts w:ascii="Arial" w:eastAsia="Arial" w:hAnsi="Arial" w:cs="Arial"/>
                <w:b/>
                <w:sz w:val="20"/>
                <w:szCs w:val="20"/>
              </w:rPr>
              <w:t>Phân loại</w:t>
            </w:r>
          </w:p>
          <w:p w:rsidR="00247933" w:rsidRPr="00E0036F" w:rsidRDefault="00247933" w:rsidP="00AD3A25">
            <w:pPr>
              <w:pBdr>
                <w:top w:val="nil"/>
                <w:left w:val="nil"/>
                <w:bottom w:val="nil"/>
                <w:right w:val="nil"/>
                <w:between w:val="nil"/>
              </w:pBdr>
              <w:spacing w:line="259" w:lineRule="auto"/>
              <w:ind w:left="731" w:hanging="709"/>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left="389" w:hanging="672"/>
              <w:jc w:val="both"/>
              <w:rPr>
                <w:rFonts w:ascii="Arial" w:eastAsia="Arial" w:hAnsi="Arial" w:cs="Arial"/>
                <w:color w:val="000000"/>
                <w:sz w:val="20"/>
                <w:szCs w:val="20"/>
              </w:rPr>
            </w:pPr>
            <w:r w:rsidRPr="00E0036F">
              <w:rPr>
                <w:rFonts w:ascii="Arial" w:eastAsia="Arial" w:hAnsi="Arial" w:cs="Arial"/>
                <w:color w:val="000000"/>
                <w:sz w:val="20"/>
                <w:szCs w:val="20"/>
              </w:rPr>
              <w:t xml:space="preserve">    A17. Đơn vị phân loại 12.000 </w:t>
            </w:r>
            <w:r w:rsidRPr="00E0036F">
              <w:rPr>
                <w:rFonts w:ascii="Arial" w:eastAsia="Arial" w:hAnsi="Arial" w:cs="Arial"/>
                <w:sz w:val="20"/>
                <w:szCs w:val="20"/>
              </w:rPr>
              <w:t xml:space="preserve">CU </w:t>
            </w:r>
            <w:r w:rsidRPr="00E0036F">
              <w:rPr>
                <w:rFonts w:ascii="Arial" w:eastAsia="Arial" w:hAnsi="Arial" w:cs="Arial"/>
                <w:color w:val="000000"/>
                <w:sz w:val="20"/>
                <w:szCs w:val="20"/>
              </w:rPr>
              <w:t xml:space="preserve">của cổ phiếu của các thành viên là nợ phải trả tài chính. Tương tự đối với kết luận đã được miêu tả trong ví dụ 4, cổ phiếu của các thành viên bị cấm </w:t>
            </w:r>
            <w:r w:rsidRPr="00E0036F">
              <w:rPr>
                <w:rFonts w:ascii="Arial" w:eastAsia="Arial" w:hAnsi="Arial" w:cs="Arial"/>
                <w:sz w:val="20"/>
                <w:szCs w:val="20"/>
              </w:rPr>
              <w:t>vô điều kiện</w:t>
            </w:r>
            <w:r w:rsidRPr="00E0036F">
              <w:rPr>
                <w:rFonts w:ascii="Arial" w:eastAsia="Arial" w:hAnsi="Arial" w:cs="Arial"/>
                <w:color w:val="000000"/>
                <w:sz w:val="20"/>
                <w:szCs w:val="20"/>
              </w:rPr>
              <w:t xml:space="preserve"> đối với việc mua lại không phải nợ phải trả tài chính. Sự cấm </w:t>
            </w:r>
            <w:r w:rsidRPr="00E0036F">
              <w:rPr>
                <w:rFonts w:ascii="Arial" w:eastAsia="Arial" w:hAnsi="Arial" w:cs="Arial"/>
                <w:sz w:val="20"/>
                <w:szCs w:val="20"/>
              </w:rPr>
              <w:t>vô điều kiện</w:t>
            </w:r>
            <w:r w:rsidRPr="00E0036F">
              <w:rPr>
                <w:rFonts w:ascii="Arial" w:eastAsia="Arial" w:hAnsi="Arial" w:cs="Arial"/>
                <w:color w:val="000000"/>
                <w:sz w:val="20"/>
                <w:szCs w:val="20"/>
              </w:rPr>
              <w:t xml:space="preserve"> này áp </w:t>
            </w:r>
            <w:r w:rsidRPr="00E0036F">
              <w:rPr>
                <w:rFonts w:ascii="Arial" w:eastAsia="Arial" w:hAnsi="Arial" w:cs="Arial"/>
                <w:color w:val="000000"/>
                <w:sz w:val="20"/>
                <w:szCs w:val="20"/>
              </w:rPr>
              <w:lastRenderedPageBreak/>
              <w:t xml:space="preserve">dụng cho số tiền bằng với số tiền thu được từ việc phát hành cổ phiếu trước ba năm trước đó, và theo đó, số tiền này được phân loại là vốn chủ sở hữu. Tuy nhiên, số tiền bằng với số tiền thu được từ việc phát hành cổ phiếu trong ba năm trước không bị cấm vô điều kiện trong việc mua lại. Theo đó, số tiền từ việc phát hành cổ phiếu ba năm trước làm phát sinh nợ phải trả tài chính cho đến khi nó không còn được mua lại. Do đó đơn vị có một khoản nợ phải trả tài chính bằng với số tiền của cổ phiếu đã phát hành trong ba năm trước trừ đi bất cứ khoản mua lại nào trong thời gian </w:t>
            </w:r>
            <w:proofErr w:type="gramStart"/>
            <w:r w:rsidRPr="00E0036F">
              <w:rPr>
                <w:rFonts w:ascii="Arial" w:eastAsia="Arial" w:hAnsi="Arial" w:cs="Arial"/>
                <w:color w:val="000000"/>
                <w:sz w:val="20"/>
                <w:szCs w:val="20"/>
              </w:rPr>
              <w:t>đó.</w:t>
            </w:r>
            <w:proofErr w:type="gramEnd"/>
          </w:p>
          <w:p w:rsidR="00247933" w:rsidRPr="00E0036F" w:rsidRDefault="00247933" w:rsidP="00AD3A25">
            <w:pPr>
              <w:pBdr>
                <w:top w:val="nil"/>
                <w:left w:val="nil"/>
                <w:bottom w:val="nil"/>
                <w:right w:val="nil"/>
                <w:between w:val="nil"/>
              </w:pBdr>
              <w:spacing w:line="259" w:lineRule="auto"/>
              <w:jc w:val="both"/>
              <w:rPr>
                <w:rFonts w:ascii="Arial" w:eastAsia="Arial" w:hAnsi="Arial" w:cs="Arial"/>
                <w:sz w:val="20"/>
                <w:szCs w:val="20"/>
              </w:rPr>
            </w:pPr>
          </w:p>
          <w:p w:rsidR="00E11C96" w:rsidRPr="00E0036F" w:rsidRDefault="00E11C96" w:rsidP="00AD3A25">
            <w:pPr>
              <w:pBdr>
                <w:top w:val="nil"/>
                <w:left w:val="nil"/>
                <w:bottom w:val="nil"/>
                <w:right w:val="nil"/>
                <w:between w:val="nil"/>
              </w:pBdr>
              <w:spacing w:line="259" w:lineRule="auto"/>
              <w:jc w:val="both"/>
              <w:rPr>
                <w:rFonts w:ascii="Arial" w:eastAsia="Arial" w:hAnsi="Arial" w:cs="Arial"/>
                <w:sz w:val="20"/>
                <w:szCs w:val="20"/>
              </w:rPr>
            </w:pPr>
          </w:p>
          <w:p w:rsidR="00247933" w:rsidRPr="00E0036F" w:rsidRDefault="003559DB" w:rsidP="00984C26">
            <w:pPr>
              <w:pBdr>
                <w:top w:val="nil"/>
                <w:left w:val="nil"/>
                <w:bottom w:val="nil"/>
                <w:right w:val="nil"/>
                <w:between w:val="nil"/>
              </w:pBdr>
              <w:spacing w:line="259" w:lineRule="auto"/>
              <w:ind w:firstLine="368"/>
              <w:jc w:val="both"/>
              <w:rPr>
                <w:rFonts w:ascii="Arial" w:eastAsia="Arial" w:hAnsi="Arial" w:cs="Arial"/>
                <w:b/>
                <w:sz w:val="20"/>
                <w:szCs w:val="20"/>
              </w:rPr>
            </w:pPr>
            <w:r w:rsidRPr="00E0036F">
              <w:rPr>
                <w:rFonts w:ascii="Arial" w:eastAsia="Arial" w:hAnsi="Arial" w:cs="Arial"/>
                <w:b/>
                <w:sz w:val="20"/>
                <w:szCs w:val="20"/>
              </w:rPr>
              <w:t>Ví dụ 7</w:t>
            </w:r>
          </w:p>
          <w:p w:rsidR="00247933" w:rsidRPr="00E0036F" w:rsidRDefault="00247933" w:rsidP="00984C26">
            <w:pPr>
              <w:pBdr>
                <w:top w:val="nil"/>
                <w:left w:val="nil"/>
                <w:bottom w:val="nil"/>
                <w:right w:val="nil"/>
                <w:between w:val="nil"/>
              </w:pBdr>
              <w:spacing w:line="259" w:lineRule="auto"/>
              <w:ind w:firstLine="368"/>
              <w:jc w:val="both"/>
              <w:rPr>
                <w:rFonts w:ascii="Arial" w:eastAsia="Arial" w:hAnsi="Arial" w:cs="Arial"/>
                <w:b/>
                <w:sz w:val="20"/>
                <w:szCs w:val="20"/>
              </w:rPr>
            </w:pPr>
          </w:p>
          <w:p w:rsidR="00247933" w:rsidRPr="00E0036F" w:rsidRDefault="003559DB" w:rsidP="00984C26">
            <w:pPr>
              <w:pBdr>
                <w:top w:val="nil"/>
                <w:left w:val="nil"/>
                <w:bottom w:val="nil"/>
                <w:right w:val="nil"/>
                <w:between w:val="nil"/>
              </w:pBdr>
              <w:spacing w:line="259" w:lineRule="auto"/>
              <w:ind w:firstLine="368"/>
              <w:jc w:val="both"/>
              <w:rPr>
                <w:rFonts w:ascii="Arial" w:eastAsia="Arial" w:hAnsi="Arial" w:cs="Arial"/>
                <w:b/>
                <w:sz w:val="20"/>
                <w:szCs w:val="20"/>
              </w:rPr>
            </w:pPr>
            <w:r w:rsidRPr="00E0036F">
              <w:rPr>
                <w:rFonts w:ascii="Arial" w:eastAsia="Arial" w:hAnsi="Arial" w:cs="Arial"/>
                <w:b/>
                <w:sz w:val="20"/>
                <w:szCs w:val="20"/>
              </w:rPr>
              <w:t>Dữ kiện</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sz w:val="20"/>
                <w:szCs w:val="20"/>
              </w:rPr>
            </w:pPr>
          </w:p>
          <w:p w:rsidR="00247933" w:rsidRPr="00E0036F" w:rsidRDefault="003559DB" w:rsidP="00984C26">
            <w:pPr>
              <w:pBdr>
                <w:top w:val="nil"/>
                <w:left w:val="nil"/>
                <w:bottom w:val="nil"/>
                <w:right w:val="nil"/>
                <w:between w:val="nil"/>
              </w:pBdr>
              <w:spacing w:line="259" w:lineRule="auto"/>
              <w:ind w:left="431" w:hanging="714"/>
              <w:jc w:val="both"/>
              <w:rPr>
                <w:rFonts w:ascii="Arial" w:eastAsia="Arial" w:hAnsi="Arial" w:cs="Arial"/>
                <w:color w:val="000000"/>
                <w:sz w:val="20"/>
                <w:szCs w:val="20"/>
              </w:rPr>
            </w:pPr>
            <w:r w:rsidRPr="00E0036F">
              <w:rPr>
                <w:rFonts w:ascii="Arial" w:eastAsia="Arial" w:hAnsi="Arial" w:cs="Arial"/>
                <w:color w:val="000000"/>
                <w:sz w:val="20"/>
                <w:szCs w:val="20"/>
              </w:rPr>
              <w:t xml:space="preserve">    A18. Đơn vị là một ngân hàng hợp tác. Luật điều chỉnh hoạt động của ngân hàng hợp tác quy </w:t>
            </w:r>
            <w:r w:rsidRPr="00E0036F">
              <w:rPr>
                <w:rFonts w:ascii="Arial" w:eastAsia="Arial" w:hAnsi="Arial" w:cs="Arial"/>
                <w:sz w:val="20"/>
                <w:szCs w:val="20"/>
              </w:rPr>
              <w:t xml:space="preserve">định </w:t>
            </w:r>
            <w:r w:rsidRPr="00E0036F">
              <w:rPr>
                <w:rFonts w:ascii="Arial" w:eastAsia="Arial" w:hAnsi="Arial" w:cs="Arial"/>
                <w:color w:val="000000"/>
                <w:sz w:val="20"/>
                <w:szCs w:val="20"/>
              </w:rPr>
              <w:t>rằng tối thiểu 50% của tổng nợ phải trả của đơn vị (một thu</w:t>
            </w:r>
            <w:r w:rsidRPr="00E0036F">
              <w:rPr>
                <w:rFonts w:ascii="Arial" w:eastAsia="Arial" w:hAnsi="Arial" w:cs="Arial"/>
                <w:sz w:val="20"/>
                <w:szCs w:val="20"/>
              </w:rPr>
              <w:t>ật ngữ dùng trong luật bao gồm cả</w:t>
            </w:r>
            <w:r w:rsidRPr="00E0036F">
              <w:rPr>
                <w:rFonts w:ascii="Arial" w:eastAsia="Arial" w:hAnsi="Arial" w:cs="Arial"/>
                <w:color w:val="000000"/>
                <w:sz w:val="20"/>
                <w:szCs w:val="20"/>
              </w:rPr>
              <w:t xml:space="preserve"> cổ phần của các thành viên) phải </w:t>
            </w:r>
            <w:r w:rsidRPr="00E0036F">
              <w:rPr>
                <w:rFonts w:ascii="Arial" w:eastAsia="Arial" w:hAnsi="Arial" w:cs="Arial"/>
                <w:sz w:val="20"/>
                <w:szCs w:val="20"/>
              </w:rPr>
              <w:t xml:space="preserve">ở hình thức </w:t>
            </w:r>
            <w:r w:rsidRPr="00E0036F">
              <w:rPr>
                <w:rFonts w:ascii="Arial" w:eastAsia="Arial" w:hAnsi="Arial" w:cs="Arial"/>
                <w:color w:val="000000"/>
                <w:sz w:val="20"/>
                <w:szCs w:val="20"/>
              </w:rPr>
              <w:t>vốn đã góp của các thành viên. Ảnh hưởng của quy định này là nếu toàn bộ số dư nợ phải trả đều c</w:t>
            </w:r>
            <w:r w:rsidRPr="00E0036F">
              <w:rPr>
                <w:rFonts w:ascii="Arial" w:eastAsia="Arial" w:hAnsi="Arial" w:cs="Arial"/>
                <w:sz w:val="20"/>
                <w:szCs w:val="20"/>
              </w:rPr>
              <w:t xml:space="preserve">ó </w:t>
            </w:r>
            <w:r w:rsidRPr="00E0036F">
              <w:rPr>
                <w:rFonts w:ascii="Arial" w:eastAsia="Arial" w:hAnsi="Arial" w:cs="Arial"/>
                <w:color w:val="000000"/>
                <w:sz w:val="20"/>
                <w:szCs w:val="20"/>
              </w:rPr>
              <w:t>hình thức l</w:t>
            </w:r>
            <w:r w:rsidRPr="00E0036F">
              <w:rPr>
                <w:rFonts w:ascii="Arial" w:eastAsia="Arial" w:hAnsi="Arial" w:cs="Arial"/>
                <w:sz w:val="20"/>
                <w:szCs w:val="20"/>
              </w:rPr>
              <w:t xml:space="preserve">à </w:t>
            </w:r>
            <w:r w:rsidRPr="00E0036F">
              <w:rPr>
                <w:rFonts w:ascii="Arial" w:eastAsia="Arial" w:hAnsi="Arial" w:cs="Arial"/>
                <w:color w:val="000000"/>
                <w:sz w:val="20"/>
                <w:szCs w:val="20"/>
              </w:rPr>
              <w:t>cổ phiếu của các thành viên, th</w:t>
            </w:r>
            <w:r w:rsidRPr="00E0036F">
              <w:rPr>
                <w:rFonts w:ascii="Arial" w:eastAsia="Arial" w:hAnsi="Arial" w:cs="Arial"/>
                <w:sz w:val="20"/>
                <w:szCs w:val="20"/>
              </w:rPr>
              <w:t xml:space="preserve">ì đơn vị </w:t>
            </w:r>
            <w:r w:rsidRPr="00E0036F">
              <w:rPr>
                <w:rFonts w:ascii="Arial" w:eastAsia="Arial" w:hAnsi="Arial" w:cs="Arial"/>
                <w:color w:val="000000"/>
                <w:sz w:val="20"/>
                <w:szCs w:val="20"/>
              </w:rPr>
              <w:t xml:space="preserve">có thể mua lại toàn bộ. Tại ngày 31 tháng 12 năm 20X1 đơn vị có tổng số dư nợ phải trả là 200.000 </w:t>
            </w:r>
            <w:r w:rsidRPr="00E0036F">
              <w:rPr>
                <w:rFonts w:ascii="Arial" w:eastAsia="Arial" w:hAnsi="Arial" w:cs="Arial"/>
                <w:sz w:val="20"/>
                <w:szCs w:val="20"/>
              </w:rPr>
              <w:t>CU</w:t>
            </w:r>
            <w:r w:rsidRPr="00E0036F">
              <w:rPr>
                <w:rFonts w:ascii="Arial" w:eastAsia="Arial" w:hAnsi="Arial" w:cs="Arial"/>
                <w:color w:val="000000"/>
                <w:sz w:val="20"/>
                <w:szCs w:val="20"/>
              </w:rPr>
              <w:t xml:space="preserve">, trong đó 125.000 </w:t>
            </w:r>
            <w:r w:rsidRPr="00E0036F">
              <w:rPr>
                <w:rFonts w:ascii="Arial" w:eastAsia="Arial" w:hAnsi="Arial" w:cs="Arial"/>
                <w:sz w:val="20"/>
                <w:szCs w:val="20"/>
              </w:rPr>
              <w:t xml:space="preserve">CU là </w:t>
            </w:r>
            <w:r w:rsidRPr="00E0036F">
              <w:rPr>
                <w:rFonts w:ascii="Arial" w:eastAsia="Arial" w:hAnsi="Arial" w:cs="Arial"/>
                <w:color w:val="000000"/>
                <w:sz w:val="20"/>
                <w:szCs w:val="20"/>
              </w:rPr>
              <w:t>số dư t</w:t>
            </w:r>
            <w:r w:rsidRPr="00E0036F">
              <w:rPr>
                <w:rFonts w:ascii="Arial" w:eastAsia="Arial" w:hAnsi="Arial" w:cs="Arial"/>
                <w:sz w:val="20"/>
                <w:szCs w:val="20"/>
              </w:rPr>
              <w:t xml:space="preserve">ài khoản </w:t>
            </w:r>
            <w:r w:rsidRPr="00E0036F">
              <w:rPr>
                <w:rFonts w:ascii="Arial" w:eastAsia="Arial" w:hAnsi="Arial" w:cs="Arial"/>
                <w:color w:val="000000"/>
                <w:sz w:val="20"/>
                <w:szCs w:val="20"/>
              </w:rPr>
              <w:t>cổ phiếu của các thành viên. Điều khoản c</w:t>
            </w:r>
            <w:r w:rsidRPr="00E0036F">
              <w:rPr>
                <w:rFonts w:ascii="Arial" w:eastAsia="Arial" w:hAnsi="Arial" w:cs="Arial"/>
                <w:sz w:val="20"/>
                <w:szCs w:val="20"/>
              </w:rPr>
              <w:t>ủa các tài khoản cổ</w:t>
            </w:r>
            <w:r w:rsidRPr="00E0036F">
              <w:rPr>
                <w:rFonts w:ascii="Arial" w:eastAsia="Arial" w:hAnsi="Arial" w:cs="Arial"/>
                <w:color w:val="000000"/>
                <w:sz w:val="20"/>
                <w:szCs w:val="20"/>
              </w:rPr>
              <w:t xml:space="preserve"> phiếu của các thành viên cho phép người nắm giữ tr</w:t>
            </w:r>
            <w:r w:rsidRPr="00E0036F">
              <w:rPr>
                <w:rFonts w:ascii="Arial" w:eastAsia="Arial" w:hAnsi="Arial" w:cs="Arial"/>
                <w:sz w:val="20"/>
                <w:szCs w:val="20"/>
              </w:rPr>
              <w:t xml:space="preserve">ả lại khi có nhu </w:t>
            </w:r>
            <w:r w:rsidRPr="00E0036F">
              <w:rPr>
                <w:rFonts w:ascii="Arial" w:eastAsia="Arial" w:hAnsi="Arial" w:cs="Arial"/>
                <w:color w:val="000000"/>
                <w:sz w:val="20"/>
                <w:szCs w:val="20"/>
              </w:rPr>
              <w:t>cầu và không có giới hạn mua lại n</w:t>
            </w:r>
            <w:r w:rsidRPr="00E0036F">
              <w:rPr>
                <w:rFonts w:ascii="Arial" w:eastAsia="Arial" w:hAnsi="Arial" w:cs="Arial"/>
                <w:sz w:val="20"/>
                <w:szCs w:val="20"/>
              </w:rPr>
              <w:t xml:space="preserve">ào </w:t>
            </w:r>
            <w:r w:rsidRPr="00E0036F">
              <w:rPr>
                <w:rFonts w:ascii="Arial" w:eastAsia="Arial" w:hAnsi="Arial" w:cs="Arial"/>
                <w:color w:val="000000"/>
                <w:sz w:val="20"/>
                <w:szCs w:val="20"/>
              </w:rPr>
              <w:t>theo điều lệ của đơn vị.</w:t>
            </w:r>
          </w:p>
          <w:p w:rsidR="00BC4D40" w:rsidRPr="00E0036F" w:rsidRDefault="00BC4D40" w:rsidP="00AD3A25">
            <w:pPr>
              <w:pBdr>
                <w:top w:val="nil"/>
                <w:left w:val="nil"/>
                <w:bottom w:val="nil"/>
                <w:right w:val="nil"/>
                <w:between w:val="nil"/>
              </w:pBdr>
              <w:spacing w:line="259" w:lineRule="auto"/>
              <w:jc w:val="both"/>
              <w:rPr>
                <w:rFonts w:ascii="Arial" w:eastAsia="Arial" w:hAnsi="Arial" w:cs="Arial"/>
                <w:color w:val="000000"/>
                <w:sz w:val="20"/>
                <w:szCs w:val="20"/>
              </w:rPr>
            </w:pPr>
          </w:p>
          <w:p w:rsidR="00247933" w:rsidRPr="00E0036F" w:rsidRDefault="003559DB" w:rsidP="00984C26">
            <w:pPr>
              <w:pBdr>
                <w:top w:val="nil"/>
                <w:left w:val="nil"/>
                <w:bottom w:val="nil"/>
                <w:right w:val="nil"/>
                <w:between w:val="nil"/>
              </w:pBdr>
              <w:spacing w:line="259" w:lineRule="auto"/>
              <w:ind w:firstLine="368"/>
              <w:jc w:val="both"/>
              <w:rPr>
                <w:rFonts w:ascii="Arial" w:eastAsia="Arial" w:hAnsi="Arial" w:cs="Arial"/>
                <w:b/>
                <w:sz w:val="20"/>
                <w:szCs w:val="20"/>
              </w:rPr>
            </w:pPr>
            <w:r w:rsidRPr="00E0036F">
              <w:rPr>
                <w:rFonts w:ascii="Arial" w:eastAsia="Arial" w:hAnsi="Arial" w:cs="Arial"/>
                <w:b/>
                <w:sz w:val="20"/>
                <w:szCs w:val="20"/>
              </w:rPr>
              <w:t>Phân loại</w:t>
            </w:r>
          </w:p>
          <w:p w:rsidR="00247933" w:rsidRPr="00E0036F" w:rsidRDefault="00247933" w:rsidP="00AD3A25">
            <w:pPr>
              <w:pBdr>
                <w:top w:val="nil"/>
                <w:left w:val="nil"/>
                <w:bottom w:val="nil"/>
                <w:right w:val="nil"/>
                <w:between w:val="nil"/>
              </w:pBdr>
              <w:spacing w:line="259" w:lineRule="auto"/>
              <w:ind w:firstLine="731"/>
              <w:jc w:val="both"/>
              <w:rPr>
                <w:rFonts w:ascii="Arial" w:eastAsia="Arial" w:hAnsi="Arial" w:cs="Arial"/>
                <w:b/>
                <w:sz w:val="20"/>
                <w:szCs w:val="20"/>
              </w:rPr>
            </w:pPr>
          </w:p>
          <w:p w:rsidR="00247933" w:rsidRPr="00F22FA7" w:rsidRDefault="003559DB" w:rsidP="00984C26">
            <w:pPr>
              <w:pBdr>
                <w:top w:val="nil"/>
                <w:left w:val="nil"/>
                <w:bottom w:val="nil"/>
                <w:right w:val="nil"/>
                <w:between w:val="nil"/>
              </w:pBdr>
              <w:spacing w:line="259" w:lineRule="auto"/>
              <w:ind w:left="459" w:hanging="714"/>
              <w:jc w:val="both"/>
              <w:rPr>
                <w:rFonts w:ascii="Arial" w:eastAsia="Arial" w:hAnsi="Arial" w:cs="Arial"/>
                <w:color w:val="000000"/>
                <w:sz w:val="20"/>
                <w:szCs w:val="20"/>
              </w:rPr>
            </w:pPr>
            <w:r w:rsidRPr="00E0036F">
              <w:rPr>
                <w:rFonts w:ascii="Arial" w:eastAsia="Arial" w:hAnsi="Arial" w:cs="Arial"/>
                <w:color w:val="000000"/>
                <w:sz w:val="20"/>
                <w:szCs w:val="20"/>
              </w:rPr>
              <w:t xml:space="preserve">    A19. Trong ví dụ này, cổ phiếu của các thành viên được phân loại là nợ phải trả tài chính. Việc cấm mua loại giống với sự hạn chế đã được miêu tả trong đoạn 19 và AG25 của IAS 32. Sự hạn chế là giới hạn có điều kiện đối với khả năng của đơn vị để trả số tiền nợ phải trả tài chính, tức là họ ngăn chặn thanh toán nợ phải trả nếu các điều kiện xác định được thỏa mãn. Cụ thể hơn, đơn vị có thể được yêu cầu mua lại toàn bộ cổ phiếu của các thành viên (125.000 </w:t>
            </w:r>
            <w:r w:rsidRPr="00E0036F">
              <w:rPr>
                <w:rFonts w:ascii="Arial" w:eastAsia="Arial" w:hAnsi="Arial" w:cs="Arial"/>
                <w:sz w:val="20"/>
                <w:szCs w:val="20"/>
              </w:rPr>
              <w:t>CU</w:t>
            </w:r>
            <w:r w:rsidRPr="00E0036F">
              <w:rPr>
                <w:rFonts w:ascii="Arial" w:eastAsia="Arial" w:hAnsi="Arial" w:cs="Arial"/>
                <w:color w:val="000000"/>
                <w:sz w:val="20"/>
                <w:szCs w:val="20"/>
              </w:rPr>
              <w:t xml:space="preserve">) nếu nó trả lại toàn bộ các khoản nợ phải trả khác (75.000 </w:t>
            </w:r>
            <w:r w:rsidRPr="00E0036F">
              <w:rPr>
                <w:rFonts w:ascii="Arial" w:eastAsia="Arial" w:hAnsi="Arial" w:cs="Arial"/>
                <w:sz w:val="20"/>
                <w:szCs w:val="20"/>
              </w:rPr>
              <w:t>CU</w:t>
            </w:r>
            <w:r w:rsidRPr="00E0036F">
              <w:rPr>
                <w:rFonts w:ascii="Arial" w:eastAsia="Arial" w:hAnsi="Arial" w:cs="Arial"/>
                <w:color w:val="000000"/>
                <w:sz w:val="20"/>
                <w:szCs w:val="20"/>
              </w:rPr>
              <w:t xml:space="preserve">). Theo đó, việc </w:t>
            </w:r>
            <w:r w:rsidRPr="00E0036F">
              <w:rPr>
                <w:rFonts w:ascii="Arial" w:eastAsia="Arial" w:hAnsi="Arial" w:cs="Arial"/>
                <w:color w:val="000000"/>
                <w:sz w:val="20"/>
                <w:szCs w:val="20"/>
              </w:rPr>
              <w:lastRenderedPageBreak/>
              <w:t>cấm đối với việc mua lại không ngăn chặn đơn vị phát sinh một khoản nợ phải trả tài chính để mua lại nhiều hơn một số xác định cổ phiếu của các thành viên hoặc m</w:t>
            </w:r>
            <w:r w:rsidRPr="00E0036F">
              <w:rPr>
                <w:rFonts w:ascii="Arial" w:eastAsia="Arial" w:hAnsi="Arial" w:cs="Arial"/>
                <w:sz w:val="20"/>
                <w:szCs w:val="20"/>
              </w:rPr>
              <w:t xml:space="preserve">ột </w:t>
            </w:r>
            <w:r w:rsidRPr="00E0036F">
              <w:rPr>
                <w:rFonts w:ascii="Arial" w:eastAsia="Arial" w:hAnsi="Arial" w:cs="Arial"/>
                <w:color w:val="000000"/>
                <w:sz w:val="20"/>
                <w:szCs w:val="20"/>
              </w:rPr>
              <w:t>số x</w:t>
            </w:r>
            <w:r w:rsidRPr="00E0036F">
              <w:rPr>
                <w:rFonts w:ascii="Arial" w:eastAsia="Arial" w:hAnsi="Arial" w:cs="Arial"/>
                <w:sz w:val="20"/>
                <w:szCs w:val="20"/>
              </w:rPr>
              <w:t xml:space="preserve">ác định </w:t>
            </w:r>
            <w:r w:rsidRPr="00E0036F">
              <w:rPr>
                <w:rFonts w:ascii="Arial" w:eastAsia="Arial" w:hAnsi="Arial" w:cs="Arial"/>
                <w:color w:val="000000"/>
                <w:sz w:val="20"/>
                <w:szCs w:val="20"/>
              </w:rPr>
              <w:t>vốn đã góp. Nó chỉ cho phép đơn vị hoãn lại việc mua lại cho đến khi một điều kiện được thỏa mãn, tức là việc hoàn trả các nghĩa vụ nợ phải trả khác. Cổ phiếu của các thành viên trong trường hợp này không bị cấm vô điều kiện đối với việc mua lại và do đó được phân lại là nợ phải trả tài chính.</w:t>
            </w:r>
          </w:p>
        </w:tc>
      </w:tr>
    </w:tbl>
    <w:p w:rsidR="00247933" w:rsidRPr="00F22FA7" w:rsidRDefault="00247933" w:rsidP="00AD3A25">
      <w:pPr>
        <w:spacing w:after="0"/>
        <w:rPr>
          <w:rFonts w:ascii="Arial" w:eastAsia="Arial" w:hAnsi="Arial" w:cs="Arial"/>
          <w:sz w:val="20"/>
          <w:szCs w:val="20"/>
        </w:rPr>
      </w:pPr>
    </w:p>
    <w:sectPr w:rsidR="00247933" w:rsidRPr="00F22FA7" w:rsidSect="00914B72">
      <w:footerReference w:type="default" r:id="rId7"/>
      <w:pgSz w:w="15840" w:h="122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A6F" w:rsidRDefault="000C3A6F">
      <w:pPr>
        <w:spacing w:after="0" w:line="240" w:lineRule="auto"/>
      </w:pPr>
      <w:r>
        <w:separator/>
      </w:r>
    </w:p>
  </w:endnote>
  <w:endnote w:type="continuationSeparator" w:id="0">
    <w:p w:rsidR="000C3A6F" w:rsidRDefault="000C3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A3"/>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3"/>
    <w:family w:val="swiss"/>
    <w:pitch w:val="variable"/>
    <w:sig w:usb0="20002A87" w:usb1="80000000" w:usb2="00000008" w:usb3="00000000" w:csb0="000001FF" w:csb1="00000000"/>
  </w:font>
  <w:font w:name="Helvetica Neue">
    <w:altName w:val="Times New Roman"/>
    <w:charset w:val="00"/>
    <w:family w:val="auto"/>
    <w:pitch w:val="default"/>
    <w:sig w:usb0="00000000" w:usb1="00000000" w:usb2="00000000" w:usb3="00000000" w:csb0="00000000" w:csb1="00000000"/>
  </w:font>
  <w:font w:name="Cambria Math">
    <w:panose1 w:val="02040503050406030204"/>
    <w:charset w:val="A3"/>
    <w:family w:val="roman"/>
    <w:pitch w:val="variable"/>
    <w:sig w:usb0="E00002FF" w:usb1="420024FF" w:usb2="00000000" w:usb3="00000000" w:csb0="0000019F" w:csb1="00000000"/>
  </w:font>
  <w:font w:name="SwiftLTStd-Regula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933" w:rsidRDefault="00914B7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3559DB">
      <w:rPr>
        <w:color w:val="000000"/>
      </w:rPr>
      <w:instrText>PAGE</w:instrText>
    </w:r>
    <w:r>
      <w:rPr>
        <w:color w:val="000000"/>
      </w:rPr>
      <w:fldChar w:fldCharType="separate"/>
    </w:r>
    <w:r w:rsidR="00BC0A21">
      <w:rPr>
        <w:noProof/>
        <w:color w:val="000000"/>
      </w:rPr>
      <w:t>15</w:t>
    </w:r>
    <w:r>
      <w:rPr>
        <w:color w:val="000000"/>
      </w:rPr>
      <w:fldChar w:fldCharType="end"/>
    </w:r>
  </w:p>
  <w:p w:rsidR="00247933" w:rsidRDefault="0024793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A6F" w:rsidRDefault="000C3A6F">
      <w:pPr>
        <w:spacing w:after="0" w:line="240" w:lineRule="auto"/>
      </w:pPr>
      <w:r>
        <w:separator/>
      </w:r>
    </w:p>
  </w:footnote>
  <w:footnote w:type="continuationSeparator" w:id="0">
    <w:p w:rsidR="000C3A6F" w:rsidRDefault="000C3A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64E9"/>
    <w:multiLevelType w:val="multilevel"/>
    <w:tmpl w:val="3C248F60"/>
    <w:lvl w:ilvl="0">
      <w:start w:val="5"/>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CE3718"/>
    <w:multiLevelType w:val="multilevel"/>
    <w:tmpl w:val="ABB2407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6F5C78"/>
    <w:multiLevelType w:val="multilevel"/>
    <w:tmpl w:val="7270AF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32227D"/>
    <w:multiLevelType w:val="multilevel"/>
    <w:tmpl w:val="78BC3F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3C5C35"/>
    <w:multiLevelType w:val="multilevel"/>
    <w:tmpl w:val="7270AF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BC54E7"/>
    <w:multiLevelType w:val="multilevel"/>
    <w:tmpl w:val="DBD4F198"/>
    <w:lvl w:ilvl="0">
      <w:start w:val="1"/>
      <w:numFmt w:val="decimal"/>
      <w:lvlText w:val="%1"/>
      <w:lvlJc w:val="left"/>
      <w:pPr>
        <w:ind w:left="820" w:hanging="4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56C0AD2"/>
    <w:multiLevelType w:val="hybridMultilevel"/>
    <w:tmpl w:val="41B412C4"/>
    <w:lvl w:ilvl="0" w:tplc="448C0744">
      <w:start w:val="1"/>
      <w:numFmt w:val="decimal"/>
      <w:lvlText w:val="%1"/>
      <w:lvlJc w:val="left"/>
      <w:pPr>
        <w:ind w:left="1098" w:hanging="360"/>
      </w:pPr>
      <w:rPr>
        <w:rFonts w:hint="default"/>
        <w:vertAlign w:val="superscript"/>
      </w:rPr>
    </w:lvl>
    <w:lvl w:ilvl="1" w:tplc="08090019" w:tentative="1">
      <w:start w:val="1"/>
      <w:numFmt w:val="lowerLetter"/>
      <w:lvlText w:val="%2."/>
      <w:lvlJc w:val="left"/>
      <w:pPr>
        <w:ind w:left="1818" w:hanging="360"/>
      </w:pPr>
    </w:lvl>
    <w:lvl w:ilvl="2" w:tplc="0809001B" w:tentative="1">
      <w:start w:val="1"/>
      <w:numFmt w:val="lowerRoman"/>
      <w:lvlText w:val="%3."/>
      <w:lvlJc w:val="right"/>
      <w:pPr>
        <w:ind w:left="2538" w:hanging="180"/>
      </w:pPr>
    </w:lvl>
    <w:lvl w:ilvl="3" w:tplc="0809000F" w:tentative="1">
      <w:start w:val="1"/>
      <w:numFmt w:val="decimal"/>
      <w:lvlText w:val="%4."/>
      <w:lvlJc w:val="left"/>
      <w:pPr>
        <w:ind w:left="3258" w:hanging="360"/>
      </w:pPr>
    </w:lvl>
    <w:lvl w:ilvl="4" w:tplc="08090019" w:tentative="1">
      <w:start w:val="1"/>
      <w:numFmt w:val="lowerLetter"/>
      <w:lvlText w:val="%5."/>
      <w:lvlJc w:val="left"/>
      <w:pPr>
        <w:ind w:left="3978" w:hanging="360"/>
      </w:pPr>
    </w:lvl>
    <w:lvl w:ilvl="5" w:tplc="0809001B" w:tentative="1">
      <w:start w:val="1"/>
      <w:numFmt w:val="lowerRoman"/>
      <w:lvlText w:val="%6."/>
      <w:lvlJc w:val="right"/>
      <w:pPr>
        <w:ind w:left="4698" w:hanging="180"/>
      </w:pPr>
    </w:lvl>
    <w:lvl w:ilvl="6" w:tplc="0809000F" w:tentative="1">
      <w:start w:val="1"/>
      <w:numFmt w:val="decimal"/>
      <w:lvlText w:val="%7."/>
      <w:lvlJc w:val="left"/>
      <w:pPr>
        <w:ind w:left="5418" w:hanging="360"/>
      </w:pPr>
    </w:lvl>
    <w:lvl w:ilvl="7" w:tplc="08090019" w:tentative="1">
      <w:start w:val="1"/>
      <w:numFmt w:val="lowerLetter"/>
      <w:lvlText w:val="%8."/>
      <w:lvlJc w:val="left"/>
      <w:pPr>
        <w:ind w:left="6138" w:hanging="360"/>
      </w:pPr>
    </w:lvl>
    <w:lvl w:ilvl="8" w:tplc="0809001B" w:tentative="1">
      <w:start w:val="1"/>
      <w:numFmt w:val="lowerRoman"/>
      <w:lvlText w:val="%9."/>
      <w:lvlJc w:val="right"/>
      <w:pPr>
        <w:ind w:left="6858" w:hanging="180"/>
      </w:pPr>
    </w:lvl>
  </w:abstractNum>
  <w:abstractNum w:abstractNumId="7">
    <w:nsid w:val="556A0D6B"/>
    <w:multiLevelType w:val="multilevel"/>
    <w:tmpl w:val="944EDFAE"/>
    <w:lvl w:ilvl="0">
      <w:start w:val="1"/>
      <w:numFmt w:val="decimal"/>
      <w:lvlText w:val="%1"/>
      <w:lvlJc w:val="left"/>
      <w:pPr>
        <w:ind w:left="3904" w:hanging="360"/>
      </w:pPr>
      <w:rPr>
        <w:vertAlign w:val="superscript"/>
      </w:rPr>
    </w:lvl>
    <w:lvl w:ilvl="1">
      <w:start w:val="1"/>
      <w:numFmt w:val="lowerLetter"/>
      <w:lvlText w:val="%2."/>
      <w:lvlJc w:val="left"/>
      <w:pPr>
        <w:ind w:left="4624" w:hanging="360"/>
      </w:pPr>
    </w:lvl>
    <w:lvl w:ilvl="2">
      <w:start w:val="1"/>
      <w:numFmt w:val="lowerRoman"/>
      <w:lvlText w:val="%3."/>
      <w:lvlJc w:val="right"/>
      <w:pPr>
        <w:ind w:left="5344" w:hanging="180"/>
      </w:pPr>
    </w:lvl>
    <w:lvl w:ilvl="3">
      <w:start w:val="1"/>
      <w:numFmt w:val="decimal"/>
      <w:lvlText w:val="%4."/>
      <w:lvlJc w:val="left"/>
      <w:pPr>
        <w:ind w:left="6064" w:hanging="360"/>
      </w:pPr>
    </w:lvl>
    <w:lvl w:ilvl="4">
      <w:start w:val="1"/>
      <w:numFmt w:val="lowerLetter"/>
      <w:lvlText w:val="%5."/>
      <w:lvlJc w:val="left"/>
      <w:pPr>
        <w:ind w:left="6784" w:hanging="360"/>
      </w:pPr>
    </w:lvl>
    <w:lvl w:ilvl="5">
      <w:start w:val="1"/>
      <w:numFmt w:val="lowerRoman"/>
      <w:lvlText w:val="%6."/>
      <w:lvlJc w:val="right"/>
      <w:pPr>
        <w:ind w:left="7504" w:hanging="180"/>
      </w:pPr>
    </w:lvl>
    <w:lvl w:ilvl="6">
      <w:start w:val="1"/>
      <w:numFmt w:val="decimal"/>
      <w:lvlText w:val="%7."/>
      <w:lvlJc w:val="left"/>
      <w:pPr>
        <w:ind w:left="8224" w:hanging="360"/>
      </w:pPr>
    </w:lvl>
    <w:lvl w:ilvl="7">
      <w:start w:val="1"/>
      <w:numFmt w:val="lowerLetter"/>
      <w:lvlText w:val="%8."/>
      <w:lvlJc w:val="left"/>
      <w:pPr>
        <w:ind w:left="8944" w:hanging="360"/>
      </w:pPr>
    </w:lvl>
    <w:lvl w:ilvl="8">
      <w:start w:val="1"/>
      <w:numFmt w:val="lowerRoman"/>
      <w:lvlText w:val="%9."/>
      <w:lvlJc w:val="right"/>
      <w:pPr>
        <w:ind w:left="9664" w:hanging="180"/>
      </w:pPr>
    </w:lvl>
  </w:abstractNum>
  <w:abstractNum w:abstractNumId="8">
    <w:nsid w:val="56D575D8"/>
    <w:multiLevelType w:val="multilevel"/>
    <w:tmpl w:val="4DECDB4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7FE4E67"/>
    <w:multiLevelType w:val="multilevel"/>
    <w:tmpl w:val="11880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E6F595C"/>
    <w:multiLevelType w:val="hybridMultilevel"/>
    <w:tmpl w:val="41B412C4"/>
    <w:lvl w:ilvl="0" w:tplc="448C0744">
      <w:start w:val="1"/>
      <w:numFmt w:val="decimal"/>
      <w:lvlText w:val="%1"/>
      <w:lvlJc w:val="left"/>
      <w:pPr>
        <w:ind w:left="1098" w:hanging="360"/>
      </w:pPr>
      <w:rPr>
        <w:rFonts w:hint="default"/>
        <w:vertAlign w:val="superscript"/>
      </w:rPr>
    </w:lvl>
    <w:lvl w:ilvl="1" w:tplc="08090019" w:tentative="1">
      <w:start w:val="1"/>
      <w:numFmt w:val="lowerLetter"/>
      <w:lvlText w:val="%2."/>
      <w:lvlJc w:val="left"/>
      <w:pPr>
        <w:ind w:left="1818" w:hanging="360"/>
      </w:pPr>
    </w:lvl>
    <w:lvl w:ilvl="2" w:tplc="0809001B" w:tentative="1">
      <w:start w:val="1"/>
      <w:numFmt w:val="lowerRoman"/>
      <w:lvlText w:val="%3."/>
      <w:lvlJc w:val="right"/>
      <w:pPr>
        <w:ind w:left="2538" w:hanging="180"/>
      </w:pPr>
    </w:lvl>
    <w:lvl w:ilvl="3" w:tplc="0809000F" w:tentative="1">
      <w:start w:val="1"/>
      <w:numFmt w:val="decimal"/>
      <w:lvlText w:val="%4."/>
      <w:lvlJc w:val="left"/>
      <w:pPr>
        <w:ind w:left="3258" w:hanging="360"/>
      </w:pPr>
    </w:lvl>
    <w:lvl w:ilvl="4" w:tplc="08090019" w:tentative="1">
      <w:start w:val="1"/>
      <w:numFmt w:val="lowerLetter"/>
      <w:lvlText w:val="%5."/>
      <w:lvlJc w:val="left"/>
      <w:pPr>
        <w:ind w:left="3978" w:hanging="360"/>
      </w:pPr>
    </w:lvl>
    <w:lvl w:ilvl="5" w:tplc="0809001B" w:tentative="1">
      <w:start w:val="1"/>
      <w:numFmt w:val="lowerRoman"/>
      <w:lvlText w:val="%6."/>
      <w:lvlJc w:val="right"/>
      <w:pPr>
        <w:ind w:left="4698" w:hanging="180"/>
      </w:pPr>
    </w:lvl>
    <w:lvl w:ilvl="6" w:tplc="0809000F" w:tentative="1">
      <w:start w:val="1"/>
      <w:numFmt w:val="decimal"/>
      <w:lvlText w:val="%7."/>
      <w:lvlJc w:val="left"/>
      <w:pPr>
        <w:ind w:left="5418" w:hanging="360"/>
      </w:pPr>
    </w:lvl>
    <w:lvl w:ilvl="7" w:tplc="08090019" w:tentative="1">
      <w:start w:val="1"/>
      <w:numFmt w:val="lowerLetter"/>
      <w:lvlText w:val="%8."/>
      <w:lvlJc w:val="left"/>
      <w:pPr>
        <w:ind w:left="6138" w:hanging="360"/>
      </w:pPr>
    </w:lvl>
    <w:lvl w:ilvl="8" w:tplc="0809001B" w:tentative="1">
      <w:start w:val="1"/>
      <w:numFmt w:val="lowerRoman"/>
      <w:lvlText w:val="%9."/>
      <w:lvlJc w:val="right"/>
      <w:pPr>
        <w:ind w:left="6858" w:hanging="180"/>
      </w:pPr>
    </w:lvl>
  </w:abstractNum>
  <w:abstractNum w:abstractNumId="11">
    <w:nsid w:val="70D72B09"/>
    <w:multiLevelType w:val="multilevel"/>
    <w:tmpl w:val="8234A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ECC1CE9"/>
    <w:multiLevelType w:val="multilevel"/>
    <w:tmpl w:val="98AEA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F9E2D3F"/>
    <w:multiLevelType w:val="multilevel"/>
    <w:tmpl w:val="1A12A8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8"/>
  </w:num>
  <w:num w:numId="4">
    <w:abstractNumId w:val="11"/>
  </w:num>
  <w:num w:numId="5">
    <w:abstractNumId w:val="1"/>
  </w:num>
  <w:num w:numId="6">
    <w:abstractNumId w:val="13"/>
  </w:num>
  <w:num w:numId="7">
    <w:abstractNumId w:val="7"/>
  </w:num>
  <w:num w:numId="8">
    <w:abstractNumId w:val="0"/>
  </w:num>
  <w:num w:numId="9">
    <w:abstractNumId w:val="9"/>
  </w:num>
  <w:num w:numId="10">
    <w:abstractNumId w:val="5"/>
  </w:num>
  <w:num w:numId="11">
    <w:abstractNumId w:val="6"/>
  </w:num>
  <w:num w:numId="12">
    <w:abstractNumId w:val="10"/>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247933"/>
    <w:rsid w:val="0006710F"/>
    <w:rsid w:val="000C3A6F"/>
    <w:rsid w:val="000E57B7"/>
    <w:rsid w:val="00127573"/>
    <w:rsid w:val="00182339"/>
    <w:rsid w:val="00247933"/>
    <w:rsid w:val="002A42A0"/>
    <w:rsid w:val="002E0667"/>
    <w:rsid w:val="003559DB"/>
    <w:rsid w:val="00371CF7"/>
    <w:rsid w:val="003E4324"/>
    <w:rsid w:val="004B7F02"/>
    <w:rsid w:val="0050617C"/>
    <w:rsid w:val="00507D3E"/>
    <w:rsid w:val="00515B17"/>
    <w:rsid w:val="00591A10"/>
    <w:rsid w:val="005B67E9"/>
    <w:rsid w:val="00633A9D"/>
    <w:rsid w:val="00665235"/>
    <w:rsid w:val="006B13AD"/>
    <w:rsid w:val="007644C6"/>
    <w:rsid w:val="007D3DD3"/>
    <w:rsid w:val="00814039"/>
    <w:rsid w:val="00846801"/>
    <w:rsid w:val="00871464"/>
    <w:rsid w:val="008D1862"/>
    <w:rsid w:val="00914B72"/>
    <w:rsid w:val="00935FDF"/>
    <w:rsid w:val="00984C26"/>
    <w:rsid w:val="009D463C"/>
    <w:rsid w:val="00A060CE"/>
    <w:rsid w:val="00AA41EC"/>
    <w:rsid w:val="00AD1C2F"/>
    <w:rsid w:val="00AD3A25"/>
    <w:rsid w:val="00B16721"/>
    <w:rsid w:val="00B2628A"/>
    <w:rsid w:val="00B7199F"/>
    <w:rsid w:val="00BB4936"/>
    <w:rsid w:val="00BC0A21"/>
    <w:rsid w:val="00BC4D40"/>
    <w:rsid w:val="00BC7A33"/>
    <w:rsid w:val="00C17CDF"/>
    <w:rsid w:val="00C82DD9"/>
    <w:rsid w:val="00C901E7"/>
    <w:rsid w:val="00CB7EC8"/>
    <w:rsid w:val="00CD0012"/>
    <w:rsid w:val="00CF0F4E"/>
    <w:rsid w:val="00E0036F"/>
    <w:rsid w:val="00E11C96"/>
    <w:rsid w:val="00E43C07"/>
    <w:rsid w:val="00E92898"/>
    <w:rsid w:val="00EA79AA"/>
    <w:rsid w:val="00EC058F"/>
    <w:rsid w:val="00EC6B41"/>
    <w:rsid w:val="00EC79A4"/>
    <w:rsid w:val="00F22FA7"/>
    <w:rsid w:val="00F633EB"/>
    <w:rsid w:val="00FA454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0"/>
        <o:r id="V:Rule2" type="connector" idref="#Straight Arrow Connector 17"/>
        <o:r id="V:Rule3" type="connector" idref="#Straight Arrow Connector 24"/>
        <o:r id="V:Rule4" type="connector" idref="#Straight Arrow Connector 15"/>
        <o:r id="V:Rule5" type="connector" idref="#Straight Arrow Connector 4"/>
        <o:r id="V:Rule6" type="connector" idref="#Straight Arrow Connector 26"/>
        <o:r id="V:Rule7" type="connector" idref="#Straight Arrow Connector 28"/>
        <o:r id="V:Rule8" type="connector" idref="#Straight Arrow Connector 31"/>
        <o:r id="V:Rule9" type="connector" idref="#Straight Arrow Connector 19"/>
        <o:r id="V:Rule10" type="connector" idref="#Straight Arrow Connector 18"/>
        <o:r id="V:Rule11" type="connector" idref="#Straight Arrow Connector 6"/>
        <o:r id="V:Rule12" type="connector" idref="#Straight Arrow Connector 20"/>
        <o:r id="V:Rule13" type="connector" idref="#Straight Arrow Connector 22"/>
        <o:r id="V:Rule14" type="connector" idref="#Straight Arrow Connector 25"/>
        <o:r id="V:Rule15" type="connector" idref="#Straight Arrow Connector 30"/>
        <o:r id="V:Rule16" type="connector" idref="#Straight Arrow Connector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4B72"/>
  </w:style>
  <w:style w:type="paragraph" w:styleId="Heading1">
    <w:name w:val="heading 1"/>
    <w:basedOn w:val="Normal"/>
    <w:next w:val="Normal"/>
    <w:rsid w:val="00914B72"/>
    <w:pPr>
      <w:keepNext/>
      <w:keepLines/>
      <w:spacing w:before="480" w:after="120"/>
      <w:outlineLvl w:val="0"/>
    </w:pPr>
    <w:rPr>
      <w:b/>
      <w:sz w:val="48"/>
      <w:szCs w:val="48"/>
    </w:rPr>
  </w:style>
  <w:style w:type="paragraph" w:styleId="Heading2">
    <w:name w:val="heading 2"/>
    <w:basedOn w:val="Normal"/>
    <w:next w:val="Normal"/>
    <w:rsid w:val="00914B72"/>
    <w:pPr>
      <w:keepNext/>
      <w:keepLines/>
      <w:spacing w:before="360" w:after="80"/>
      <w:outlineLvl w:val="1"/>
    </w:pPr>
    <w:rPr>
      <w:b/>
      <w:sz w:val="36"/>
      <w:szCs w:val="36"/>
    </w:rPr>
  </w:style>
  <w:style w:type="paragraph" w:styleId="Heading3">
    <w:name w:val="heading 3"/>
    <w:basedOn w:val="Normal"/>
    <w:next w:val="Normal"/>
    <w:rsid w:val="00914B72"/>
    <w:pPr>
      <w:keepNext/>
      <w:keepLines/>
      <w:spacing w:before="280" w:after="80"/>
      <w:outlineLvl w:val="2"/>
    </w:pPr>
    <w:rPr>
      <w:b/>
      <w:sz w:val="28"/>
      <w:szCs w:val="28"/>
    </w:rPr>
  </w:style>
  <w:style w:type="paragraph" w:styleId="Heading4">
    <w:name w:val="heading 4"/>
    <w:basedOn w:val="Normal"/>
    <w:next w:val="Normal"/>
    <w:rsid w:val="00914B72"/>
    <w:pPr>
      <w:keepNext/>
      <w:keepLines/>
      <w:spacing w:before="240" w:after="40"/>
      <w:outlineLvl w:val="3"/>
    </w:pPr>
    <w:rPr>
      <w:b/>
      <w:sz w:val="24"/>
      <w:szCs w:val="24"/>
    </w:rPr>
  </w:style>
  <w:style w:type="paragraph" w:styleId="Heading5">
    <w:name w:val="heading 5"/>
    <w:basedOn w:val="Normal"/>
    <w:next w:val="Normal"/>
    <w:rsid w:val="00914B72"/>
    <w:pPr>
      <w:keepNext/>
      <w:keepLines/>
      <w:spacing w:before="220" w:after="40"/>
      <w:outlineLvl w:val="4"/>
    </w:pPr>
    <w:rPr>
      <w:b/>
    </w:rPr>
  </w:style>
  <w:style w:type="paragraph" w:styleId="Heading6">
    <w:name w:val="heading 6"/>
    <w:basedOn w:val="Normal"/>
    <w:next w:val="Normal"/>
    <w:rsid w:val="00914B7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14B72"/>
    <w:pPr>
      <w:keepNext/>
      <w:keepLines/>
      <w:spacing w:before="480" w:after="120"/>
    </w:pPr>
    <w:rPr>
      <w:b/>
      <w:sz w:val="72"/>
      <w:szCs w:val="72"/>
    </w:rPr>
  </w:style>
  <w:style w:type="paragraph" w:styleId="Subtitle">
    <w:name w:val="Subtitle"/>
    <w:basedOn w:val="Normal"/>
    <w:next w:val="Normal"/>
    <w:rsid w:val="00914B72"/>
    <w:pPr>
      <w:keepNext/>
      <w:keepLines/>
      <w:spacing w:before="360" w:after="80"/>
    </w:pPr>
    <w:rPr>
      <w:rFonts w:ascii="Georgia" w:eastAsia="Georgia" w:hAnsi="Georgia" w:cs="Georgia"/>
      <w:i/>
      <w:color w:val="666666"/>
      <w:sz w:val="48"/>
      <w:szCs w:val="48"/>
    </w:rPr>
  </w:style>
  <w:style w:type="table" w:customStyle="1" w:styleId="a">
    <w:basedOn w:val="TableNormal"/>
    <w:rsid w:val="00914B7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14B72"/>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43C07"/>
    <w:rPr>
      <w:sz w:val="16"/>
      <w:szCs w:val="16"/>
    </w:rPr>
  </w:style>
  <w:style w:type="paragraph" w:styleId="CommentText">
    <w:name w:val="annotation text"/>
    <w:basedOn w:val="Normal"/>
    <w:link w:val="CommentTextChar"/>
    <w:uiPriority w:val="99"/>
    <w:semiHidden/>
    <w:unhideWhenUsed/>
    <w:rsid w:val="00E43C07"/>
    <w:pPr>
      <w:spacing w:line="240" w:lineRule="auto"/>
    </w:pPr>
    <w:rPr>
      <w:sz w:val="20"/>
      <w:szCs w:val="20"/>
    </w:rPr>
  </w:style>
  <w:style w:type="character" w:customStyle="1" w:styleId="CommentTextChar">
    <w:name w:val="Comment Text Char"/>
    <w:basedOn w:val="DefaultParagraphFont"/>
    <w:link w:val="CommentText"/>
    <w:uiPriority w:val="99"/>
    <w:semiHidden/>
    <w:rsid w:val="00E43C07"/>
    <w:rPr>
      <w:sz w:val="20"/>
      <w:szCs w:val="20"/>
    </w:rPr>
  </w:style>
  <w:style w:type="paragraph" w:styleId="CommentSubject">
    <w:name w:val="annotation subject"/>
    <w:basedOn w:val="CommentText"/>
    <w:next w:val="CommentText"/>
    <w:link w:val="CommentSubjectChar"/>
    <w:uiPriority w:val="99"/>
    <w:semiHidden/>
    <w:unhideWhenUsed/>
    <w:rsid w:val="00E43C07"/>
    <w:rPr>
      <w:b/>
      <w:bCs/>
    </w:rPr>
  </w:style>
  <w:style w:type="character" w:customStyle="1" w:styleId="CommentSubjectChar">
    <w:name w:val="Comment Subject Char"/>
    <w:basedOn w:val="CommentTextChar"/>
    <w:link w:val="CommentSubject"/>
    <w:uiPriority w:val="99"/>
    <w:semiHidden/>
    <w:rsid w:val="00E43C07"/>
    <w:rPr>
      <w:b/>
      <w:bCs/>
      <w:sz w:val="20"/>
      <w:szCs w:val="20"/>
    </w:rPr>
  </w:style>
  <w:style w:type="paragraph" w:styleId="BalloonText">
    <w:name w:val="Balloon Text"/>
    <w:basedOn w:val="Normal"/>
    <w:link w:val="BalloonTextChar"/>
    <w:uiPriority w:val="99"/>
    <w:semiHidden/>
    <w:unhideWhenUsed/>
    <w:rsid w:val="00E43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07"/>
    <w:rPr>
      <w:rFonts w:ascii="Segoe UI" w:hAnsi="Segoe UI" w:cs="Segoe UI"/>
      <w:sz w:val="18"/>
      <w:szCs w:val="18"/>
    </w:rPr>
  </w:style>
  <w:style w:type="paragraph" w:styleId="ListParagraph">
    <w:name w:val="List Paragraph"/>
    <w:basedOn w:val="Normal"/>
    <w:uiPriority w:val="34"/>
    <w:qFormat/>
    <w:rsid w:val="00E9289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7328</Words>
  <Characters>41776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Kim Yen</dc:creator>
  <cp:lastModifiedBy>hoangkimyen</cp:lastModifiedBy>
  <cp:revision>2</cp:revision>
  <dcterms:created xsi:type="dcterms:W3CDTF">2020-03-03T07:15:00Z</dcterms:created>
  <dcterms:modified xsi:type="dcterms:W3CDTF">2020-03-03T07:15:00Z</dcterms:modified>
</cp:coreProperties>
</file>