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8E" w:rsidRPr="009D6C3E" w:rsidRDefault="00EC43DC">
      <w:pPr>
        <w:rPr>
          <w:rFonts w:ascii="Arial" w:hAnsi="Arial" w:cs="Arial"/>
          <w:b/>
        </w:rPr>
      </w:pPr>
      <w:r w:rsidRPr="009D6C3E">
        <w:rPr>
          <w:rFonts w:ascii="Arial" w:hAnsi="Arial" w:cs="Arial"/>
          <w:b/>
        </w:rPr>
        <w:t>IFRIC 22</w:t>
      </w:r>
    </w:p>
    <w:p w:rsidR="00EC43DC" w:rsidRPr="009D6C3E" w:rsidRDefault="00EC43DC">
      <w:pPr>
        <w:rPr>
          <w:rFonts w:ascii="Times New Roman" w:hAnsi="Times New Roman" w:cs="Times New Roman"/>
          <w:b/>
          <w:sz w:val="26"/>
        </w:rPr>
      </w:pPr>
      <w:r w:rsidRPr="009D6C3E">
        <w:rPr>
          <w:rFonts w:ascii="Times New Roman" w:hAnsi="Times New Roman" w:cs="Times New Roman"/>
          <w:b/>
          <w:sz w:val="26"/>
        </w:rPr>
        <w:t>Giao dịch</w:t>
      </w:r>
      <w:r w:rsidR="004536E0" w:rsidRPr="009D6C3E">
        <w:rPr>
          <w:rFonts w:ascii="Times New Roman" w:hAnsi="Times New Roman" w:cs="Times New Roman"/>
          <w:b/>
          <w:sz w:val="26"/>
        </w:rPr>
        <w:t xml:space="preserve"> bằng</w:t>
      </w:r>
      <w:r w:rsidRPr="009D6C3E">
        <w:rPr>
          <w:rFonts w:ascii="Times New Roman" w:hAnsi="Times New Roman" w:cs="Times New Roman"/>
          <w:b/>
          <w:sz w:val="26"/>
        </w:rPr>
        <w:t xml:space="preserve"> ngoại tệ và các </w:t>
      </w:r>
      <w:r w:rsidR="009E5ACC" w:rsidRPr="009D6C3E">
        <w:rPr>
          <w:rFonts w:ascii="Times New Roman" w:hAnsi="Times New Roman" w:cs="Times New Roman"/>
          <w:b/>
          <w:sz w:val="26"/>
        </w:rPr>
        <w:t xml:space="preserve">khoản </w:t>
      </w:r>
      <w:r w:rsidR="006065A8" w:rsidRPr="009D6C3E">
        <w:rPr>
          <w:rFonts w:ascii="Times New Roman" w:hAnsi="Times New Roman" w:cs="Times New Roman"/>
          <w:b/>
          <w:sz w:val="26"/>
        </w:rPr>
        <w:t>thanh toán</w:t>
      </w:r>
      <w:r w:rsidR="009E5ACC" w:rsidRPr="009D6C3E">
        <w:rPr>
          <w:rFonts w:ascii="Times New Roman" w:hAnsi="Times New Roman" w:cs="Times New Roman"/>
          <w:b/>
          <w:sz w:val="26"/>
        </w:rPr>
        <w:t xml:space="preserve"> trước</w:t>
      </w:r>
    </w:p>
    <w:p w:rsidR="009E3104" w:rsidRPr="009D6C3E" w:rsidRDefault="009E3104" w:rsidP="009E3104">
      <w:pPr>
        <w:jc w:val="both"/>
        <w:rPr>
          <w:rFonts w:ascii="Times New Roman" w:hAnsi="Times New Roman" w:cs="Times New Roman"/>
          <w:sz w:val="24"/>
        </w:rPr>
      </w:pPr>
      <w:r w:rsidRPr="009D6C3E">
        <w:rPr>
          <w:rFonts w:ascii="Times New Roman" w:hAnsi="Times New Roman" w:cs="Times New Roman"/>
          <w:sz w:val="24"/>
        </w:rPr>
        <w:t xml:space="preserve">Vào </w:t>
      </w:r>
      <w:r w:rsidR="00C77409" w:rsidRPr="009D6C3E">
        <w:rPr>
          <w:rFonts w:ascii="Times New Roman" w:hAnsi="Times New Roman" w:cs="Times New Roman"/>
          <w:sz w:val="24"/>
        </w:rPr>
        <w:t>t</w:t>
      </w:r>
      <w:r w:rsidRPr="009D6C3E">
        <w:rPr>
          <w:rFonts w:ascii="Times New Roman" w:hAnsi="Times New Roman" w:cs="Times New Roman"/>
          <w:sz w:val="24"/>
        </w:rPr>
        <w:t xml:space="preserve">háng 12 năm 2006 Ủy ban Chuẩn mực kế toán quốc tế đã ban hành IFRIC 22 </w:t>
      </w:r>
      <w:r w:rsidRPr="009D6C3E">
        <w:rPr>
          <w:rFonts w:ascii="Times New Roman" w:hAnsi="Times New Roman" w:cs="Times New Roman"/>
          <w:i/>
          <w:sz w:val="24"/>
        </w:rPr>
        <w:t xml:space="preserve">Giao dịch </w:t>
      </w:r>
      <w:r w:rsidR="004536E0" w:rsidRPr="009D6C3E">
        <w:rPr>
          <w:rFonts w:ascii="Times New Roman" w:hAnsi="Times New Roman" w:cs="Times New Roman"/>
          <w:i/>
          <w:sz w:val="24"/>
        </w:rPr>
        <w:t xml:space="preserve">bằng </w:t>
      </w:r>
      <w:r w:rsidRPr="009D6C3E">
        <w:rPr>
          <w:rFonts w:ascii="Times New Roman" w:hAnsi="Times New Roman" w:cs="Times New Roman"/>
          <w:i/>
          <w:sz w:val="24"/>
        </w:rPr>
        <w:t xml:space="preserve">ngoại tệ và các </w:t>
      </w:r>
      <w:r w:rsidR="009E5ACC" w:rsidRPr="009D6C3E">
        <w:rPr>
          <w:rFonts w:ascii="Times New Roman" w:hAnsi="Times New Roman" w:cs="Times New Roman"/>
          <w:i/>
          <w:sz w:val="24"/>
        </w:rPr>
        <w:t xml:space="preserve">khoản </w:t>
      </w:r>
      <w:r w:rsidR="006065A8" w:rsidRPr="009D6C3E">
        <w:rPr>
          <w:rFonts w:ascii="Times New Roman" w:hAnsi="Times New Roman" w:cs="Times New Roman"/>
          <w:i/>
          <w:sz w:val="24"/>
        </w:rPr>
        <w:t>thanh toán</w:t>
      </w:r>
      <w:r w:rsidR="009E5ACC" w:rsidRPr="009D6C3E">
        <w:rPr>
          <w:rFonts w:ascii="Times New Roman" w:hAnsi="Times New Roman" w:cs="Times New Roman"/>
          <w:i/>
          <w:sz w:val="24"/>
        </w:rPr>
        <w:t xml:space="preserve"> trước</w:t>
      </w:r>
      <w:r w:rsidRPr="009D6C3E">
        <w:rPr>
          <w:rFonts w:ascii="Times New Roman" w:hAnsi="Times New Roman" w:cs="Times New Roman"/>
          <w:i/>
          <w:sz w:val="24"/>
        </w:rPr>
        <w:t xml:space="preserve">. </w:t>
      </w:r>
      <w:r w:rsidRPr="009D6C3E">
        <w:rPr>
          <w:rFonts w:ascii="Times New Roman" w:hAnsi="Times New Roman" w:cs="Times New Roman"/>
          <w:sz w:val="24"/>
        </w:rPr>
        <w:t xml:space="preserve">Văn bản này được </w:t>
      </w:r>
      <w:r w:rsidR="00C77409" w:rsidRPr="009D6C3E">
        <w:rPr>
          <w:rFonts w:ascii="Times New Roman" w:hAnsi="Times New Roman" w:cs="Times New Roman"/>
          <w:sz w:val="24"/>
        </w:rPr>
        <w:t xml:space="preserve">phát </w:t>
      </w:r>
      <w:r w:rsidRPr="009D6C3E">
        <w:rPr>
          <w:rFonts w:ascii="Times New Roman" w:hAnsi="Times New Roman" w:cs="Times New Roman"/>
          <w:sz w:val="24"/>
        </w:rPr>
        <w:t xml:space="preserve">triển bởi Ủy ban </w:t>
      </w:r>
      <w:r w:rsidR="00EA2CCB" w:rsidRPr="009D6C3E">
        <w:rPr>
          <w:rFonts w:ascii="Times New Roman" w:hAnsi="Times New Roman" w:cs="Times New Roman"/>
          <w:sz w:val="24"/>
        </w:rPr>
        <w:t>Diễn giải</w:t>
      </w:r>
      <w:r w:rsidRPr="009D6C3E">
        <w:rPr>
          <w:rFonts w:ascii="Times New Roman" w:hAnsi="Times New Roman" w:cs="Times New Roman"/>
          <w:sz w:val="24"/>
        </w:rPr>
        <w:t xml:space="preserve"> Chuẩn mực.</w:t>
      </w:r>
    </w:p>
    <w:p w:rsidR="009E3104" w:rsidRPr="009D6C3E" w:rsidRDefault="009E3104" w:rsidP="009E3104">
      <w:pPr>
        <w:jc w:val="both"/>
        <w:rPr>
          <w:rFonts w:ascii="Times New Roman" w:hAnsi="Times New Roman" w:cs="Times New Roman"/>
          <w:sz w:val="24"/>
        </w:rPr>
      </w:pPr>
      <w:r w:rsidRPr="009D6C3E">
        <w:rPr>
          <w:rFonts w:ascii="Times New Roman" w:hAnsi="Times New Roman" w:cs="Times New Roman"/>
          <w:sz w:val="24"/>
        </w:rPr>
        <w:t xml:space="preserve">Các chuẩn mực khác được sửa đổi không đáng kể hệ quả từ việc sửa đổi IFRIC22, bao gồm IFRS 17 </w:t>
      </w:r>
      <w:r w:rsidRPr="009D6C3E">
        <w:rPr>
          <w:rFonts w:ascii="Times New Roman" w:hAnsi="Times New Roman" w:cs="Times New Roman"/>
          <w:i/>
          <w:sz w:val="24"/>
        </w:rPr>
        <w:t>Hợp đồng bảo hiểm</w:t>
      </w:r>
      <w:r w:rsidRPr="009D6C3E">
        <w:rPr>
          <w:rFonts w:ascii="Times New Roman" w:hAnsi="Times New Roman" w:cs="Times New Roman"/>
          <w:sz w:val="24"/>
        </w:rPr>
        <w:t xml:space="preserve"> (ban hành </w:t>
      </w:r>
      <w:r w:rsidR="004350FB" w:rsidRPr="009D6C3E">
        <w:rPr>
          <w:rFonts w:ascii="Times New Roman" w:hAnsi="Times New Roman" w:cs="Times New Roman"/>
          <w:sz w:val="24"/>
        </w:rPr>
        <w:t>t</w:t>
      </w:r>
      <w:r w:rsidRPr="009D6C3E">
        <w:rPr>
          <w:rFonts w:ascii="Times New Roman" w:hAnsi="Times New Roman" w:cs="Times New Roman"/>
          <w:sz w:val="24"/>
        </w:rPr>
        <w:t xml:space="preserve">háng 5 năm 2017) và </w:t>
      </w:r>
      <w:r w:rsidRPr="009D6C3E">
        <w:rPr>
          <w:rFonts w:ascii="Times New Roman" w:hAnsi="Times New Roman" w:cs="Times New Roman"/>
          <w:i/>
          <w:sz w:val="24"/>
        </w:rPr>
        <w:t xml:space="preserve">Sửa đổi các Tham chiếu đến Khung khái niệm trong các Chuẩn mực IFRS </w:t>
      </w:r>
      <w:r w:rsidRPr="009D6C3E">
        <w:rPr>
          <w:rFonts w:ascii="Times New Roman" w:hAnsi="Times New Roman" w:cs="Times New Roman"/>
          <w:sz w:val="24"/>
        </w:rPr>
        <w:t>(</w:t>
      </w:r>
      <w:r w:rsidR="006065A8" w:rsidRPr="009D6C3E">
        <w:rPr>
          <w:rFonts w:ascii="Times New Roman" w:hAnsi="Times New Roman" w:cs="Times New Roman"/>
          <w:sz w:val="24"/>
        </w:rPr>
        <w:t xml:space="preserve">ban hành </w:t>
      </w:r>
      <w:r w:rsidR="004350FB" w:rsidRPr="009D6C3E">
        <w:rPr>
          <w:rFonts w:ascii="Times New Roman" w:hAnsi="Times New Roman" w:cs="Times New Roman"/>
          <w:sz w:val="24"/>
        </w:rPr>
        <w:t>t</w:t>
      </w:r>
      <w:r w:rsidR="006065A8" w:rsidRPr="009D6C3E">
        <w:rPr>
          <w:rFonts w:ascii="Times New Roman" w:hAnsi="Times New Roman" w:cs="Times New Roman"/>
          <w:sz w:val="24"/>
        </w:rPr>
        <w:t>háng 3 năm 2018)</w:t>
      </w:r>
    </w:p>
    <w:p w:rsidR="00D01FB6" w:rsidRPr="009D6C3E" w:rsidRDefault="00D01FB6" w:rsidP="009E3104">
      <w:pPr>
        <w:jc w:val="both"/>
        <w:rPr>
          <w:rFonts w:ascii="Times New Roman" w:hAnsi="Times New Roman" w:cs="Times New Roman"/>
          <w:sz w:val="24"/>
        </w:rPr>
      </w:pPr>
    </w:p>
    <w:p w:rsidR="00D01FB6" w:rsidRPr="009D6C3E" w:rsidRDefault="00D01FB6">
      <w:pPr>
        <w:rPr>
          <w:rFonts w:ascii="Times New Roman" w:hAnsi="Times New Roman" w:cs="Times New Roman"/>
          <w:sz w:val="24"/>
        </w:rPr>
      </w:pPr>
      <w:r w:rsidRPr="009D6C3E">
        <w:rPr>
          <w:rFonts w:ascii="Times New Roman" w:hAnsi="Times New Roman" w:cs="Times New Roman"/>
          <w:sz w:val="24"/>
        </w:rPr>
        <w:br w:type="page"/>
      </w:r>
    </w:p>
    <w:tbl>
      <w:tblPr>
        <w:tblStyle w:val="TableGrid"/>
        <w:tblW w:w="9817" w:type="dxa"/>
        <w:tblInd w:w="5" w:type="dxa"/>
        <w:tblLook w:val="04A0"/>
      </w:tblPr>
      <w:tblGrid>
        <w:gridCol w:w="9067"/>
        <w:gridCol w:w="750"/>
      </w:tblGrid>
      <w:tr w:rsidR="00D01FB6" w:rsidRPr="009D6C3E" w:rsidTr="006D548C">
        <w:tc>
          <w:tcPr>
            <w:tcW w:w="9067" w:type="dxa"/>
            <w:tcBorders>
              <w:top w:val="nil"/>
              <w:left w:val="nil"/>
              <w:bottom w:val="nil"/>
              <w:right w:val="nil"/>
            </w:tcBorders>
          </w:tcPr>
          <w:p w:rsidR="00D01FB6" w:rsidRPr="009D6C3E" w:rsidRDefault="00D01FB6" w:rsidP="00015DBB">
            <w:pPr>
              <w:rPr>
                <w:rFonts w:ascii="Times New Roman" w:hAnsi="Times New Roman" w:cs="Times New Roman"/>
                <w:sz w:val="24"/>
                <w:szCs w:val="24"/>
              </w:rPr>
            </w:pPr>
            <w:r w:rsidRPr="009D6C3E">
              <w:rPr>
                <w:rFonts w:ascii="Times New Roman" w:hAnsi="Times New Roman" w:cs="Times New Roman"/>
                <w:sz w:val="24"/>
                <w:szCs w:val="24"/>
              </w:rPr>
              <w:lastRenderedPageBreak/>
              <w:t>NỘI DUNG</w:t>
            </w:r>
          </w:p>
        </w:tc>
        <w:tc>
          <w:tcPr>
            <w:tcW w:w="750" w:type="dxa"/>
            <w:tcBorders>
              <w:top w:val="nil"/>
              <w:left w:val="nil"/>
              <w:bottom w:val="nil"/>
              <w:right w:val="nil"/>
            </w:tcBorders>
          </w:tcPr>
          <w:p w:rsidR="00D01FB6" w:rsidRPr="009D6C3E" w:rsidRDefault="00D01FB6" w:rsidP="00015DBB">
            <w:pPr>
              <w:rPr>
                <w:rFonts w:ascii="Times New Roman" w:hAnsi="Times New Roman" w:cs="Times New Roman"/>
                <w:sz w:val="24"/>
                <w:szCs w:val="24"/>
              </w:rPr>
            </w:pPr>
          </w:p>
        </w:tc>
      </w:tr>
      <w:tr w:rsidR="00D01FB6" w:rsidRPr="009D6C3E" w:rsidTr="006D548C">
        <w:tc>
          <w:tcPr>
            <w:tcW w:w="9817" w:type="dxa"/>
            <w:gridSpan w:val="2"/>
            <w:tcBorders>
              <w:top w:val="nil"/>
              <w:left w:val="nil"/>
              <w:bottom w:val="nil"/>
              <w:right w:val="nil"/>
            </w:tcBorders>
          </w:tcPr>
          <w:p w:rsidR="00D01FB6" w:rsidRPr="009D6C3E" w:rsidRDefault="00D01FB6" w:rsidP="00015DBB">
            <w:pPr>
              <w:jc w:val="right"/>
              <w:rPr>
                <w:rFonts w:ascii="Arial" w:hAnsi="Arial" w:cs="Arial"/>
                <w:i/>
                <w:sz w:val="24"/>
                <w:szCs w:val="24"/>
              </w:rPr>
            </w:pPr>
            <w:r w:rsidRPr="009D6C3E">
              <w:rPr>
                <w:rFonts w:ascii="Arial" w:hAnsi="Arial" w:cs="Arial"/>
                <w:i/>
                <w:sz w:val="24"/>
                <w:szCs w:val="24"/>
              </w:rPr>
              <w:t>Từ đoạn</w:t>
            </w:r>
          </w:p>
        </w:tc>
      </w:tr>
      <w:tr w:rsidR="00D01FB6" w:rsidRPr="009D6C3E" w:rsidTr="006D548C">
        <w:tc>
          <w:tcPr>
            <w:tcW w:w="9067" w:type="dxa"/>
            <w:tcBorders>
              <w:top w:val="nil"/>
              <w:left w:val="nil"/>
              <w:bottom w:val="nil"/>
              <w:right w:val="nil"/>
            </w:tcBorders>
          </w:tcPr>
          <w:p w:rsidR="00D01FB6" w:rsidRPr="009D6C3E" w:rsidRDefault="00D01FB6" w:rsidP="00015DBB">
            <w:pPr>
              <w:rPr>
                <w:rFonts w:ascii="Arial" w:hAnsi="Arial" w:cs="Arial"/>
                <w:b/>
                <w:szCs w:val="24"/>
              </w:rPr>
            </w:pPr>
          </w:p>
        </w:tc>
        <w:tc>
          <w:tcPr>
            <w:tcW w:w="750" w:type="dxa"/>
            <w:tcBorders>
              <w:top w:val="nil"/>
              <w:left w:val="nil"/>
              <w:bottom w:val="nil"/>
              <w:right w:val="nil"/>
            </w:tcBorders>
          </w:tcPr>
          <w:p w:rsidR="00D01FB6" w:rsidRPr="009D6C3E" w:rsidRDefault="00D01FB6" w:rsidP="00015DBB">
            <w:pPr>
              <w:jc w:val="right"/>
              <w:rPr>
                <w:rFonts w:ascii="Arial" w:hAnsi="Arial" w:cs="Arial"/>
                <w:b/>
                <w:szCs w:val="24"/>
              </w:rPr>
            </w:pPr>
          </w:p>
        </w:tc>
      </w:tr>
      <w:tr w:rsidR="00D01FB6" w:rsidRPr="009D6C3E" w:rsidTr="006D548C">
        <w:tc>
          <w:tcPr>
            <w:tcW w:w="9067" w:type="dxa"/>
            <w:tcBorders>
              <w:top w:val="nil"/>
              <w:left w:val="nil"/>
              <w:bottom w:val="nil"/>
              <w:right w:val="nil"/>
            </w:tcBorders>
          </w:tcPr>
          <w:p w:rsidR="00D01FB6" w:rsidRPr="009D6C3E" w:rsidRDefault="00EA2CCB" w:rsidP="00D01FB6">
            <w:pPr>
              <w:spacing w:before="120" w:after="120"/>
              <w:rPr>
                <w:rFonts w:ascii="Arial" w:hAnsi="Arial" w:cs="Arial"/>
                <w:b/>
                <w:szCs w:val="24"/>
              </w:rPr>
            </w:pPr>
            <w:r w:rsidRPr="009D6C3E">
              <w:rPr>
                <w:rFonts w:ascii="Arial" w:hAnsi="Arial" w:cs="Arial"/>
                <w:b/>
                <w:szCs w:val="24"/>
              </w:rPr>
              <w:t>DIỄN GIẢI</w:t>
            </w:r>
            <w:r w:rsidR="00D01FB6" w:rsidRPr="009D6C3E">
              <w:rPr>
                <w:rFonts w:ascii="Arial" w:hAnsi="Arial" w:cs="Arial"/>
                <w:b/>
                <w:szCs w:val="24"/>
              </w:rPr>
              <w:t xml:space="preserve"> IFRS 22</w:t>
            </w:r>
          </w:p>
          <w:p w:rsidR="00D01FB6" w:rsidRPr="009D6C3E" w:rsidRDefault="00D01FB6" w:rsidP="00D01FB6">
            <w:pPr>
              <w:spacing w:before="120" w:after="120"/>
              <w:rPr>
                <w:rFonts w:ascii="Arial" w:hAnsi="Arial" w:cs="Arial"/>
                <w:b/>
                <w:szCs w:val="24"/>
              </w:rPr>
            </w:pPr>
            <w:r w:rsidRPr="009D6C3E">
              <w:rPr>
                <w:rFonts w:ascii="Arial" w:hAnsi="Arial" w:cs="Arial"/>
                <w:b/>
                <w:szCs w:val="24"/>
              </w:rPr>
              <w:t>GIAO DỊCH</w:t>
            </w:r>
            <w:r w:rsidR="004536E0" w:rsidRPr="009D6C3E">
              <w:rPr>
                <w:rFonts w:ascii="Arial" w:hAnsi="Arial" w:cs="Arial"/>
                <w:b/>
                <w:szCs w:val="24"/>
              </w:rPr>
              <w:t xml:space="preserve"> BẰNG</w:t>
            </w:r>
            <w:r w:rsidRPr="009D6C3E">
              <w:rPr>
                <w:rFonts w:ascii="Arial" w:hAnsi="Arial" w:cs="Arial"/>
                <w:b/>
                <w:szCs w:val="24"/>
              </w:rPr>
              <w:t xml:space="preserve"> NGOẠI TỆ VÀ </w:t>
            </w:r>
            <w:r w:rsidR="009E5ACC" w:rsidRPr="009D6C3E">
              <w:rPr>
                <w:rFonts w:ascii="Arial" w:hAnsi="Arial" w:cs="Arial"/>
                <w:b/>
                <w:szCs w:val="24"/>
              </w:rPr>
              <w:t xml:space="preserve">CÁC KHOẢN </w:t>
            </w:r>
            <w:r w:rsidR="006065A8" w:rsidRPr="009D6C3E">
              <w:rPr>
                <w:rFonts w:ascii="Arial" w:hAnsi="Arial" w:cs="Arial"/>
                <w:b/>
                <w:szCs w:val="24"/>
              </w:rPr>
              <w:t>THANH TOÁN</w:t>
            </w:r>
            <w:r w:rsidR="009E5ACC" w:rsidRPr="009D6C3E">
              <w:rPr>
                <w:rFonts w:ascii="Arial" w:hAnsi="Arial" w:cs="Arial"/>
                <w:b/>
                <w:szCs w:val="24"/>
              </w:rPr>
              <w:t xml:space="preserve"> TRƯỚC</w:t>
            </w:r>
          </w:p>
        </w:tc>
        <w:tc>
          <w:tcPr>
            <w:tcW w:w="750" w:type="dxa"/>
            <w:tcBorders>
              <w:top w:val="nil"/>
              <w:left w:val="nil"/>
              <w:bottom w:val="nil"/>
              <w:right w:val="nil"/>
            </w:tcBorders>
          </w:tcPr>
          <w:p w:rsidR="00D01FB6" w:rsidRPr="009D6C3E" w:rsidRDefault="00D01FB6" w:rsidP="00015DBB">
            <w:pPr>
              <w:jc w:val="right"/>
              <w:rPr>
                <w:rFonts w:ascii="Arial" w:hAnsi="Arial" w:cs="Arial"/>
                <w:b/>
                <w:szCs w:val="24"/>
              </w:rPr>
            </w:pPr>
          </w:p>
        </w:tc>
      </w:tr>
      <w:tr w:rsidR="00D01FB6" w:rsidRPr="009D6C3E" w:rsidTr="006D548C">
        <w:tc>
          <w:tcPr>
            <w:tcW w:w="9067" w:type="dxa"/>
            <w:tcBorders>
              <w:top w:val="nil"/>
              <w:left w:val="nil"/>
              <w:bottom w:val="nil"/>
              <w:right w:val="nil"/>
            </w:tcBorders>
          </w:tcPr>
          <w:p w:rsidR="00D01FB6" w:rsidRPr="009D6C3E" w:rsidRDefault="00D01FB6" w:rsidP="00D01FB6">
            <w:pPr>
              <w:spacing w:before="120" w:after="120"/>
              <w:rPr>
                <w:rFonts w:ascii="Arial" w:hAnsi="Arial" w:cs="Arial"/>
                <w:b/>
                <w:szCs w:val="24"/>
              </w:rPr>
            </w:pPr>
            <w:r w:rsidRPr="009D6C3E">
              <w:rPr>
                <w:rFonts w:ascii="Arial" w:hAnsi="Arial" w:cs="Arial"/>
                <w:b/>
                <w:szCs w:val="24"/>
              </w:rPr>
              <w:t>THAM CHIẾU</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r w:rsidRPr="009D6C3E">
              <w:rPr>
                <w:rFonts w:ascii="Arial" w:hAnsi="Arial" w:cs="Arial"/>
                <w:b/>
                <w:szCs w:val="24"/>
              </w:rPr>
              <w:t>1</w:t>
            </w:r>
          </w:p>
        </w:tc>
      </w:tr>
      <w:tr w:rsidR="00D01FB6" w:rsidRPr="009D6C3E" w:rsidTr="006D548C">
        <w:tc>
          <w:tcPr>
            <w:tcW w:w="9067" w:type="dxa"/>
            <w:tcBorders>
              <w:top w:val="nil"/>
              <w:left w:val="nil"/>
              <w:bottom w:val="nil"/>
              <w:right w:val="nil"/>
            </w:tcBorders>
          </w:tcPr>
          <w:p w:rsidR="00D01FB6" w:rsidRPr="009D6C3E" w:rsidRDefault="00D01FB6" w:rsidP="00D01FB6">
            <w:pPr>
              <w:spacing w:before="120" w:after="120"/>
              <w:rPr>
                <w:rFonts w:ascii="Arial" w:hAnsi="Arial" w:cs="Arial"/>
                <w:b/>
                <w:szCs w:val="24"/>
              </w:rPr>
            </w:pPr>
            <w:r w:rsidRPr="009D6C3E">
              <w:rPr>
                <w:rFonts w:ascii="Arial" w:hAnsi="Arial" w:cs="Arial"/>
                <w:b/>
                <w:szCs w:val="24"/>
              </w:rPr>
              <w:t>CƠ SỞ NỀN TẢNG</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r w:rsidRPr="009D6C3E">
              <w:rPr>
                <w:rFonts w:ascii="Arial" w:hAnsi="Arial" w:cs="Arial"/>
                <w:b/>
                <w:szCs w:val="24"/>
              </w:rPr>
              <w:t>4</w:t>
            </w:r>
          </w:p>
        </w:tc>
      </w:tr>
      <w:tr w:rsidR="00D01FB6" w:rsidRPr="009D6C3E" w:rsidTr="006D548C">
        <w:tc>
          <w:tcPr>
            <w:tcW w:w="9067" w:type="dxa"/>
            <w:tcBorders>
              <w:top w:val="nil"/>
              <w:left w:val="nil"/>
              <w:bottom w:val="nil"/>
              <w:right w:val="nil"/>
            </w:tcBorders>
          </w:tcPr>
          <w:p w:rsidR="00D01FB6" w:rsidRPr="009D6C3E" w:rsidRDefault="00D01FB6" w:rsidP="00D01FB6">
            <w:pPr>
              <w:spacing w:before="120" w:after="120"/>
              <w:rPr>
                <w:rFonts w:ascii="Arial" w:hAnsi="Arial" w:cs="Arial"/>
                <w:b/>
                <w:szCs w:val="24"/>
              </w:rPr>
            </w:pPr>
            <w:r w:rsidRPr="009D6C3E">
              <w:rPr>
                <w:rFonts w:ascii="Arial" w:hAnsi="Arial" w:cs="Arial"/>
                <w:b/>
                <w:szCs w:val="24"/>
              </w:rPr>
              <w:t>PHẠM VI</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r w:rsidRPr="009D6C3E">
              <w:rPr>
                <w:rFonts w:ascii="Arial" w:hAnsi="Arial" w:cs="Arial"/>
                <w:b/>
                <w:szCs w:val="24"/>
              </w:rPr>
              <w:t>7</w:t>
            </w:r>
          </w:p>
        </w:tc>
      </w:tr>
      <w:tr w:rsidR="00D01FB6" w:rsidRPr="009D6C3E" w:rsidTr="006D548C">
        <w:tc>
          <w:tcPr>
            <w:tcW w:w="9067" w:type="dxa"/>
            <w:tcBorders>
              <w:top w:val="nil"/>
              <w:left w:val="nil"/>
              <w:bottom w:val="nil"/>
              <w:right w:val="nil"/>
            </w:tcBorders>
          </w:tcPr>
          <w:p w:rsidR="00D01FB6" w:rsidRPr="009D6C3E" w:rsidRDefault="00D01FB6" w:rsidP="00D01FB6">
            <w:pPr>
              <w:spacing w:before="120" w:after="120"/>
              <w:rPr>
                <w:rFonts w:ascii="Arial" w:hAnsi="Arial" w:cs="Arial"/>
                <w:b/>
                <w:szCs w:val="24"/>
              </w:rPr>
            </w:pPr>
            <w:r w:rsidRPr="009D6C3E">
              <w:rPr>
                <w:rFonts w:ascii="Arial" w:hAnsi="Arial" w:cs="Arial"/>
                <w:b/>
                <w:szCs w:val="24"/>
              </w:rPr>
              <w:t>SỰ ĐỒNG THUẬN</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r w:rsidRPr="009D6C3E">
              <w:rPr>
                <w:rFonts w:ascii="Arial" w:hAnsi="Arial" w:cs="Arial"/>
                <w:b/>
                <w:szCs w:val="24"/>
              </w:rPr>
              <w:t>8</w:t>
            </w:r>
          </w:p>
        </w:tc>
      </w:tr>
      <w:tr w:rsidR="00D01FB6" w:rsidRPr="009D6C3E" w:rsidTr="006D548C">
        <w:tc>
          <w:tcPr>
            <w:tcW w:w="9067" w:type="dxa"/>
            <w:tcBorders>
              <w:top w:val="nil"/>
              <w:left w:val="nil"/>
              <w:bottom w:val="nil"/>
              <w:right w:val="nil"/>
            </w:tcBorders>
          </w:tcPr>
          <w:p w:rsidR="00D01FB6" w:rsidRPr="009D6C3E" w:rsidRDefault="00D01FB6" w:rsidP="00D01FB6">
            <w:pPr>
              <w:spacing w:before="120" w:after="120"/>
              <w:rPr>
                <w:rFonts w:ascii="Arial" w:hAnsi="Arial" w:cs="Arial"/>
                <w:b/>
                <w:szCs w:val="24"/>
              </w:rPr>
            </w:pPr>
            <w:r w:rsidRPr="009D6C3E">
              <w:rPr>
                <w:rFonts w:ascii="Arial" w:hAnsi="Arial" w:cs="Arial"/>
                <w:b/>
                <w:szCs w:val="24"/>
              </w:rPr>
              <w:t>PHỤ LỤC A</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p>
        </w:tc>
      </w:tr>
      <w:tr w:rsidR="00D01FB6" w:rsidRPr="009D6C3E" w:rsidTr="006D548C">
        <w:tc>
          <w:tcPr>
            <w:tcW w:w="9067" w:type="dxa"/>
            <w:tcBorders>
              <w:top w:val="nil"/>
              <w:left w:val="nil"/>
              <w:bottom w:val="nil"/>
              <w:right w:val="nil"/>
            </w:tcBorders>
          </w:tcPr>
          <w:p w:rsidR="00D01FB6" w:rsidRPr="009D6C3E" w:rsidRDefault="00D01FB6" w:rsidP="00D01FB6">
            <w:pPr>
              <w:spacing w:before="120" w:after="120"/>
              <w:rPr>
                <w:rFonts w:ascii="Arial" w:hAnsi="Arial" w:cs="Arial"/>
                <w:b/>
                <w:szCs w:val="24"/>
              </w:rPr>
            </w:pPr>
            <w:r w:rsidRPr="009D6C3E">
              <w:rPr>
                <w:rFonts w:ascii="Arial" w:hAnsi="Arial" w:cs="Arial"/>
                <w:b/>
                <w:szCs w:val="24"/>
              </w:rPr>
              <w:t>Ngày hiệu lực và chuyển tiếp</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p>
        </w:tc>
      </w:tr>
      <w:tr w:rsidR="00D01FB6" w:rsidRPr="009D6C3E" w:rsidTr="006D548C">
        <w:tc>
          <w:tcPr>
            <w:tcW w:w="9067" w:type="dxa"/>
            <w:tcBorders>
              <w:top w:val="nil"/>
              <w:left w:val="nil"/>
              <w:bottom w:val="nil"/>
              <w:right w:val="nil"/>
            </w:tcBorders>
          </w:tcPr>
          <w:p w:rsidR="00D01FB6" w:rsidRPr="009D6C3E" w:rsidRDefault="00D01FB6" w:rsidP="00D01FB6">
            <w:pPr>
              <w:spacing w:before="120" w:after="120"/>
              <w:rPr>
                <w:rFonts w:ascii="Arial" w:hAnsi="Arial" w:cs="Arial"/>
                <w:b/>
                <w:szCs w:val="24"/>
              </w:rPr>
            </w:pPr>
            <w:r w:rsidRPr="009D6C3E">
              <w:rPr>
                <w:rFonts w:ascii="Arial" w:hAnsi="Arial" w:cs="Arial"/>
                <w:b/>
                <w:szCs w:val="24"/>
              </w:rPr>
              <w:t>PHỤ LỤC B</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p>
        </w:tc>
      </w:tr>
      <w:tr w:rsidR="00D01FB6" w:rsidRPr="009D6C3E" w:rsidTr="006D548C">
        <w:tc>
          <w:tcPr>
            <w:tcW w:w="9067" w:type="dxa"/>
            <w:tcBorders>
              <w:top w:val="nil"/>
              <w:left w:val="nil"/>
              <w:bottom w:val="single" w:sz="4" w:space="0" w:color="auto"/>
              <w:right w:val="nil"/>
            </w:tcBorders>
          </w:tcPr>
          <w:p w:rsidR="00D01FB6" w:rsidRPr="009D6C3E" w:rsidRDefault="00D01FB6" w:rsidP="00D01FB6">
            <w:pPr>
              <w:spacing w:before="120" w:after="120"/>
              <w:rPr>
                <w:rFonts w:ascii="Arial" w:hAnsi="Arial" w:cs="Arial"/>
                <w:b/>
                <w:szCs w:val="24"/>
              </w:rPr>
            </w:pPr>
            <w:r w:rsidRPr="009D6C3E">
              <w:rPr>
                <w:rFonts w:ascii="Arial" w:hAnsi="Arial" w:cs="Arial"/>
                <w:b/>
                <w:szCs w:val="24"/>
              </w:rPr>
              <w:t xml:space="preserve">Sửa đổi IFRS 1 </w:t>
            </w:r>
            <w:r w:rsidRPr="009D6C3E">
              <w:rPr>
                <w:rFonts w:ascii="Arial" w:hAnsi="Arial" w:cs="Arial"/>
                <w:b/>
                <w:i/>
                <w:szCs w:val="24"/>
              </w:rPr>
              <w:t>Báo cáo tài chính lần đầu tiên áp dụng IFRS</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p>
        </w:tc>
      </w:tr>
      <w:tr w:rsidR="00D01FB6" w:rsidRPr="009D6C3E" w:rsidTr="006D548C">
        <w:tc>
          <w:tcPr>
            <w:tcW w:w="9067" w:type="dxa"/>
            <w:tcBorders>
              <w:top w:val="single" w:sz="4" w:space="0" w:color="auto"/>
              <w:left w:val="single" w:sz="4" w:space="0" w:color="auto"/>
              <w:bottom w:val="single" w:sz="4" w:space="0" w:color="auto"/>
              <w:right w:val="single" w:sz="4" w:space="0" w:color="auto"/>
            </w:tcBorders>
          </w:tcPr>
          <w:p w:rsidR="00D01FB6" w:rsidRPr="009D6C3E" w:rsidRDefault="006D548C" w:rsidP="006D548C">
            <w:pPr>
              <w:spacing w:before="120" w:after="120"/>
              <w:rPr>
                <w:rFonts w:ascii="Arial" w:hAnsi="Arial" w:cs="Arial"/>
                <w:b/>
                <w:color w:val="7F7F7F" w:themeColor="text1" w:themeTint="80"/>
                <w:sz w:val="20"/>
                <w:szCs w:val="24"/>
              </w:rPr>
            </w:pPr>
            <w:r w:rsidRPr="009D6C3E">
              <w:rPr>
                <w:rFonts w:ascii="Arial" w:hAnsi="Arial" w:cs="Arial"/>
                <w:b/>
                <w:color w:val="7F7F7F" w:themeColor="text1" w:themeTint="80"/>
                <w:sz w:val="20"/>
                <w:szCs w:val="24"/>
              </w:rPr>
              <w:t xml:space="preserve">ĐỐI VỚI NHỮNG </w:t>
            </w:r>
            <w:r w:rsidR="00EA2CCB" w:rsidRPr="009D6C3E">
              <w:rPr>
                <w:rFonts w:ascii="Arial" w:hAnsi="Arial" w:cs="Arial"/>
                <w:b/>
                <w:color w:val="7F7F7F" w:themeColor="text1" w:themeTint="80"/>
                <w:sz w:val="20"/>
                <w:szCs w:val="24"/>
              </w:rPr>
              <w:t>DIỄN GIẢI</w:t>
            </w:r>
            <w:r w:rsidRPr="009D6C3E">
              <w:rPr>
                <w:rFonts w:ascii="Arial" w:hAnsi="Arial" w:cs="Arial"/>
                <w:b/>
                <w:color w:val="7F7F7F" w:themeColor="text1" w:themeTint="80"/>
                <w:sz w:val="20"/>
                <w:szCs w:val="24"/>
              </w:rPr>
              <w:t xml:space="preserve"> KÈM THEO DƯỚI ĐÂY, XEM PHẦN B CỦA PHIÊN BẢN NÀY</w:t>
            </w:r>
          </w:p>
        </w:tc>
        <w:tc>
          <w:tcPr>
            <w:tcW w:w="750" w:type="dxa"/>
            <w:tcBorders>
              <w:top w:val="nil"/>
              <w:left w:val="single" w:sz="4" w:space="0" w:color="auto"/>
              <w:bottom w:val="nil"/>
              <w:right w:val="nil"/>
            </w:tcBorders>
          </w:tcPr>
          <w:p w:rsidR="00D01FB6" w:rsidRPr="009D6C3E" w:rsidRDefault="00D01FB6" w:rsidP="00015DBB">
            <w:pPr>
              <w:spacing w:before="120"/>
              <w:jc w:val="right"/>
              <w:rPr>
                <w:rFonts w:ascii="Arial" w:hAnsi="Arial" w:cs="Arial"/>
                <w:b/>
                <w:szCs w:val="24"/>
              </w:rPr>
            </w:pPr>
          </w:p>
        </w:tc>
      </w:tr>
      <w:tr w:rsidR="00D01FB6" w:rsidRPr="009D6C3E" w:rsidTr="006D548C">
        <w:tc>
          <w:tcPr>
            <w:tcW w:w="9067" w:type="dxa"/>
            <w:tcBorders>
              <w:top w:val="single" w:sz="4" w:space="0" w:color="auto"/>
              <w:left w:val="nil"/>
              <w:bottom w:val="single" w:sz="4" w:space="0" w:color="auto"/>
              <w:right w:val="nil"/>
            </w:tcBorders>
          </w:tcPr>
          <w:p w:rsidR="00D01FB6" w:rsidRPr="009D6C3E" w:rsidRDefault="006D548C" w:rsidP="00D01FB6">
            <w:pPr>
              <w:spacing w:before="120" w:after="120"/>
              <w:rPr>
                <w:rFonts w:ascii="Arial" w:hAnsi="Arial" w:cs="Arial"/>
                <w:b/>
                <w:color w:val="7F7F7F" w:themeColor="text1" w:themeTint="80"/>
                <w:sz w:val="20"/>
                <w:szCs w:val="24"/>
              </w:rPr>
            </w:pPr>
            <w:r w:rsidRPr="009D6C3E">
              <w:rPr>
                <w:rFonts w:ascii="Arial" w:hAnsi="Arial" w:cs="Arial"/>
                <w:b/>
                <w:color w:val="7F7F7F" w:themeColor="text1" w:themeTint="80"/>
                <w:sz w:val="20"/>
                <w:szCs w:val="24"/>
              </w:rPr>
              <w:t>VÍ DỤ MINH HỌA</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p>
        </w:tc>
      </w:tr>
      <w:tr w:rsidR="00D01FB6" w:rsidRPr="009D6C3E" w:rsidTr="006D548C">
        <w:tc>
          <w:tcPr>
            <w:tcW w:w="9067" w:type="dxa"/>
            <w:tcBorders>
              <w:top w:val="single" w:sz="4" w:space="0" w:color="auto"/>
              <w:left w:val="single" w:sz="4" w:space="0" w:color="auto"/>
              <w:bottom w:val="single" w:sz="4" w:space="0" w:color="auto"/>
              <w:right w:val="single" w:sz="4" w:space="0" w:color="auto"/>
            </w:tcBorders>
          </w:tcPr>
          <w:p w:rsidR="00D01FB6" w:rsidRPr="009D6C3E" w:rsidRDefault="006D548C" w:rsidP="00D01FB6">
            <w:pPr>
              <w:spacing w:before="120" w:after="120"/>
              <w:rPr>
                <w:rFonts w:ascii="Arial" w:hAnsi="Arial" w:cs="Arial"/>
                <w:b/>
                <w:sz w:val="20"/>
                <w:szCs w:val="24"/>
              </w:rPr>
            </w:pPr>
            <w:r w:rsidRPr="009D6C3E">
              <w:rPr>
                <w:rFonts w:ascii="Arial" w:hAnsi="Arial" w:cs="Arial"/>
                <w:b/>
                <w:color w:val="7F7F7F" w:themeColor="text1" w:themeTint="80"/>
                <w:sz w:val="20"/>
                <w:szCs w:val="24"/>
              </w:rPr>
              <w:t>ĐỐI VỚI CƠ SỞ KẾT LUẬN, XEM PHẦN C CỦA PHIÊN BẢN NÀY</w:t>
            </w:r>
          </w:p>
        </w:tc>
        <w:tc>
          <w:tcPr>
            <w:tcW w:w="750" w:type="dxa"/>
            <w:tcBorders>
              <w:top w:val="nil"/>
              <w:left w:val="single" w:sz="4" w:space="0" w:color="auto"/>
              <w:bottom w:val="nil"/>
              <w:right w:val="nil"/>
            </w:tcBorders>
          </w:tcPr>
          <w:p w:rsidR="00D01FB6" w:rsidRPr="009D6C3E" w:rsidRDefault="00D01FB6" w:rsidP="00015DBB">
            <w:pPr>
              <w:spacing w:before="120"/>
              <w:jc w:val="right"/>
              <w:rPr>
                <w:rFonts w:ascii="Arial" w:hAnsi="Arial" w:cs="Arial"/>
                <w:b/>
                <w:szCs w:val="24"/>
              </w:rPr>
            </w:pPr>
          </w:p>
        </w:tc>
      </w:tr>
      <w:tr w:rsidR="00D01FB6" w:rsidRPr="009D6C3E" w:rsidTr="006D548C">
        <w:tc>
          <w:tcPr>
            <w:tcW w:w="9067" w:type="dxa"/>
            <w:tcBorders>
              <w:top w:val="single" w:sz="4" w:space="0" w:color="auto"/>
              <w:left w:val="nil"/>
              <w:bottom w:val="nil"/>
              <w:right w:val="nil"/>
            </w:tcBorders>
          </w:tcPr>
          <w:p w:rsidR="00D01FB6" w:rsidRPr="009D6C3E" w:rsidRDefault="006D548C" w:rsidP="00015DBB">
            <w:pPr>
              <w:spacing w:before="120"/>
              <w:rPr>
                <w:rFonts w:ascii="Arial" w:hAnsi="Arial" w:cs="Arial"/>
                <w:b/>
                <w:sz w:val="20"/>
                <w:szCs w:val="24"/>
              </w:rPr>
            </w:pPr>
            <w:r w:rsidRPr="009D6C3E">
              <w:rPr>
                <w:rFonts w:ascii="Arial" w:hAnsi="Arial" w:cs="Arial"/>
                <w:b/>
                <w:color w:val="7F7F7F" w:themeColor="text1" w:themeTint="80"/>
                <w:sz w:val="20"/>
                <w:szCs w:val="24"/>
              </w:rPr>
              <w:t>CƠ SỞ KẾT LUẬN</w:t>
            </w:r>
          </w:p>
        </w:tc>
        <w:tc>
          <w:tcPr>
            <w:tcW w:w="750" w:type="dxa"/>
            <w:tcBorders>
              <w:top w:val="nil"/>
              <w:left w:val="nil"/>
              <w:bottom w:val="nil"/>
              <w:right w:val="nil"/>
            </w:tcBorders>
          </w:tcPr>
          <w:p w:rsidR="00D01FB6" w:rsidRPr="009D6C3E" w:rsidRDefault="00D01FB6" w:rsidP="00015DBB">
            <w:pPr>
              <w:spacing w:before="120"/>
              <w:jc w:val="right"/>
              <w:rPr>
                <w:rFonts w:ascii="Arial" w:hAnsi="Arial" w:cs="Arial"/>
                <w:b/>
                <w:szCs w:val="24"/>
              </w:rPr>
            </w:pPr>
          </w:p>
        </w:tc>
      </w:tr>
    </w:tbl>
    <w:p w:rsidR="006D548C" w:rsidRPr="009D6C3E" w:rsidRDefault="006D548C" w:rsidP="009E3104">
      <w:pPr>
        <w:jc w:val="both"/>
        <w:rPr>
          <w:rFonts w:ascii="Times New Roman" w:hAnsi="Times New Roman" w:cs="Times New Roman"/>
          <w:sz w:val="24"/>
        </w:rPr>
      </w:pPr>
    </w:p>
    <w:p w:rsidR="006D548C" w:rsidRPr="009D6C3E" w:rsidRDefault="006D548C">
      <w:pPr>
        <w:rPr>
          <w:rFonts w:ascii="Times New Roman" w:hAnsi="Times New Roman" w:cs="Times New Roman"/>
          <w:sz w:val="24"/>
        </w:rPr>
      </w:pPr>
      <w:r w:rsidRPr="009D6C3E">
        <w:rPr>
          <w:rFonts w:ascii="Times New Roman" w:hAnsi="Times New Roman" w:cs="Times New Roman"/>
          <w:sz w:val="24"/>
        </w:rPr>
        <w:br w:type="page"/>
      </w:r>
    </w:p>
    <w:tbl>
      <w:tblPr>
        <w:tblStyle w:val="TableGrid"/>
        <w:tblW w:w="0" w:type="auto"/>
        <w:tblLook w:val="04A0"/>
      </w:tblPr>
      <w:tblGrid>
        <w:gridCol w:w="9016"/>
      </w:tblGrid>
      <w:tr w:rsidR="006D548C" w:rsidRPr="009D6C3E" w:rsidTr="006D548C">
        <w:tc>
          <w:tcPr>
            <w:tcW w:w="9016" w:type="dxa"/>
          </w:tcPr>
          <w:p w:rsidR="006D548C" w:rsidRPr="009D6C3E" w:rsidRDefault="00EA2CCB" w:rsidP="009E5ACC">
            <w:pPr>
              <w:jc w:val="both"/>
              <w:rPr>
                <w:rFonts w:ascii="Times New Roman" w:hAnsi="Times New Roman" w:cs="Times New Roman"/>
                <w:sz w:val="24"/>
              </w:rPr>
            </w:pPr>
            <w:r w:rsidRPr="009D6C3E">
              <w:rPr>
                <w:rFonts w:ascii="Times New Roman" w:hAnsi="Times New Roman" w:cs="Times New Roman"/>
                <w:sz w:val="24"/>
              </w:rPr>
              <w:lastRenderedPageBreak/>
              <w:t>Diễn giải</w:t>
            </w:r>
            <w:r w:rsidR="006D548C" w:rsidRPr="009D6C3E">
              <w:rPr>
                <w:rFonts w:ascii="Times New Roman" w:hAnsi="Times New Roman" w:cs="Times New Roman"/>
                <w:sz w:val="24"/>
              </w:rPr>
              <w:t xml:space="preserve"> IFRIC 22 </w:t>
            </w:r>
            <w:r w:rsidR="006D548C" w:rsidRPr="009D6C3E">
              <w:rPr>
                <w:rFonts w:ascii="Times New Roman" w:hAnsi="Times New Roman" w:cs="Times New Roman"/>
                <w:i/>
                <w:sz w:val="24"/>
              </w:rPr>
              <w:t>Giao dịch</w:t>
            </w:r>
            <w:r w:rsidR="004536E0" w:rsidRPr="009D6C3E">
              <w:rPr>
                <w:rFonts w:ascii="Times New Roman" w:hAnsi="Times New Roman" w:cs="Times New Roman"/>
                <w:i/>
                <w:sz w:val="24"/>
              </w:rPr>
              <w:t xml:space="preserve"> bằng</w:t>
            </w:r>
            <w:r w:rsidR="006D548C" w:rsidRPr="009D6C3E">
              <w:rPr>
                <w:rFonts w:ascii="Times New Roman" w:hAnsi="Times New Roman" w:cs="Times New Roman"/>
                <w:i/>
                <w:sz w:val="24"/>
              </w:rPr>
              <w:t xml:space="preserve"> ngoại tệ và </w:t>
            </w:r>
            <w:r w:rsidR="009E5ACC" w:rsidRPr="009D6C3E">
              <w:rPr>
                <w:rFonts w:ascii="Times New Roman" w:hAnsi="Times New Roman" w:cs="Times New Roman"/>
                <w:i/>
                <w:sz w:val="24"/>
              </w:rPr>
              <w:t xml:space="preserve">các khoản </w:t>
            </w:r>
            <w:r w:rsidR="006065A8" w:rsidRPr="009D6C3E">
              <w:rPr>
                <w:rFonts w:ascii="Times New Roman" w:hAnsi="Times New Roman" w:cs="Times New Roman"/>
                <w:i/>
                <w:sz w:val="24"/>
              </w:rPr>
              <w:t>thanh toán</w:t>
            </w:r>
            <w:r w:rsidR="009E5ACC" w:rsidRPr="009D6C3E">
              <w:rPr>
                <w:rFonts w:ascii="Times New Roman" w:hAnsi="Times New Roman" w:cs="Times New Roman"/>
                <w:i/>
                <w:sz w:val="24"/>
              </w:rPr>
              <w:t xml:space="preserve"> trước</w:t>
            </w:r>
            <w:r w:rsidR="006D548C" w:rsidRPr="009D6C3E">
              <w:rPr>
                <w:rFonts w:ascii="Times New Roman" w:hAnsi="Times New Roman" w:cs="Times New Roman"/>
                <w:i/>
                <w:sz w:val="24"/>
              </w:rPr>
              <w:t xml:space="preserve"> </w:t>
            </w:r>
            <w:r w:rsidR="006D548C" w:rsidRPr="009D6C3E">
              <w:rPr>
                <w:rFonts w:ascii="Times New Roman" w:hAnsi="Times New Roman" w:cs="Times New Roman"/>
                <w:sz w:val="24"/>
              </w:rPr>
              <w:t xml:space="preserve">(IFRIC 22) được nêu trong đoạn 1-9 và Phụ lục A và B. IFRIC 22 được kết hợp với Các </w:t>
            </w:r>
            <w:r w:rsidRPr="009D6C3E">
              <w:rPr>
                <w:rFonts w:ascii="Times New Roman" w:hAnsi="Times New Roman" w:cs="Times New Roman"/>
                <w:sz w:val="24"/>
              </w:rPr>
              <w:t>Diễn giải</w:t>
            </w:r>
            <w:r w:rsidR="006D548C" w:rsidRPr="009D6C3E">
              <w:rPr>
                <w:rFonts w:ascii="Times New Roman" w:hAnsi="Times New Roman" w:cs="Times New Roman"/>
                <w:sz w:val="24"/>
              </w:rPr>
              <w:t xml:space="preserve"> minh họa và Cơ sở kết luận. Phạm vi và thẩm quyền của Các </w:t>
            </w:r>
            <w:r w:rsidRPr="009D6C3E">
              <w:rPr>
                <w:rFonts w:ascii="Times New Roman" w:hAnsi="Times New Roman" w:cs="Times New Roman"/>
                <w:sz w:val="24"/>
              </w:rPr>
              <w:t>Diễn giải</w:t>
            </w:r>
            <w:r w:rsidR="004536E0" w:rsidRPr="009D6C3E">
              <w:rPr>
                <w:rFonts w:ascii="Times New Roman" w:hAnsi="Times New Roman" w:cs="Times New Roman"/>
                <w:sz w:val="24"/>
              </w:rPr>
              <w:t xml:space="preserve"> được nêu ở </w:t>
            </w:r>
            <w:r w:rsidR="00FE41D2" w:rsidRPr="009D6C3E">
              <w:rPr>
                <w:rFonts w:ascii="Times New Roman" w:hAnsi="Times New Roman" w:cs="Times New Roman"/>
                <w:i/>
                <w:iCs/>
                <w:sz w:val="24"/>
              </w:rPr>
              <w:t>Giới thiệu về</w:t>
            </w:r>
            <w:r w:rsidR="004350FB" w:rsidRPr="009D6C3E">
              <w:rPr>
                <w:rFonts w:ascii="Times New Roman" w:hAnsi="Times New Roman" w:cs="Times New Roman"/>
                <w:sz w:val="24"/>
              </w:rPr>
              <w:t xml:space="preserve"> </w:t>
            </w:r>
            <w:r w:rsidR="004536E0" w:rsidRPr="009D6C3E">
              <w:rPr>
                <w:rFonts w:ascii="Times New Roman" w:hAnsi="Times New Roman" w:cs="Times New Roman"/>
                <w:i/>
                <w:sz w:val="24"/>
              </w:rPr>
              <w:t>Các Chuẩn mực IFRS</w:t>
            </w:r>
          </w:p>
        </w:tc>
      </w:tr>
    </w:tbl>
    <w:p w:rsidR="00D01FB6" w:rsidRPr="009D6C3E" w:rsidRDefault="00D01FB6" w:rsidP="009E3104">
      <w:pPr>
        <w:jc w:val="both"/>
        <w:rPr>
          <w:rFonts w:ascii="Times New Roman" w:hAnsi="Times New Roman" w:cs="Times New Roman"/>
          <w:sz w:val="24"/>
        </w:rPr>
      </w:pPr>
    </w:p>
    <w:p w:rsidR="004536E0" w:rsidRPr="009D6C3E" w:rsidRDefault="004536E0" w:rsidP="009E3104">
      <w:pPr>
        <w:jc w:val="both"/>
        <w:rPr>
          <w:rFonts w:ascii="Times New Roman" w:hAnsi="Times New Roman" w:cs="Times New Roman"/>
          <w:sz w:val="24"/>
        </w:rPr>
      </w:pPr>
    </w:p>
    <w:p w:rsidR="004536E0" w:rsidRPr="009D6C3E" w:rsidRDefault="004536E0">
      <w:pPr>
        <w:rPr>
          <w:rFonts w:ascii="Times New Roman" w:hAnsi="Times New Roman" w:cs="Times New Roman"/>
          <w:sz w:val="24"/>
        </w:rPr>
      </w:pPr>
      <w:r w:rsidRPr="009D6C3E">
        <w:rPr>
          <w:rFonts w:ascii="Times New Roman" w:hAnsi="Times New Roman" w:cs="Times New Roman"/>
          <w:sz w:val="24"/>
        </w:rPr>
        <w:br w:type="page"/>
      </w:r>
    </w:p>
    <w:p w:rsidR="004536E0" w:rsidRPr="009D6C3E" w:rsidRDefault="00EA2CCB" w:rsidP="009E3104">
      <w:pPr>
        <w:jc w:val="both"/>
        <w:rPr>
          <w:rFonts w:ascii="Arial" w:hAnsi="Arial" w:cs="Arial"/>
          <w:b/>
          <w:sz w:val="24"/>
        </w:rPr>
      </w:pPr>
      <w:r w:rsidRPr="009D6C3E">
        <w:rPr>
          <w:rFonts w:ascii="Arial" w:hAnsi="Arial" w:cs="Arial"/>
          <w:b/>
          <w:sz w:val="24"/>
        </w:rPr>
        <w:lastRenderedPageBreak/>
        <w:t>Diễn giải</w:t>
      </w:r>
      <w:r w:rsidR="004536E0" w:rsidRPr="009D6C3E">
        <w:rPr>
          <w:rFonts w:ascii="Arial" w:hAnsi="Arial" w:cs="Arial"/>
          <w:b/>
          <w:sz w:val="24"/>
        </w:rPr>
        <w:t xml:space="preserve"> IFRIC 22</w:t>
      </w:r>
    </w:p>
    <w:p w:rsidR="004536E0" w:rsidRPr="009D6C3E" w:rsidRDefault="004536E0" w:rsidP="00C76329">
      <w:pPr>
        <w:jc w:val="both"/>
        <w:rPr>
          <w:rFonts w:ascii="Times New Roman" w:hAnsi="Times New Roman" w:cs="Times New Roman"/>
          <w:sz w:val="24"/>
        </w:rPr>
      </w:pPr>
      <w:r w:rsidRPr="009D6C3E">
        <w:rPr>
          <w:rFonts w:ascii="Arial" w:hAnsi="Arial" w:cs="Arial"/>
          <w:b/>
          <w:sz w:val="24"/>
        </w:rPr>
        <w:t xml:space="preserve">Các giao dịch bằng ngoại tệ và </w:t>
      </w:r>
      <w:r w:rsidR="009E5ACC" w:rsidRPr="009D6C3E">
        <w:rPr>
          <w:rFonts w:ascii="Arial" w:hAnsi="Arial" w:cs="Arial"/>
          <w:b/>
          <w:sz w:val="24"/>
        </w:rPr>
        <w:t xml:space="preserve">Các khoản </w:t>
      </w:r>
      <w:r w:rsidR="006065A8" w:rsidRPr="009D6C3E">
        <w:rPr>
          <w:rFonts w:ascii="Arial" w:hAnsi="Arial" w:cs="Arial"/>
          <w:b/>
          <w:sz w:val="24"/>
        </w:rPr>
        <w:t>thanh toán</w:t>
      </w:r>
      <w:r w:rsidR="009E5ACC" w:rsidRPr="009D6C3E">
        <w:rPr>
          <w:rFonts w:ascii="Arial" w:hAnsi="Arial" w:cs="Arial"/>
          <w:b/>
          <w:sz w:val="24"/>
        </w:rPr>
        <w:t xml:space="preserve"> trước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6"/>
      </w:tblGrid>
      <w:tr w:rsidR="004536E0" w:rsidRPr="009D6C3E" w:rsidTr="00EE0D73">
        <w:tc>
          <w:tcPr>
            <w:tcW w:w="9016" w:type="dxa"/>
          </w:tcPr>
          <w:p w:rsidR="004536E0" w:rsidRPr="009D6C3E" w:rsidRDefault="004536E0" w:rsidP="00C76329">
            <w:pPr>
              <w:pBdr>
                <w:bottom w:val="single" w:sz="4" w:space="1" w:color="auto"/>
              </w:pBdr>
              <w:spacing w:before="120" w:after="120"/>
              <w:jc w:val="both"/>
              <w:rPr>
                <w:rFonts w:ascii="Arial" w:hAnsi="Arial" w:cs="Arial"/>
                <w:b/>
                <w:sz w:val="24"/>
              </w:rPr>
            </w:pPr>
            <w:r w:rsidRPr="009D6C3E">
              <w:rPr>
                <w:rFonts w:ascii="Arial" w:hAnsi="Arial" w:cs="Arial"/>
                <w:b/>
              </w:rPr>
              <w:t>Các tham chiếu</w:t>
            </w:r>
          </w:p>
        </w:tc>
      </w:tr>
      <w:tr w:rsidR="004536E0" w:rsidRPr="009D6C3E" w:rsidTr="00C76329">
        <w:tc>
          <w:tcPr>
            <w:tcW w:w="9016" w:type="dxa"/>
          </w:tcPr>
          <w:p w:rsidR="004536E0" w:rsidRPr="009D6C3E" w:rsidRDefault="004536E0" w:rsidP="004536E0">
            <w:pPr>
              <w:pStyle w:val="ListParagraph"/>
              <w:numPr>
                <w:ilvl w:val="0"/>
                <w:numId w:val="1"/>
              </w:numPr>
              <w:spacing w:before="120" w:after="120"/>
              <w:ind w:left="313" w:hanging="313"/>
              <w:jc w:val="both"/>
              <w:rPr>
                <w:rFonts w:ascii="Times New Roman" w:hAnsi="Times New Roman" w:cs="Times New Roman"/>
                <w:i/>
                <w:sz w:val="24"/>
              </w:rPr>
            </w:pPr>
            <w:r w:rsidRPr="009D6C3E">
              <w:rPr>
                <w:rFonts w:ascii="Times New Roman" w:hAnsi="Times New Roman" w:cs="Times New Roman"/>
                <w:i/>
                <w:sz w:val="24"/>
              </w:rPr>
              <w:t>Khung khái niệm cho việc Lập báo cáo tài chính</w:t>
            </w:r>
            <w:r w:rsidR="00B00180" w:rsidRPr="009D6C3E">
              <w:rPr>
                <w:rFonts w:ascii="Times New Roman" w:hAnsi="Times New Roman" w:cs="Times New Roman"/>
                <w:i/>
                <w:sz w:val="24"/>
                <w:vertAlign w:val="superscript"/>
              </w:rPr>
              <w:t>1</w:t>
            </w:r>
          </w:p>
          <w:p w:rsidR="004536E0" w:rsidRPr="009D6C3E" w:rsidRDefault="004536E0" w:rsidP="004536E0">
            <w:pPr>
              <w:pStyle w:val="ListParagraph"/>
              <w:numPr>
                <w:ilvl w:val="0"/>
                <w:numId w:val="1"/>
              </w:numPr>
              <w:spacing w:before="120" w:after="120"/>
              <w:ind w:left="313" w:hanging="313"/>
              <w:jc w:val="both"/>
              <w:rPr>
                <w:rFonts w:ascii="Times New Roman" w:hAnsi="Times New Roman" w:cs="Times New Roman"/>
                <w:i/>
                <w:sz w:val="24"/>
              </w:rPr>
            </w:pPr>
            <w:r w:rsidRPr="009D6C3E">
              <w:rPr>
                <w:rFonts w:ascii="Times New Roman" w:hAnsi="Times New Roman" w:cs="Times New Roman"/>
                <w:sz w:val="24"/>
              </w:rPr>
              <w:t xml:space="preserve">IAS 8 </w:t>
            </w:r>
            <w:r w:rsidRPr="009D6C3E">
              <w:rPr>
                <w:rFonts w:ascii="Times New Roman" w:hAnsi="Times New Roman" w:cs="Times New Roman"/>
                <w:i/>
                <w:sz w:val="24"/>
              </w:rPr>
              <w:t>Chính sách kế toán, những thay đổi trong ước tính kế toán và sai sót kế toán</w:t>
            </w:r>
          </w:p>
          <w:p w:rsidR="004536E0" w:rsidRPr="009D6C3E" w:rsidRDefault="004536E0" w:rsidP="004536E0">
            <w:pPr>
              <w:pStyle w:val="ListParagraph"/>
              <w:numPr>
                <w:ilvl w:val="0"/>
                <w:numId w:val="1"/>
              </w:numPr>
              <w:spacing w:before="120" w:after="120"/>
              <w:ind w:left="313" w:hanging="313"/>
              <w:jc w:val="both"/>
              <w:rPr>
                <w:rFonts w:ascii="Times New Roman" w:hAnsi="Times New Roman" w:cs="Times New Roman"/>
                <w:i/>
                <w:sz w:val="24"/>
              </w:rPr>
            </w:pPr>
            <w:r w:rsidRPr="009D6C3E">
              <w:rPr>
                <w:rFonts w:ascii="Times New Roman" w:hAnsi="Times New Roman" w:cs="Times New Roman"/>
                <w:sz w:val="24"/>
              </w:rPr>
              <w:t xml:space="preserve">IAS 21 </w:t>
            </w:r>
            <w:r w:rsidRPr="009D6C3E">
              <w:rPr>
                <w:rFonts w:ascii="Times New Roman" w:hAnsi="Times New Roman" w:cs="Times New Roman"/>
                <w:i/>
                <w:sz w:val="24"/>
              </w:rPr>
              <w:t>Ảnh hưởng của việc thay đổi tỷ giá hối đoái</w:t>
            </w:r>
          </w:p>
        </w:tc>
      </w:tr>
      <w:tr w:rsidR="004536E0" w:rsidRPr="009D6C3E" w:rsidTr="00C76329">
        <w:tc>
          <w:tcPr>
            <w:tcW w:w="9016" w:type="dxa"/>
            <w:tcBorders>
              <w:bottom w:val="single" w:sz="4" w:space="0" w:color="auto"/>
            </w:tcBorders>
          </w:tcPr>
          <w:p w:rsidR="004536E0" w:rsidRPr="009D6C3E" w:rsidRDefault="004536E0" w:rsidP="004536E0">
            <w:pPr>
              <w:spacing w:before="120" w:after="120"/>
              <w:jc w:val="both"/>
              <w:rPr>
                <w:rFonts w:ascii="Arial" w:hAnsi="Arial" w:cs="Arial"/>
                <w:b/>
                <w:sz w:val="24"/>
              </w:rPr>
            </w:pPr>
            <w:r w:rsidRPr="009D6C3E">
              <w:rPr>
                <w:rFonts w:ascii="Arial" w:hAnsi="Arial" w:cs="Arial"/>
                <w:b/>
              </w:rPr>
              <w:t>Cơ sở nền tảng</w:t>
            </w:r>
          </w:p>
        </w:tc>
      </w:tr>
      <w:tr w:rsidR="004536E0" w:rsidRPr="009D6C3E" w:rsidTr="00C76329">
        <w:tc>
          <w:tcPr>
            <w:tcW w:w="9016" w:type="dxa"/>
            <w:tcBorders>
              <w:top w:val="single" w:sz="4" w:space="0" w:color="auto"/>
            </w:tcBorders>
          </w:tcPr>
          <w:p w:rsidR="004536E0" w:rsidRPr="009D6C3E" w:rsidRDefault="004536E0" w:rsidP="004536E0">
            <w:pPr>
              <w:pStyle w:val="ListParagraph"/>
              <w:numPr>
                <w:ilvl w:val="0"/>
                <w:numId w:val="4"/>
              </w:numPr>
              <w:spacing w:before="120" w:after="120"/>
              <w:ind w:left="880" w:hanging="927"/>
              <w:jc w:val="both"/>
              <w:rPr>
                <w:rFonts w:ascii="Times New Roman" w:hAnsi="Times New Roman" w:cs="Times New Roman"/>
                <w:sz w:val="24"/>
              </w:rPr>
            </w:pPr>
            <w:r w:rsidRPr="009D6C3E">
              <w:rPr>
                <w:rFonts w:ascii="Times New Roman" w:hAnsi="Times New Roman" w:cs="Times New Roman"/>
                <w:sz w:val="24"/>
              </w:rPr>
              <w:t xml:space="preserve">Đoạn 21 của IAS 21 </w:t>
            </w:r>
            <w:r w:rsidRPr="009D6C3E">
              <w:rPr>
                <w:rFonts w:ascii="Times New Roman" w:hAnsi="Times New Roman" w:cs="Times New Roman"/>
                <w:i/>
                <w:sz w:val="24"/>
              </w:rPr>
              <w:t xml:space="preserve">Ảnh hưởng của việc thay đổi tỷ giá hối đoái </w:t>
            </w:r>
            <w:r w:rsidRPr="009D6C3E">
              <w:rPr>
                <w:rFonts w:ascii="Times New Roman" w:hAnsi="Times New Roman" w:cs="Times New Roman"/>
                <w:sz w:val="24"/>
              </w:rPr>
              <w:t>yêu cầu đơn vị phải ghi nhận giao dịch bằng ngoại tệ</w:t>
            </w:r>
            <w:r w:rsidR="009A46DF" w:rsidRPr="009D6C3E">
              <w:rPr>
                <w:rFonts w:ascii="Times New Roman" w:hAnsi="Times New Roman" w:cs="Times New Roman"/>
                <w:sz w:val="24"/>
              </w:rPr>
              <w:t xml:space="preserve">, trong ghi nhận ban đầu bằng đồng tiền chức năng của mình, bằng cách áp dụng cho giá trị ngoại tệ theo tỷ giá giao ngay giữa đồng tiền chức năng và đồng ngoại tệ (tỷ giá hối đoái) tại ngày giao dịch. Đoạn 22 của IAS 21 trình bày rằng ngày giao dịch là ngày mà giao dịch lần đầu tiên thỏa mãn điều kiện ghi nhận </w:t>
            </w:r>
            <w:proofErr w:type="gramStart"/>
            <w:r w:rsidR="009A46DF" w:rsidRPr="009D6C3E">
              <w:rPr>
                <w:rFonts w:ascii="Times New Roman" w:hAnsi="Times New Roman" w:cs="Times New Roman"/>
                <w:sz w:val="24"/>
              </w:rPr>
              <w:t>theo</w:t>
            </w:r>
            <w:proofErr w:type="gramEnd"/>
            <w:r w:rsidR="009A46DF" w:rsidRPr="009D6C3E">
              <w:rPr>
                <w:rFonts w:ascii="Times New Roman" w:hAnsi="Times New Roman" w:cs="Times New Roman"/>
                <w:sz w:val="24"/>
              </w:rPr>
              <w:t xml:space="preserve"> các chuẩn mực IFRS (các chuẩn mực).</w:t>
            </w:r>
          </w:p>
          <w:p w:rsidR="00F31DAC" w:rsidRPr="009D6C3E" w:rsidRDefault="00F31DAC" w:rsidP="00F31DAC">
            <w:pPr>
              <w:pStyle w:val="ListParagraph"/>
              <w:spacing w:before="120" w:after="120"/>
              <w:ind w:left="880"/>
              <w:jc w:val="both"/>
              <w:rPr>
                <w:rFonts w:ascii="Times New Roman" w:hAnsi="Times New Roman" w:cs="Times New Roman"/>
                <w:sz w:val="24"/>
              </w:rPr>
            </w:pPr>
          </w:p>
          <w:p w:rsidR="009A46DF" w:rsidRPr="009D6C3E" w:rsidRDefault="00F31DAC" w:rsidP="00BD36DB">
            <w:pPr>
              <w:pStyle w:val="ListParagraph"/>
              <w:numPr>
                <w:ilvl w:val="0"/>
                <w:numId w:val="4"/>
              </w:numPr>
              <w:spacing w:before="120" w:after="120"/>
              <w:ind w:left="880" w:hanging="927"/>
              <w:jc w:val="both"/>
              <w:rPr>
                <w:rFonts w:ascii="Times New Roman" w:hAnsi="Times New Roman" w:cs="Times New Roman"/>
                <w:sz w:val="24"/>
              </w:rPr>
            </w:pPr>
            <w:r w:rsidRPr="009D6C3E">
              <w:rPr>
                <w:rFonts w:ascii="Times New Roman" w:hAnsi="Times New Roman" w:cs="Times New Roman"/>
                <w:sz w:val="24"/>
              </w:rPr>
              <w:t xml:space="preserve">Khi đơn vị thanh toán hoặc nhận khoản tiền ứng trước bằng ngoại tệ, nhìn </w:t>
            </w:r>
            <w:proofErr w:type="gramStart"/>
            <w:r w:rsidRPr="009D6C3E">
              <w:rPr>
                <w:rFonts w:ascii="Times New Roman" w:hAnsi="Times New Roman" w:cs="Times New Roman"/>
                <w:sz w:val="24"/>
              </w:rPr>
              <w:t>chung</w:t>
            </w:r>
            <w:proofErr w:type="gramEnd"/>
            <w:r w:rsidRPr="009D6C3E">
              <w:rPr>
                <w:rFonts w:ascii="Times New Roman" w:hAnsi="Times New Roman" w:cs="Times New Roman"/>
                <w:sz w:val="24"/>
              </w:rPr>
              <w:t xml:space="preserve"> đơn vị sẽ ghi nhận một</w:t>
            </w:r>
            <w:r w:rsidR="00001B01" w:rsidRPr="009D6C3E">
              <w:rPr>
                <w:rFonts w:ascii="Times New Roman" w:hAnsi="Times New Roman" w:cs="Times New Roman"/>
                <w:sz w:val="24"/>
              </w:rPr>
              <w:t xml:space="preserve"> khoản</w:t>
            </w:r>
            <w:r w:rsidRPr="009D6C3E">
              <w:rPr>
                <w:rFonts w:ascii="Times New Roman" w:hAnsi="Times New Roman" w:cs="Times New Roman"/>
                <w:sz w:val="24"/>
              </w:rPr>
              <w:t xml:space="preserve"> tài sản phi tiền tệ hoặc một khoản nợ phải trả phi tiền tệ</w:t>
            </w:r>
            <w:r w:rsidR="00B00180" w:rsidRPr="009D6C3E">
              <w:rPr>
                <w:rFonts w:ascii="Times New Roman" w:hAnsi="Times New Roman" w:cs="Times New Roman"/>
                <w:sz w:val="24"/>
                <w:vertAlign w:val="superscript"/>
              </w:rPr>
              <w:t>2</w:t>
            </w:r>
            <w:r w:rsidR="00001B01" w:rsidRPr="009D6C3E">
              <w:rPr>
                <w:rFonts w:ascii="Times New Roman" w:hAnsi="Times New Roman" w:cs="Times New Roman"/>
                <w:sz w:val="24"/>
              </w:rPr>
              <w:t xml:space="preserve"> trước khi ghi nhận tài sản, chi phí, thu nhập có liên quan. Tài sản, chi phí, thu nhập có liên quan (hoặc một phần của chúng) là số tiền được ghi nhận</w:t>
            </w:r>
            <w:r w:rsidR="00BD36DB" w:rsidRPr="009D6C3E">
              <w:rPr>
                <w:rFonts w:ascii="Times New Roman" w:hAnsi="Times New Roman" w:cs="Times New Roman"/>
                <w:sz w:val="24"/>
              </w:rPr>
              <w:t xml:space="preserve"> khi</w:t>
            </w:r>
            <w:r w:rsidR="00001B01" w:rsidRPr="009D6C3E">
              <w:rPr>
                <w:rFonts w:ascii="Times New Roman" w:hAnsi="Times New Roman" w:cs="Times New Roman"/>
                <w:sz w:val="24"/>
              </w:rPr>
              <w:t xml:space="preserve"> áp dụng các chuẩn mực phù hợp, mà </w:t>
            </w:r>
            <w:r w:rsidR="00BD36DB" w:rsidRPr="009D6C3E">
              <w:rPr>
                <w:rFonts w:ascii="Times New Roman" w:hAnsi="Times New Roman" w:cs="Times New Roman"/>
                <w:sz w:val="24"/>
              </w:rPr>
              <w:t>dẫn đến việc</w:t>
            </w:r>
            <w:r w:rsidR="00001B01" w:rsidRPr="009D6C3E">
              <w:rPr>
                <w:rFonts w:ascii="Times New Roman" w:hAnsi="Times New Roman" w:cs="Times New Roman"/>
                <w:sz w:val="24"/>
              </w:rPr>
              <w:t xml:space="preserve"> dừng ghi nhận tài sản phi tiền tệ hoặc nợ phải trả phi tiền tệ phát sinh từ các khoả</w:t>
            </w:r>
            <w:r w:rsidR="00736757" w:rsidRPr="009D6C3E">
              <w:rPr>
                <w:rFonts w:ascii="Times New Roman" w:hAnsi="Times New Roman" w:cs="Times New Roman"/>
                <w:sz w:val="24"/>
              </w:rPr>
              <w:t>n thanh toán trước</w:t>
            </w:r>
            <w:r w:rsidR="00001B01" w:rsidRPr="009D6C3E">
              <w:rPr>
                <w:rFonts w:ascii="Times New Roman" w:hAnsi="Times New Roman" w:cs="Times New Roman"/>
                <w:sz w:val="24"/>
              </w:rPr>
              <w:t>.</w:t>
            </w:r>
          </w:p>
          <w:p w:rsidR="00BD36DB" w:rsidRPr="009D6C3E" w:rsidRDefault="00BD36DB" w:rsidP="00BD36DB">
            <w:pPr>
              <w:pStyle w:val="ListParagraph"/>
              <w:rPr>
                <w:rFonts w:ascii="Times New Roman" w:hAnsi="Times New Roman" w:cs="Times New Roman"/>
                <w:sz w:val="24"/>
              </w:rPr>
            </w:pPr>
          </w:p>
          <w:p w:rsidR="00BD36DB" w:rsidRPr="009D6C3E" w:rsidRDefault="006065A8" w:rsidP="00B00180">
            <w:pPr>
              <w:pStyle w:val="ListParagraph"/>
              <w:numPr>
                <w:ilvl w:val="0"/>
                <w:numId w:val="4"/>
              </w:numPr>
              <w:spacing w:before="120" w:after="120"/>
              <w:ind w:left="880" w:hanging="927"/>
              <w:jc w:val="both"/>
              <w:rPr>
                <w:rFonts w:ascii="Times New Roman" w:hAnsi="Times New Roman" w:cs="Times New Roman"/>
                <w:sz w:val="24"/>
              </w:rPr>
            </w:pPr>
            <w:r w:rsidRPr="009D6C3E">
              <w:rPr>
                <w:rFonts w:ascii="Times New Roman" w:hAnsi="Times New Roman" w:cs="Times New Roman"/>
                <w:sz w:val="24"/>
              </w:rPr>
              <w:t>Ủy ban Diễn giải</w:t>
            </w:r>
            <w:r w:rsidR="0027335D" w:rsidRPr="009D6C3E">
              <w:rPr>
                <w:rFonts w:ascii="Times New Roman" w:hAnsi="Times New Roman" w:cs="Times New Roman"/>
                <w:sz w:val="24"/>
              </w:rPr>
              <w:t xml:space="preserve"> Chuẩn mực IFRS (</w:t>
            </w:r>
            <w:r w:rsidRPr="009D6C3E">
              <w:rPr>
                <w:rFonts w:ascii="Times New Roman" w:hAnsi="Times New Roman" w:cs="Times New Roman"/>
                <w:sz w:val="24"/>
              </w:rPr>
              <w:t>Ủy ban Diễn giải</w:t>
            </w:r>
            <w:r w:rsidR="0027335D" w:rsidRPr="009D6C3E">
              <w:rPr>
                <w:rFonts w:ascii="Times New Roman" w:hAnsi="Times New Roman" w:cs="Times New Roman"/>
                <w:sz w:val="24"/>
              </w:rPr>
              <w:t xml:space="preserve">) ban đầu đã nhận được một câu hỏi hỏi về làm thế nào để xác định “ngày giao dịch” khi áp dụng đoạn 21-22 của IAS 21 khi ghi nhận doanh thu. Câu hỏi đưa vào những tình huống cụ thể trong đó một đơn vị ghi nhận một khoản nợ phải trả phi tiền tệ phát sinh từ số tiền </w:t>
            </w:r>
            <w:proofErr w:type="gramStart"/>
            <w:r w:rsidR="0027335D" w:rsidRPr="009D6C3E">
              <w:rPr>
                <w:rFonts w:ascii="Times New Roman" w:hAnsi="Times New Roman" w:cs="Times New Roman"/>
                <w:sz w:val="24"/>
              </w:rPr>
              <w:t>thu</w:t>
            </w:r>
            <w:proofErr w:type="gramEnd"/>
            <w:r w:rsidR="0027335D" w:rsidRPr="009D6C3E">
              <w:rPr>
                <w:rFonts w:ascii="Times New Roman" w:hAnsi="Times New Roman" w:cs="Times New Roman"/>
                <w:sz w:val="24"/>
              </w:rPr>
              <w:t xml:space="preserve"> được của một khoản ứng trước trước khi đơn vị ghi nhậ</w:t>
            </w:r>
            <w:r w:rsidR="00B00180" w:rsidRPr="009D6C3E">
              <w:rPr>
                <w:rFonts w:ascii="Times New Roman" w:hAnsi="Times New Roman" w:cs="Times New Roman"/>
                <w:sz w:val="24"/>
              </w:rPr>
              <w:t>n</w:t>
            </w:r>
            <w:r w:rsidR="0027335D" w:rsidRPr="009D6C3E">
              <w:rPr>
                <w:rFonts w:ascii="Times New Roman" w:hAnsi="Times New Roman" w:cs="Times New Roman"/>
                <w:sz w:val="24"/>
              </w:rPr>
              <w:t xml:space="preserve"> doanh thu liên quan. </w:t>
            </w:r>
            <w:r w:rsidR="00A353D3" w:rsidRPr="009D6C3E">
              <w:rPr>
                <w:rFonts w:ascii="Times New Roman" w:hAnsi="Times New Roman" w:cs="Times New Roman"/>
                <w:sz w:val="24"/>
              </w:rPr>
              <w:t>Khi</w:t>
            </w:r>
            <w:r w:rsidR="0027335D" w:rsidRPr="009D6C3E">
              <w:rPr>
                <w:rFonts w:ascii="Times New Roman" w:hAnsi="Times New Roman" w:cs="Times New Roman"/>
                <w:sz w:val="24"/>
              </w:rPr>
              <w:t xml:space="preserve"> thảo luận về vấn đề này, </w:t>
            </w:r>
            <w:r w:rsidRPr="009D6C3E">
              <w:rPr>
                <w:rFonts w:ascii="Times New Roman" w:hAnsi="Times New Roman" w:cs="Times New Roman"/>
                <w:sz w:val="24"/>
              </w:rPr>
              <w:t>Ủy ban Diễn giải</w:t>
            </w:r>
            <w:r w:rsidR="00A353D3" w:rsidRPr="009D6C3E">
              <w:rPr>
                <w:rFonts w:ascii="Times New Roman" w:hAnsi="Times New Roman" w:cs="Times New Roman"/>
                <w:sz w:val="24"/>
              </w:rPr>
              <w:t xml:space="preserve"> đã lưu ý rằng một khoản </w:t>
            </w:r>
            <w:r w:rsidR="00B00180" w:rsidRPr="009D6C3E">
              <w:rPr>
                <w:rFonts w:ascii="Times New Roman" w:hAnsi="Times New Roman" w:cs="Times New Roman"/>
                <w:sz w:val="24"/>
              </w:rPr>
              <w:t>tiền nhận trước</w:t>
            </w:r>
            <w:r w:rsidR="00A353D3" w:rsidRPr="009D6C3E">
              <w:rPr>
                <w:rFonts w:ascii="Times New Roman" w:hAnsi="Times New Roman" w:cs="Times New Roman"/>
                <w:sz w:val="24"/>
              </w:rPr>
              <w:t xml:space="preserve"> hoặc </w:t>
            </w:r>
            <w:r w:rsidR="00B00180" w:rsidRPr="009D6C3E">
              <w:rPr>
                <w:rFonts w:ascii="Times New Roman" w:hAnsi="Times New Roman" w:cs="Times New Roman"/>
                <w:sz w:val="24"/>
              </w:rPr>
              <w:t>chi</w:t>
            </w:r>
            <w:r w:rsidR="00A353D3" w:rsidRPr="009D6C3E">
              <w:rPr>
                <w:rFonts w:ascii="Times New Roman" w:hAnsi="Times New Roman" w:cs="Times New Roman"/>
                <w:sz w:val="24"/>
              </w:rPr>
              <w:t xml:space="preserve"> trước bằng ngoại tệ không bị hạn chế trong giao dịch doanh </w:t>
            </w:r>
            <w:proofErr w:type="gramStart"/>
            <w:r w:rsidR="00A353D3" w:rsidRPr="009D6C3E">
              <w:rPr>
                <w:rFonts w:ascii="Times New Roman" w:hAnsi="Times New Roman" w:cs="Times New Roman"/>
                <w:sz w:val="24"/>
              </w:rPr>
              <w:t>thu</w:t>
            </w:r>
            <w:proofErr w:type="gramEnd"/>
            <w:r w:rsidR="00A353D3" w:rsidRPr="009D6C3E">
              <w:rPr>
                <w:rFonts w:ascii="Times New Roman" w:hAnsi="Times New Roman" w:cs="Times New Roman"/>
                <w:sz w:val="24"/>
              </w:rPr>
              <w:t xml:space="preserve">. Theo đó, </w:t>
            </w:r>
            <w:r w:rsidRPr="009D6C3E">
              <w:rPr>
                <w:rFonts w:ascii="Times New Roman" w:hAnsi="Times New Roman" w:cs="Times New Roman"/>
                <w:sz w:val="24"/>
              </w:rPr>
              <w:t>Ủy ban Diễn giải</w:t>
            </w:r>
            <w:r w:rsidR="00A353D3" w:rsidRPr="009D6C3E">
              <w:rPr>
                <w:rFonts w:ascii="Times New Roman" w:hAnsi="Times New Roman" w:cs="Times New Roman"/>
                <w:sz w:val="24"/>
              </w:rPr>
              <w:t xml:space="preserve"> </w:t>
            </w:r>
            <w:r w:rsidR="0027335D" w:rsidRPr="009D6C3E">
              <w:rPr>
                <w:rFonts w:ascii="Times New Roman" w:hAnsi="Times New Roman" w:cs="Times New Roman"/>
                <w:sz w:val="24"/>
              </w:rPr>
              <w:t>đã quyết định phải làm rõ ngày giao dịch cho mục đích xác định tỷ giá hối đoái để sử dụng cho việc ghi nhận</w:t>
            </w:r>
            <w:r w:rsidR="00B00180" w:rsidRPr="009D6C3E">
              <w:rPr>
                <w:rFonts w:ascii="Times New Roman" w:hAnsi="Times New Roman" w:cs="Times New Roman"/>
                <w:sz w:val="24"/>
              </w:rPr>
              <w:t xml:space="preserve"> ban đầu của</w:t>
            </w:r>
            <w:r w:rsidR="0027335D" w:rsidRPr="009D6C3E">
              <w:rPr>
                <w:rFonts w:ascii="Times New Roman" w:hAnsi="Times New Roman" w:cs="Times New Roman"/>
                <w:sz w:val="24"/>
              </w:rPr>
              <w:t xml:space="preserve"> tài sản, chi phí và </w:t>
            </w:r>
            <w:proofErr w:type="gramStart"/>
            <w:r w:rsidR="0027335D" w:rsidRPr="009D6C3E">
              <w:rPr>
                <w:rFonts w:ascii="Times New Roman" w:hAnsi="Times New Roman" w:cs="Times New Roman"/>
                <w:sz w:val="24"/>
              </w:rPr>
              <w:t>thu</w:t>
            </w:r>
            <w:proofErr w:type="gramEnd"/>
            <w:r w:rsidR="0027335D" w:rsidRPr="009D6C3E">
              <w:rPr>
                <w:rFonts w:ascii="Times New Roman" w:hAnsi="Times New Roman" w:cs="Times New Roman"/>
                <w:sz w:val="24"/>
              </w:rPr>
              <w:t xml:space="preserve"> nhập liên quan khi đơn vị nhận </w:t>
            </w:r>
            <w:r w:rsidR="00B00180" w:rsidRPr="009D6C3E">
              <w:rPr>
                <w:rFonts w:ascii="Times New Roman" w:hAnsi="Times New Roman" w:cs="Times New Roman"/>
                <w:sz w:val="24"/>
              </w:rPr>
              <w:t xml:space="preserve">trước </w:t>
            </w:r>
            <w:r w:rsidR="0027335D" w:rsidRPr="009D6C3E">
              <w:rPr>
                <w:rFonts w:ascii="Times New Roman" w:hAnsi="Times New Roman" w:cs="Times New Roman"/>
                <w:sz w:val="24"/>
              </w:rPr>
              <w:t>hoặc chi trước số tiền bằng ngoại tệ.</w:t>
            </w:r>
          </w:p>
        </w:tc>
      </w:tr>
      <w:tr w:rsidR="004536E0" w:rsidRPr="009D6C3E" w:rsidTr="00EE0D73">
        <w:tc>
          <w:tcPr>
            <w:tcW w:w="9016" w:type="dxa"/>
          </w:tcPr>
          <w:p w:rsidR="004536E0" w:rsidRPr="009D6C3E" w:rsidRDefault="00FE41D2" w:rsidP="00B00180">
            <w:pPr>
              <w:pStyle w:val="ListParagraph"/>
              <w:numPr>
                <w:ilvl w:val="0"/>
                <w:numId w:val="5"/>
              </w:numPr>
              <w:spacing w:before="120" w:after="120"/>
              <w:jc w:val="both"/>
              <w:rPr>
                <w:rFonts w:ascii="Times New Roman" w:hAnsi="Times New Roman" w:cs="Times New Roman"/>
                <w:sz w:val="20"/>
              </w:rPr>
            </w:pPr>
            <w:r w:rsidRPr="009D6C3E">
              <w:rPr>
                <w:rFonts w:ascii="Times New Roman" w:hAnsi="Times New Roman" w:cs="Times New Roman"/>
                <w:noProof/>
                <w:sz w:val="20"/>
              </w:rPr>
              <w:pict>
                <v:line id="Straight Connector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4pt" to="77.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" strokecolor="black [3213]" strokeweight=".5pt">
                  <v:stroke joinstyle="miter"/>
                </v:line>
              </w:pict>
            </w:r>
            <w:r w:rsidR="00B00180" w:rsidRPr="009D6C3E">
              <w:rPr>
                <w:rFonts w:ascii="Times New Roman" w:hAnsi="Times New Roman" w:cs="Times New Roman"/>
                <w:sz w:val="20"/>
              </w:rPr>
              <w:t xml:space="preserve">Tài liệu tham chiếu là </w:t>
            </w:r>
            <w:r w:rsidR="00B00180" w:rsidRPr="009D6C3E">
              <w:rPr>
                <w:rFonts w:ascii="Times New Roman" w:hAnsi="Times New Roman" w:cs="Times New Roman"/>
                <w:i/>
                <w:sz w:val="20"/>
              </w:rPr>
              <w:t>Khung Khái niệm cho Việc Lập báo cáo tài chính</w:t>
            </w:r>
            <w:r w:rsidR="00B00180" w:rsidRPr="009D6C3E">
              <w:rPr>
                <w:rFonts w:ascii="Times New Roman" w:hAnsi="Times New Roman" w:cs="Times New Roman"/>
                <w:sz w:val="20"/>
              </w:rPr>
              <w:t xml:space="preserve">,  được ban hành vào năm 2010 và có hiệu lực khi Bản </w:t>
            </w:r>
            <w:r w:rsidR="00EA2CCB" w:rsidRPr="009D6C3E">
              <w:rPr>
                <w:rFonts w:ascii="Times New Roman" w:hAnsi="Times New Roman" w:cs="Times New Roman"/>
                <w:sz w:val="20"/>
              </w:rPr>
              <w:t>Diễn giải</w:t>
            </w:r>
            <w:r w:rsidR="00B00180" w:rsidRPr="009D6C3E">
              <w:rPr>
                <w:rFonts w:ascii="Times New Roman" w:hAnsi="Times New Roman" w:cs="Times New Roman"/>
                <w:sz w:val="20"/>
              </w:rPr>
              <w:t xml:space="preserve"> được triển khai.</w:t>
            </w:r>
          </w:p>
          <w:p w:rsidR="00B00180" w:rsidRPr="009D6C3E" w:rsidRDefault="00B00180" w:rsidP="00D41CB8">
            <w:pPr>
              <w:pStyle w:val="ListParagraph"/>
              <w:numPr>
                <w:ilvl w:val="0"/>
                <w:numId w:val="5"/>
              </w:numPr>
              <w:spacing w:before="120" w:after="120"/>
              <w:jc w:val="both"/>
              <w:rPr>
                <w:rFonts w:ascii="Times New Roman" w:hAnsi="Times New Roman" w:cs="Times New Roman"/>
                <w:sz w:val="20"/>
              </w:rPr>
            </w:pPr>
            <w:r w:rsidRPr="009D6C3E">
              <w:rPr>
                <w:rFonts w:ascii="Times New Roman" w:hAnsi="Times New Roman" w:cs="Times New Roman"/>
                <w:sz w:val="20"/>
              </w:rPr>
              <w:t xml:space="preserve">Ví dụ, Đoạn 106 của IFRS 15 </w:t>
            </w:r>
            <w:r w:rsidRPr="009D6C3E">
              <w:rPr>
                <w:rFonts w:ascii="Times New Roman" w:hAnsi="Times New Roman" w:cs="Times New Roman"/>
                <w:i/>
                <w:sz w:val="20"/>
              </w:rPr>
              <w:t xml:space="preserve">Doanh thu từ Hợp đồng với Khách hàng, </w:t>
            </w:r>
            <w:r w:rsidRPr="009D6C3E">
              <w:rPr>
                <w:rFonts w:ascii="Times New Roman" w:hAnsi="Times New Roman" w:cs="Times New Roman"/>
                <w:sz w:val="20"/>
              </w:rPr>
              <w:t>yêu cầu nếu một khách hàng trả một khoản, hoặc đơn vị có quyền đối với</w:t>
            </w:r>
            <w:r w:rsidR="00D41CB8" w:rsidRPr="009D6C3E">
              <w:rPr>
                <w:rFonts w:ascii="Times New Roman" w:hAnsi="Times New Roman" w:cs="Times New Roman"/>
                <w:sz w:val="20"/>
              </w:rPr>
              <w:t xml:space="preserve"> </w:t>
            </w:r>
            <w:r w:rsidRPr="009D6C3E">
              <w:rPr>
                <w:rFonts w:ascii="Times New Roman" w:hAnsi="Times New Roman" w:cs="Times New Roman"/>
                <w:sz w:val="20"/>
              </w:rPr>
              <w:t>mộ</w:t>
            </w:r>
            <w:r w:rsidR="00D41CB8" w:rsidRPr="009D6C3E">
              <w:rPr>
                <w:rFonts w:ascii="Times New Roman" w:hAnsi="Times New Roman" w:cs="Times New Roman"/>
                <w:sz w:val="20"/>
              </w:rPr>
              <w:t>t</w:t>
            </w:r>
            <w:r w:rsidRPr="009D6C3E">
              <w:rPr>
                <w:rFonts w:ascii="Times New Roman" w:hAnsi="Times New Roman" w:cs="Times New Roman"/>
                <w:sz w:val="20"/>
              </w:rPr>
              <w:t xml:space="preserve"> </w:t>
            </w:r>
            <w:r w:rsidR="00D41CB8" w:rsidRPr="009D6C3E">
              <w:rPr>
                <w:rFonts w:ascii="Times New Roman" w:hAnsi="Times New Roman" w:cs="Times New Roman"/>
                <w:sz w:val="20"/>
              </w:rPr>
              <w:t>khoản</w:t>
            </w:r>
            <w:r w:rsidRPr="009D6C3E">
              <w:rPr>
                <w:rFonts w:ascii="Times New Roman" w:hAnsi="Times New Roman" w:cs="Times New Roman"/>
                <w:sz w:val="20"/>
              </w:rPr>
              <w:t xml:space="preserve"> mà nó </w:t>
            </w:r>
            <w:r w:rsidR="00D41CB8" w:rsidRPr="009D6C3E">
              <w:rPr>
                <w:rFonts w:ascii="Times New Roman" w:hAnsi="Times New Roman" w:cs="Times New Roman"/>
                <w:sz w:val="20"/>
              </w:rPr>
              <w:t>là vô</w:t>
            </w:r>
            <w:r w:rsidRPr="009D6C3E">
              <w:rPr>
                <w:rFonts w:ascii="Times New Roman" w:hAnsi="Times New Roman" w:cs="Times New Roman"/>
                <w:sz w:val="20"/>
              </w:rPr>
              <w:t xml:space="preserve"> điều kiện</w:t>
            </w:r>
            <w:r w:rsidR="00D41CB8" w:rsidRPr="009D6C3E">
              <w:rPr>
                <w:rFonts w:ascii="Times New Roman" w:hAnsi="Times New Roman" w:cs="Times New Roman"/>
                <w:sz w:val="20"/>
              </w:rPr>
              <w:t xml:space="preserve"> (ví dụ một khoản phải thu), trước khi đơn vị chuyển giao hàng hóa hoặc dịch vụ cho khách hàng, thì đơn vị sẽ phải trình bày hợp đồng đó là nghĩa vụ </w:t>
            </w:r>
            <w:r w:rsidR="00363745" w:rsidRPr="009D6C3E">
              <w:rPr>
                <w:rFonts w:ascii="Times New Roman" w:hAnsi="Times New Roman" w:cs="Times New Roman"/>
                <w:sz w:val="20"/>
              </w:rPr>
              <w:t xml:space="preserve">phải trả </w:t>
            </w:r>
            <w:r w:rsidR="00D41CB8" w:rsidRPr="009D6C3E">
              <w:rPr>
                <w:rFonts w:ascii="Times New Roman" w:hAnsi="Times New Roman" w:cs="Times New Roman"/>
                <w:sz w:val="20"/>
              </w:rPr>
              <w:t xml:space="preserve">hợp đồng khi </w:t>
            </w:r>
            <w:r w:rsidR="00363745" w:rsidRPr="009D6C3E">
              <w:rPr>
                <w:rFonts w:ascii="Times New Roman" w:hAnsi="Times New Roman" w:cs="Times New Roman"/>
                <w:sz w:val="20"/>
              </w:rPr>
              <w:t xml:space="preserve">nhận được </w:t>
            </w:r>
            <w:r w:rsidR="00D41CB8" w:rsidRPr="009D6C3E">
              <w:rPr>
                <w:rFonts w:ascii="Times New Roman" w:hAnsi="Times New Roman" w:cs="Times New Roman"/>
                <w:sz w:val="20"/>
              </w:rPr>
              <w:t xml:space="preserve">khoản thanh toán hoặc </w:t>
            </w:r>
            <w:r w:rsidR="00363745" w:rsidRPr="009D6C3E">
              <w:rPr>
                <w:rFonts w:ascii="Times New Roman" w:hAnsi="Times New Roman" w:cs="Times New Roman"/>
                <w:sz w:val="20"/>
              </w:rPr>
              <w:t xml:space="preserve">khi khoản phải thu </w:t>
            </w:r>
            <w:r w:rsidR="00D41CB8" w:rsidRPr="009D6C3E">
              <w:rPr>
                <w:rFonts w:ascii="Times New Roman" w:hAnsi="Times New Roman" w:cs="Times New Roman"/>
                <w:sz w:val="20"/>
              </w:rPr>
              <w:t>đến hạn thanh toán (tùy theo điều nào đến sớm hơn).</w:t>
            </w:r>
          </w:p>
        </w:tc>
      </w:tr>
    </w:tbl>
    <w:p w:rsidR="00010813" w:rsidRPr="009D6C3E" w:rsidRDefault="00010813" w:rsidP="009E3104">
      <w:pPr>
        <w:jc w:val="both"/>
        <w:rPr>
          <w:rFonts w:ascii="Times New Roman" w:hAnsi="Times New Roman" w:cs="Times New Roman"/>
          <w:sz w:val="24"/>
        </w:rPr>
      </w:pPr>
    </w:p>
    <w:p w:rsidR="00010813" w:rsidRPr="009D6C3E" w:rsidRDefault="00010813">
      <w:pPr>
        <w:rPr>
          <w:rFonts w:ascii="Times New Roman" w:hAnsi="Times New Roman" w:cs="Times New Roman"/>
          <w:sz w:val="24"/>
        </w:rPr>
      </w:pPr>
      <w:r w:rsidRPr="009D6C3E">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6"/>
      </w:tblGrid>
      <w:tr w:rsidR="00010813" w:rsidRPr="009D6C3E" w:rsidTr="00C76329">
        <w:tc>
          <w:tcPr>
            <w:tcW w:w="9016" w:type="dxa"/>
            <w:tcBorders>
              <w:bottom w:val="single" w:sz="4" w:space="0" w:color="auto"/>
            </w:tcBorders>
          </w:tcPr>
          <w:p w:rsidR="00010813" w:rsidRPr="009D6C3E" w:rsidRDefault="00010813" w:rsidP="00010813">
            <w:pPr>
              <w:spacing w:before="120" w:after="120"/>
              <w:jc w:val="both"/>
              <w:rPr>
                <w:rFonts w:ascii="Arial" w:hAnsi="Arial" w:cs="Arial"/>
                <w:b/>
                <w:sz w:val="24"/>
              </w:rPr>
            </w:pPr>
            <w:r w:rsidRPr="009D6C3E">
              <w:rPr>
                <w:rFonts w:ascii="Arial" w:hAnsi="Arial" w:cs="Arial"/>
                <w:b/>
              </w:rPr>
              <w:lastRenderedPageBreak/>
              <w:t>Phạm vi</w:t>
            </w:r>
          </w:p>
        </w:tc>
      </w:tr>
      <w:tr w:rsidR="00010813" w:rsidRPr="009D6C3E" w:rsidTr="00C76329">
        <w:tc>
          <w:tcPr>
            <w:tcW w:w="9016" w:type="dxa"/>
            <w:tcBorders>
              <w:top w:val="single" w:sz="4" w:space="0" w:color="auto"/>
            </w:tcBorders>
          </w:tcPr>
          <w:p w:rsidR="00894095" w:rsidRPr="009D6C3E" w:rsidRDefault="00EA2CCB" w:rsidP="00894095">
            <w:pPr>
              <w:pStyle w:val="ListParagraph"/>
              <w:numPr>
                <w:ilvl w:val="0"/>
                <w:numId w:val="8"/>
              </w:numPr>
              <w:spacing w:before="120" w:after="120"/>
              <w:ind w:left="880" w:hanging="880"/>
              <w:jc w:val="both"/>
              <w:rPr>
                <w:rFonts w:ascii="Times New Roman" w:hAnsi="Times New Roman" w:cs="Times New Roman"/>
                <w:sz w:val="24"/>
              </w:rPr>
            </w:pPr>
            <w:r w:rsidRPr="009D6C3E">
              <w:rPr>
                <w:rFonts w:ascii="Times New Roman" w:hAnsi="Times New Roman" w:cs="Times New Roman"/>
                <w:sz w:val="24"/>
              </w:rPr>
              <w:t>Diễn giải</w:t>
            </w:r>
            <w:r w:rsidR="00010813" w:rsidRPr="009D6C3E">
              <w:rPr>
                <w:rFonts w:ascii="Times New Roman" w:hAnsi="Times New Roman" w:cs="Times New Roman"/>
                <w:sz w:val="24"/>
              </w:rPr>
              <w:t xml:space="preserve"> này áp dụng đối với giao dịch bằng ngoại tệ (hoặc một phần của giao dị</w:t>
            </w:r>
            <w:r w:rsidR="00894095" w:rsidRPr="009D6C3E">
              <w:rPr>
                <w:rFonts w:ascii="Times New Roman" w:hAnsi="Times New Roman" w:cs="Times New Roman"/>
                <w:sz w:val="24"/>
              </w:rPr>
              <w:t>ch) khi</w:t>
            </w:r>
            <w:r w:rsidR="00010813" w:rsidRPr="009D6C3E">
              <w:rPr>
                <w:rFonts w:ascii="Times New Roman" w:hAnsi="Times New Roman" w:cs="Times New Roman"/>
                <w:sz w:val="24"/>
              </w:rPr>
              <w:t xml:space="preserve"> đơn vị ghi nhận một tài sản phi tiền tệ hoặc nợ phải trả phi tiền tệ phát sinh từ việc </w:t>
            </w:r>
            <w:r w:rsidR="00894095" w:rsidRPr="009D6C3E">
              <w:rPr>
                <w:rFonts w:ascii="Times New Roman" w:hAnsi="Times New Roman" w:cs="Times New Roman"/>
                <w:sz w:val="24"/>
              </w:rPr>
              <w:t>ứng</w:t>
            </w:r>
            <w:r w:rsidR="00010813" w:rsidRPr="009D6C3E">
              <w:rPr>
                <w:rFonts w:ascii="Times New Roman" w:hAnsi="Times New Roman" w:cs="Times New Roman"/>
                <w:sz w:val="24"/>
              </w:rPr>
              <w:t xml:space="preserve"> trước hoặ</w:t>
            </w:r>
            <w:r w:rsidR="00894095" w:rsidRPr="009D6C3E">
              <w:rPr>
                <w:rFonts w:ascii="Times New Roman" w:hAnsi="Times New Roman" w:cs="Times New Roman"/>
                <w:sz w:val="24"/>
              </w:rPr>
              <w:t>c nhận ứng trước</w:t>
            </w:r>
            <w:r w:rsidR="00010813" w:rsidRPr="009D6C3E">
              <w:rPr>
                <w:rFonts w:ascii="Times New Roman" w:hAnsi="Times New Roman" w:cs="Times New Roman"/>
                <w:sz w:val="24"/>
              </w:rPr>
              <w:t xml:space="preserve"> một khoản </w:t>
            </w:r>
            <w:r w:rsidR="00894095" w:rsidRPr="009D6C3E">
              <w:rPr>
                <w:rFonts w:ascii="Times New Roman" w:hAnsi="Times New Roman" w:cs="Times New Roman"/>
                <w:sz w:val="24"/>
              </w:rPr>
              <w:t>trước khi đơn vị ghi nhận tài sản, chi phí hoặc thu nhập có liên quan (hoặc một phần)</w:t>
            </w:r>
          </w:p>
          <w:p w:rsidR="00894095" w:rsidRPr="009D6C3E" w:rsidRDefault="00894095" w:rsidP="00894095">
            <w:pPr>
              <w:pStyle w:val="ListParagraph"/>
              <w:spacing w:before="120" w:after="120"/>
              <w:ind w:left="880"/>
              <w:jc w:val="both"/>
              <w:rPr>
                <w:rFonts w:ascii="Times New Roman" w:hAnsi="Times New Roman" w:cs="Times New Roman"/>
                <w:sz w:val="24"/>
              </w:rPr>
            </w:pPr>
          </w:p>
          <w:p w:rsidR="00894095" w:rsidRPr="009D6C3E" w:rsidRDefault="00EA2CCB" w:rsidP="00894095">
            <w:pPr>
              <w:pStyle w:val="ListParagraph"/>
              <w:numPr>
                <w:ilvl w:val="0"/>
                <w:numId w:val="8"/>
              </w:numPr>
              <w:spacing w:before="120" w:after="120"/>
              <w:ind w:left="880" w:hanging="880"/>
              <w:jc w:val="both"/>
              <w:rPr>
                <w:rFonts w:ascii="Times New Roman" w:hAnsi="Times New Roman" w:cs="Times New Roman"/>
                <w:sz w:val="24"/>
              </w:rPr>
            </w:pPr>
            <w:r w:rsidRPr="009D6C3E">
              <w:rPr>
                <w:rFonts w:ascii="Times New Roman" w:hAnsi="Times New Roman" w:cs="Times New Roman"/>
                <w:sz w:val="24"/>
              </w:rPr>
              <w:t>Diễn giải</w:t>
            </w:r>
            <w:r w:rsidR="00894095" w:rsidRPr="009D6C3E">
              <w:rPr>
                <w:rFonts w:ascii="Times New Roman" w:hAnsi="Times New Roman" w:cs="Times New Roman"/>
                <w:sz w:val="24"/>
              </w:rPr>
              <w:t xml:space="preserve"> này không áp dụng khi đơn vị xác định giá trị tài sản, chi phí hoặc thu nhập có liên quan trong ghi nhận ban đầu:</w:t>
            </w:r>
          </w:p>
          <w:p w:rsidR="00894095" w:rsidRPr="009D6C3E" w:rsidRDefault="00894095" w:rsidP="00894095">
            <w:pPr>
              <w:pStyle w:val="ListParagraph"/>
              <w:numPr>
                <w:ilvl w:val="0"/>
                <w:numId w:val="9"/>
              </w:numPr>
              <w:spacing w:before="120" w:after="120"/>
              <w:ind w:hanging="720"/>
              <w:jc w:val="both"/>
              <w:rPr>
                <w:rFonts w:ascii="Times New Roman" w:hAnsi="Times New Roman" w:cs="Times New Roman"/>
                <w:sz w:val="24"/>
              </w:rPr>
            </w:pPr>
            <w:r w:rsidRPr="009D6C3E">
              <w:rPr>
                <w:rFonts w:ascii="Times New Roman" w:hAnsi="Times New Roman" w:cs="Times New Roman"/>
                <w:sz w:val="24"/>
              </w:rPr>
              <w:t>Theo giá trị hợp lý; hoặc</w:t>
            </w:r>
          </w:p>
          <w:p w:rsidR="00894095" w:rsidRPr="009D6C3E" w:rsidRDefault="00894095" w:rsidP="002939F6">
            <w:pPr>
              <w:pStyle w:val="ListParagraph"/>
              <w:numPr>
                <w:ilvl w:val="0"/>
                <w:numId w:val="9"/>
              </w:numPr>
              <w:spacing w:before="120" w:after="120"/>
              <w:ind w:hanging="720"/>
              <w:jc w:val="both"/>
              <w:rPr>
                <w:rFonts w:ascii="Times New Roman" w:hAnsi="Times New Roman" w:cs="Times New Roman"/>
                <w:sz w:val="24"/>
              </w:rPr>
            </w:pPr>
            <w:r w:rsidRPr="009D6C3E">
              <w:rPr>
                <w:rFonts w:ascii="Times New Roman" w:hAnsi="Times New Roman" w:cs="Times New Roman"/>
                <w:sz w:val="24"/>
              </w:rPr>
              <w:t>Theo giá trị hợp lý của khoả</w:t>
            </w:r>
            <w:r w:rsidR="00256668" w:rsidRPr="009D6C3E">
              <w:rPr>
                <w:rFonts w:ascii="Times New Roman" w:hAnsi="Times New Roman" w:cs="Times New Roman"/>
                <w:sz w:val="24"/>
              </w:rPr>
              <w:t>n tiền</w:t>
            </w:r>
            <w:r w:rsidRPr="009D6C3E">
              <w:rPr>
                <w:rFonts w:ascii="Times New Roman" w:hAnsi="Times New Roman" w:cs="Times New Roman"/>
                <w:sz w:val="24"/>
              </w:rPr>
              <w:t xml:space="preserve"> chi ra hoặc nhận về tại ngày </w:t>
            </w:r>
            <w:r w:rsidR="002939F6" w:rsidRPr="009D6C3E">
              <w:rPr>
                <w:rFonts w:ascii="Times New Roman" w:hAnsi="Times New Roman" w:cs="Times New Roman"/>
                <w:sz w:val="24"/>
              </w:rPr>
              <w:t>khác với</w:t>
            </w:r>
            <w:r w:rsidRPr="009D6C3E">
              <w:rPr>
                <w:rFonts w:ascii="Times New Roman" w:hAnsi="Times New Roman" w:cs="Times New Roman"/>
                <w:sz w:val="24"/>
              </w:rPr>
              <w:t xml:space="preserve"> ngày ghi nhận ban đầu của tài sản phi tiền tệ hoặc nợ phải trả phi tiền tệ phát sinh từ khoản ứng trước (ví dụ, xác định giá trị của lợi thế thương mại áp dụng theo IFRS 3 </w:t>
            </w:r>
            <w:r w:rsidRPr="009D6C3E">
              <w:rPr>
                <w:rFonts w:ascii="Times New Roman" w:hAnsi="Times New Roman" w:cs="Times New Roman"/>
                <w:i/>
                <w:sz w:val="24"/>
              </w:rPr>
              <w:t>Hợp nhất kinh doanh</w:t>
            </w:r>
            <w:r w:rsidRPr="009D6C3E">
              <w:rPr>
                <w:rFonts w:ascii="Times New Roman" w:hAnsi="Times New Roman" w:cs="Times New Roman"/>
                <w:sz w:val="24"/>
              </w:rPr>
              <w:t>)</w:t>
            </w:r>
            <w:r w:rsidR="002939F6" w:rsidRPr="009D6C3E">
              <w:rPr>
                <w:rFonts w:ascii="Times New Roman" w:hAnsi="Times New Roman" w:cs="Times New Roman"/>
                <w:sz w:val="24"/>
              </w:rPr>
              <w:t>.</w:t>
            </w:r>
          </w:p>
          <w:p w:rsidR="002939F6" w:rsidRPr="009D6C3E" w:rsidRDefault="002939F6" w:rsidP="002939F6">
            <w:pPr>
              <w:spacing w:before="120" w:after="120"/>
              <w:jc w:val="both"/>
              <w:rPr>
                <w:rFonts w:ascii="Times New Roman" w:hAnsi="Times New Roman" w:cs="Times New Roman"/>
                <w:sz w:val="24"/>
              </w:rPr>
            </w:pPr>
            <w:r w:rsidRPr="009D6C3E">
              <w:rPr>
                <w:rFonts w:ascii="Times New Roman" w:hAnsi="Times New Roman" w:cs="Times New Roman"/>
                <w:sz w:val="24"/>
              </w:rPr>
              <w:t xml:space="preserve">6.           Một đơn vị không phải áp dụng </w:t>
            </w:r>
            <w:r w:rsidR="00EA2CCB" w:rsidRPr="009D6C3E">
              <w:rPr>
                <w:rFonts w:ascii="Times New Roman" w:hAnsi="Times New Roman" w:cs="Times New Roman"/>
                <w:sz w:val="24"/>
              </w:rPr>
              <w:t>Diễn giải</w:t>
            </w:r>
            <w:r w:rsidRPr="009D6C3E">
              <w:rPr>
                <w:rFonts w:ascii="Times New Roman" w:hAnsi="Times New Roman" w:cs="Times New Roman"/>
                <w:sz w:val="24"/>
              </w:rPr>
              <w:t xml:space="preserve"> này đối với:</w:t>
            </w:r>
          </w:p>
          <w:p w:rsidR="002939F6" w:rsidRPr="009D6C3E" w:rsidRDefault="002939F6" w:rsidP="002939F6">
            <w:pPr>
              <w:pStyle w:val="ListParagraph"/>
              <w:numPr>
                <w:ilvl w:val="0"/>
                <w:numId w:val="10"/>
              </w:numPr>
              <w:spacing w:before="120" w:after="120"/>
              <w:ind w:left="1588" w:hanging="708"/>
              <w:jc w:val="both"/>
              <w:rPr>
                <w:rFonts w:ascii="Times New Roman" w:hAnsi="Times New Roman" w:cs="Times New Roman"/>
                <w:sz w:val="24"/>
              </w:rPr>
            </w:pPr>
            <w:r w:rsidRPr="009D6C3E">
              <w:rPr>
                <w:rFonts w:ascii="Times New Roman" w:hAnsi="Times New Roman" w:cs="Times New Roman"/>
                <w:sz w:val="24"/>
              </w:rPr>
              <w:t>Thuế thu nhập doanh nghiệp; hoặc</w:t>
            </w:r>
          </w:p>
          <w:p w:rsidR="002939F6" w:rsidRPr="009D6C3E" w:rsidRDefault="002939F6" w:rsidP="002939F6">
            <w:pPr>
              <w:pStyle w:val="ListParagraph"/>
              <w:numPr>
                <w:ilvl w:val="0"/>
                <w:numId w:val="10"/>
              </w:numPr>
              <w:spacing w:before="120" w:after="120"/>
              <w:ind w:left="1588" w:hanging="708"/>
              <w:jc w:val="both"/>
              <w:rPr>
                <w:rFonts w:ascii="Times New Roman" w:hAnsi="Times New Roman" w:cs="Times New Roman"/>
                <w:sz w:val="24"/>
              </w:rPr>
            </w:pPr>
            <w:r w:rsidRPr="009D6C3E">
              <w:rPr>
                <w:rFonts w:ascii="Times New Roman" w:hAnsi="Times New Roman" w:cs="Times New Roman"/>
                <w:sz w:val="24"/>
              </w:rPr>
              <w:t>Hợp đồng bảo hiểm (bao gồm hợp đồng tái bảo hiểm) mà đơn vị phát hành hoặc hợp đồng tái bảo hiểm mà đơn vị nắm giữ.</w:t>
            </w:r>
          </w:p>
        </w:tc>
      </w:tr>
      <w:tr w:rsidR="00010813" w:rsidRPr="009D6C3E" w:rsidTr="00C76329">
        <w:tc>
          <w:tcPr>
            <w:tcW w:w="9016" w:type="dxa"/>
            <w:tcBorders>
              <w:bottom w:val="single" w:sz="4" w:space="0" w:color="auto"/>
            </w:tcBorders>
          </w:tcPr>
          <w:p w:rsidR="00010813" w:rsidRPr="009D6C3E" w:rsidRDefault="002041AA" w:rsidP="00010813">
            <w:pPr>
              <w:spacing w:before="120" w:after="120"/>
              <w:jc w:val="both"/>
              <w:rPr>
                <w:rFonts w:ascii="Arial" w:hAnsi="Arial" w:cs="Arial"/>
                <w:b/>
                <w:sz w:val="24"/>
              </w:rPr>
            </w:pPr>
            <w:r w:rsidRPr="009D6C3E">
              <w:rPr>
                <w:rFonts w:ascii="Arial" w:hAnsi="Arial" w:cs="Arial"/>
                <w:b/>
              </w:rPr>
              <w:t>Vấn đề đưa ra</w:t>
            </w:r>
          </w:p>
        </w:tc>
      </w:tr>
      <w:tr w:rsidR="002939F6" w:rsidRPr="009D6C3E" w:rsidTr="00C76329">
        <w:tc>
          <w:tcPr>
            <w:tcW w:w="9016" w:type="dxa"/>
            <w:tcBorders>
              <w:top w:val="single" w:sz="4" w:space="0" w:color="auto"/>
            </w:tcBorders>
          </w:tcPr>
          <w:p w:rsidR="002939F6" w:rsidRPr="009D6C3E" w:rsidRDefault="00EA2CCB" w:rsidP="00581C6E">
            <w:pPr>
              <w:pStyle w:val="ListParagraph"/>
              <w:numPr>
                <w:ilvl w:val="0"/>
                <w:numId w:val="12"/>
              </w:numPr>
              <w:spacing w:before="120" w:after="120"/>
              <w:ind w:left="880" w:hanging="927"/>
              <w:jc w:val="both"/>
              <w:rPr>
                <w:rFonts w:ascii="Times New Roman" w:hAnsi="Times New Roman" w:cs="Times New Roman"/>
                <w:sz w:val="24"/>
              </w:rPr>
            </w:pPr>
            <w:r w:rsidRPr="009D6C3E">
              <w:rPr>
                <w:rFonts w:ascii="Times New Roman" w:hAnsi="Times New Roman" w:cs="Times New Roman"/>
                <w:sz w:val="24"/>
              </w:rPr>
              <w:t>Diễn giải</w:t>
            </w:r>
            <w:r w:rsidR="002939F6" w:rsidRPr="009D6C3E">
              <w:rPr>
                <w:rFonts w:ascii="Times New Roman" w:hAnsi="Times New Roman" w:cs="Times New Roman"/>
                <w:sz w:val="24"/>
              </w:rPr>
              <w:t xml:space="preserve"> này đề cập đến làm cách nào để xác định ngày giao dịch cho mục đích xác định tỷ giá hối đoái áp dụng cho ghi nhận ban đầu của tài sản, chi phí hoặc thu nhập có liên quan (hoặc một phần) đối với việc dừng ghi nhận tài sản phi tiền tệ hoặc nợ phải trả phi tiền tệ phát sinh từ việc ứng trước hoặc nhận ứng trước một khoản bằng ngoại tệ.</w:t>
            </w:r>
          </w:p>
        </w:tc>
      </w:tr>
      <w:tr w:rsidR="006065A8" w:rsidRPr="009D6C3E" w:rsidTr="00C76329">
        <w:tc>
          <w:tcPr>
            <w:tcW w:w="9016" w:type="dxa"/>
            <w:tcBorders>
              <w:bottom w:val="single" w:sz="4" w:space="0" w:color="auto"/>
            </w:tcBorders>
          </w:tcPr>
          <w:p w:rsidR="006065A8" w:rsidRPr="009D6C3E" w:rsidRDefault="006065A8" w:rsidP="006065A8">
            <w:pPr>
              <w:spacing w:before="120" w:after="120"/>
              <w:jc w:val="both"/>
              <w:rPr>
                <w:rFonts w:ascii="Times New Roman" w:hAnsi="Times New Roman" w:cs="Times New Roman"/>
                <w:sz w:val="24"/>
              </w:rPr>
            </w:pPr>
            <w:r w:rsidRPr="009D6C3E">
              <w:rPr>
                <w:rFonts w:ascii="Arial" w:hAnsi="Arial" w:cs="Arial"/>
                <w:b/>
              </w:rPr>
              <w:t>Sự đồng thuận</w:t>
            </w:r>
          </w:p>
        </w:tc>
      </w:tr>
      <w:tr w:rsidR="006065A8" w:rsidRPr="009D6C3E" w:rsidTr="00C76329">
        <w:tc>
          <w:tcPr>
            <w:tcW w:w="9016" w:type="dxa"/>
            <w:tcBorders>
              <w:top w:val="single" w:sz="4" w:space="0" w:color="auto"/>
            </w:tcBorders>
          </w:tcPr>
          <w:p w:rsidR="006065A8" w:rsidRPr="009D6C3E" w:rsidRDefault="006065A8" w:rsidP="006065A8">
            <w:pPr>
              <w:pStyle w:val="ListParagraph"/>
              <w:numPr>
                <w:ilvl w:val="0"/>
                <w:numId w:val="12"/>
              </w:numPr>
              <w:spacing w:before="120" w:after="120"/>
              <w:ind w:left="880" w:hanging="927"/>
              <w:jc w:val="both"/>
              <w:rPr>
                <w:rFonts w:ascii="Times New Roman" w:hAnsi="Times New Roman" w:cs="Times New Roman"/>
                <w:sz w:val="24"/>
              </w:rPr>
            </w:pPr>
            <w:r w:rsidRPr="009D6C3E">
              <w:rPr>
                <w:rFonts w:ascii="Times New Roman" w:hAnsi="Times New Roman" w:cs="Times New Roman"/>
                <w:sz w:val="24"/>
              </w:rPr>
              <w:t>Việc áp dụng đoạn 21-22 của IAS 21, ngày giao dịch cho mục đích xác định tỷ giá hối đoái áp dụng cho ghi nhận ban đầu của tài sản, chi phí hoặc thu nhập có liên quan (hoặc một phần) là ngày mà tại đó đơn vị lần đầu tiên ghi nhận tài sản phi tiền tệ hoặc nợ phải trả phi tiền tệ từ việc ứng trước hoặc nhận ứng trước.</w:t>
            </w:r>
          </w:p>
        </w:tc>
      </w:tr>
      <w:tr w:rsidR="006065A8" w:rsidRPr="009D6C3E" w:rsidTr="00EE0D73">
        <w:tc>
          <w:tcPr>
            <w:tcW w:w="9016" w:type="dxa"/>
          </w:tcPr>
          <w:p w:rsidR="006065A8" w:rsidRPr="009D6C3E" w:rsidRDefault="006065A8" w:rsidP="006065A8">
            <w:pPr>
              <w:pStyle w:val="ListParagraph"/>
              <w:numPr>
                <w:ilvl w:val="0"/>
                <w:numId w:val="12"/>
              </w:numPr>
              <w:spacing w:before="120" w:after="120"/>
              <w:ind w:left="880" w:hanging="927"/>
              <w:jc w:val="both"/>
              <w:rPr>
                <w:rFonts w:ascii="Times New Roman" w:hAnsi="Times New Roman" w:cs="Times New Roman"/>
                <w:sz w:val="24"/>
              </w:rPr>
            </w:pPr>
            <w:r w:rsidRPr="009D6C3E">
              <w:rPr>
                <w:rFonts w:ascii="Times New Roman" w:hAnsi="Times New Roman" w:cs="Times New Roman"/>
                <w:sz w:val="24"/>
              </w:rPr>
              <w:t>Nếu có nhiều khoản ứng trước hoặc nhận ứng trước, đơn vị sẽ phải xác định ngày giao dịch của mỗi khoản ứng trước hoặc nhận ứng trước đó.</w:t>
            </w:r>
          </w:p>
        </w:tc>
      </w:tr>
    </w:tbl>
    <w:p w:rsidR="004536E0" w:rsidRPr="009D6C3E" w:rsidRDefault="004536E0" w:rsidP="009E3104">
      <w:pPr>
        <w:jc w:val="both"/>
        <w:rPr>
          <w:rFonts w:ascii="Times New Roman" w:hAnsi="Times New Roman" w:cs="Times New Roman"/>
          <w:sz w:val="24"/>
        </w:rPr>
      </w:pPr>
    </w:p>
    <w:p w:rsidR="006065A8" w:rsidRPr="009D6C3E" w:rsidRDefault="006065A8" w:rsidP="009E3104">
      <w:pPr>
        <w:jc w:val="both"/>
        <w:rPr>
          <w:rFonts w:ascii="Times New Roman" w:hAnsi="Times New Roman" w:cs="Times New Roman"/>
          <w:sz w:val="24"/>
        </w:rPr>
      </w:pPr>
    </w:p>
    <w:p w:rsidR="006065A8" w:rsidRPr="009D6C3E" w:rsidRDefault="006065A8">
      <w:pPr>
        <w:rPr>
          <w:rFonts w:ascii="Times New Roman" w:hAnsi="Times New Roman" w:cs="Times New Roman"/>
          <w:sz w:val="24"/>
        </w:rPr>
      </w:pPr>
      <w:r w:rsidRPr="009D6C3E">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6"/>
      </w:tblGrid>
      <w:tr w:rsidR="006065A8" w:rsidRPr="009D6C3E" w:rsidTr="00C76329">
        <w:tc>
          <w:tcPr>
            <w:tcW w:w="9016" w:type="dxa"/>
          </w:tcPr>
          <w:p w:rsidR="006065A8" w:rsidRPr="009D6C3E" w:rsidRDefault="006065A8" w:rsidP="006065A8">
            <w:pPr>
              <w:spacing w:before="120" w:after="120"/>
              <w:jc w:val="both"/>
              <w:rPr>
                <w:rFonts w:ascii="Arial" w:hAnsi="Arial" w:cs="Arial"/>
                <w:b/>
                <w:sz w:val="24"/>
              </w:rPr>
            </w:pPr>
            <w:r w:rsidRPr="009D6C3E">
              <w:rPr>
                <w:rFonts w:ascii="Arial" w:hAnsi="Arial" w:cs="Arial"/>
                <w:b/>
                <w:sz w:val="24"/>
              </w:rPr>
              <w:lastRenderedPageBreak/>
              <w:t>Phụ lục A</w:t>
            </w:r>
          </w:p>
          <w:p w:rsidR="006065A8" w:rsidRPr="009D6C3E" w:rsidRDefault="006065A8" w:rsidP="006065A8">
            <w:pPr>
              <w:spacing w:before="120" w:after="120"/>
              <w:jc w:val="both"/>
              <w:rPr>
                <w:rFonts w:ascii="Arial" w:hAnsi="Arial" w:cs="Arial"/>
                <w:b/>
                <w:sz w:val="24"/>
              </w:rPr>
            </w:pPr>
            <w:r w:rsidRPr="009D6C3E">
              <w:rPr>
                <w:rFonts w:ascii="Arial" w:hAnsi="Arial" w:cs="Arial"/>
                <w:b/>
                <w:sz w:val="24"/>
              </w:rPr>
              <w:t>Ngày hiệu lực và chuyển tiếp</w:t>
            </w:r>
          </w:p>
          <w:p w:rsidR="006065A8" w:rsidRPr="009D6C3E" w:rsidRDefault="006065A8" w:rsidP="006065A8">
            <w:pPr>
              <w:spacing w:before="120" w:after="120"/>
              <w:jc w:val="both"/>
              <w:rPr>
                <w:rFonts w:ascii="Times New Roman" w:hAnsi="Times New Roman" w:cs="Times New Roman"/>
                <w:sz w:val="24"/>
              </w:rPr>
            </w:pPr>
          </w:p>
          <w:p w:rsidR="006065A8" w:rsidRPr="009D6C3E" w:rsidRDefault="006065A8" w:rsidP="006065A8">
            <w:pPr>
              <w:spacing w:before="120" w:after="120"/>
              <w:jc w:val="both"/>
              <w:rPr>
                <w:rFonts w:ascii="Times New Roman" w:hAnsi="Times New Roman" w:cs="Times New Roman"/>
                <w:sz w:val="24"/>
              </w:rPr>
            </w:pPr>
          </w:p>
          <w:p w:rsidR="006065A8" w:rsidRPr="009D6C3E" w:rsidRDefault="006065A8" w:rsidP="006065A8">
            <w:pPr>
              <w:spacing w:before="120" w:after="120"/>
              <w:jc w:val="both"/>
              <w:rPr>
                <w:rFonts w:ascii="Times New Roman" w:hAnsi="Times New Roman" w:cs="Times New Roman"/>
                <w:i/>
                <w:sz w:val="24"/>
              </w:rPr>
            </w:pPr>
            <w:r w:rsidRPr="009D6C3E">
              <w:rPr>
                <w:rFonts w:ascii="Times New Roman" w:hAnsi="Times New Roman" w:cs="Times New Roman"/>
                <w:i/>
                <w:sz w:val="24"/>
              </w:rPr>
              <w:t>Phụ lục này là một phần không thể thiếu của IFRIC 22 và có cùng thẩm quyền như các phần khác của IFRIC 22</w:t>
            </w:r>
          </w:p>
        </w:tc>
      </w:tr>
      <w:tr w:rsidR="00C76329" w:rsidRPr="009D6C3E" w:rsidTr="00C76329">
        <w:tc>
          <w:tcPr>
            <w:tcW w:w="9016" w:type="dxa"/>
            <w:tcBorders>
              <w:bottom w:val="single" w:sz="4" w:space="0" w:color="auto"/>
            </w:tcBorders>
          </w:tcPr>
          <w:p w:rsidR="00C76329" w:rsidRPr="009D6C3E" w:rsidRDefault="00C76329" w:rsidP="006065A8">
            <w:pPr>
              <w:spacing w:before="120" w:after="120"/>
              <w:jc w:val="both"/>
              <w:rPr>
                <w:rFonts w:ascii="Arial" w:hAnsi="Arial" w:cs="Arial"/>
                <w:b/>
                <w:sz w:val="24"/>
              </w:rPr>
            </w:pPr>
            <w:r w:rsidRPr="009D6C3E">
              <w:rPr>
                <w:rFonts w:ascii="Arial" w:hAnsi="Arial" w:cs="Arial"/>
                <w:b/>
                <w:sz w:val="24"/>
              </w:rPr>
              <w:t>Ngày hiệu lực</w:t>
            </w:r>
          </w:p>
        </w:tc>
      </w:tr>
      <w:tr w:rsidR="006065A8" w:rsidRPr="009D6C3E" w:rsidTr="002F7968">
        <w:tc>
          <w:tcPr>
            <w:tcW w:w="9016" w:type="dxa"/>
            <w:tcBorders>
              <w:top w:val="single" w:sz="4" w:space="0" w:color="auto"/>
            </w:tcBorders>
          </w:tcPr>
          <w:p w:rsidR="006065A8" w:rsidRPr="009D6C3E" w:rsidRDefault="006065A8" w:rsidP="006065A8">
            <w:pPr>
              <w:pStyle w:val="ListParagraph"/>
              <w:numPr>
                <w:ilvl w:val="0"/>
                <w:numId w:val="14"/>
              </w:numPr>
              <w:spacing w:before="120" w:after="120"/>
              <w:ind w:left="880" w:hanging="880"/>
              <w:jc w:val="both"/>
              <w:rPr>
                <w:rFonts w:ascii="Times New Roman" w:hAnsi="Times New Roman" w:cs="Times New Roman"/>
                <w:sz w:val="24"/>
              </w:rPr>
            </w:pPr>
            <w:r w:rsidRPr="009D6C3E">
              <w:rPr>
                <w:rFonts w:ascii="Times New Roman" w:hAnsi="Times New Roman" w:cs="Times New Roman"/>
                <w:sz w:val="24"/>
              </w:rPr>
              <w:t xml:space="preserve">Đơn vị sẽ phải áp dụng </w:t>
            </w:r>
            <w:r w:rsidR="00EA2CCB" w:rsidRPr="009D6C3E">
              <w:rPr>
                <w:rFonts w:ascii="Times New Roman" w:hAnsi="Times New Roman" w:cs="Times New Roman"/>
                <w:sz w:val="24"/>
              </w:rPr>
              <w:t>Diễn giải</w:t>
            </w:r>
            <w:r w:rsidRPr="009D6C3E">
              <w:rPr>
                <w:rFonts w:ascii="Times New Roman" w:hAnsi="Times New Roman" w:cs="Times New Roman"/>
                <w:sz w:val="24"/>
              </w:rPr>
              <w:t xml:space="preserve"> này </w:t>
            </w:r>
            <w:r w:rsidR="00EA2CCB" w:rsidRPr="009D6C3E">
              <w:rPr>
                <w:rFonts w:ascii="Times New Roman" w:hAnsi="Times New Roman" w:cs="Times New Roman"/>
                <w:sz w:val="24"/>
              </w:rPr>
              <w:t>cho kỳ báo cáo thường niên bắt đầu hoặc sau ngày 01 tháng 01 năm 2018. Việc áp dụng sớm hơn được cho phép. Nếu đơn vị áp dụng Diễn giải này cho kỳ sớm hơn, thì đơn vị phải công bố vấn đề này.</w:t>
            </w:r>
          </w:p>
        </w:tc>
      </w:tr>
      <w:tr w:rsidR="006065A8" w:rsidRPr="009D6C3E" w:rsidTr="002F7968">
        <w:tc>
          <w:tcPr>
            <w:tcW w:w="9016" w:type="dxa"/>
            <w:tcBorders>
              <w:bottom w:val="single" w:sz="4" w:space="0" w:color="auto"/>
            </w:tcBorders>
          </w:tcPr>
          <w:p w:rsidR="006065A8" w:rsidRPr="009D6C3E" w:rsidRDefault="00EA2CCB" w:rsidP="006065A8">
            <w:pPr>
              <w:spacing w:before="120" w:after="120"/>
              <w:jc w:val="both"/>
              <w:rPr>
                <w:rFonts w:ascii="Times New Roman" w:hAnsi="Times New Roman" w:cs="Times New Roman"/>
                <w:sz w:val="24"/>
              </w:rPr>
            </w:pPr>
            <w:r w:rsidRPr="009D6C3E">
              <w:rPr>
                <w:rFonts w:ascii="Arial" w:hAnsi="Arial" w:cs="Arial"/>
                <w:b/>
                <w:sz w:val="24"/>
              </w:rPr>
              <w:t>Chuyển tiếp</w:t>
            </w:r>
          </w:p>
        </w:tc>
      </w:tr>
      <w:tr w:rsidR="00EA2CCB" w:rsidRPr="009D6C3E" w:rsidTr="002F7968">
        <w:tc>
          <w:tcPr>
            <w:tcW w:w="9016" w:type="dxa"/>
            <w:tcBorders>
              <w:top w:val="single" w:sz="4" w:space="0" w:color="auto"/>
            </w:tcBorders>
          </w:tcPr>
          <w:p w:rsidR="00EA2CCB" w:rsidRPr="009D6C3E" w:rsidRDefault="00EA2CCB" w:rsidP="00EA2CCB">
            <w:pPr>
              <w:pStyle w:val="ListParagraph"/>
              <w:numPr>
                <w:ilvl w:val="0"/>
                <w:numId w:val="14"/>
              </w:numPr>
              <w:spacing w:before="120" w:after="120"/>
              <w:ind w:left="880" w:hanging="880"/>
              <w:jc w:val="both"/>
              <w:rPr>
                <w:rFonts w:ascii="Times New Roman" w:hAnsi="Times New Roman" w:cs="Times New Roman"/>
                <w:sz w:val="24"/>
              </w:rPr>
            </w:pPr>
            <w:r w:rsidRPr="009D6C3E">
              <w:rPr>
                <w:rFonts w:ascii="Times New Roman" w:hAnsi="Times New Roman" w:cs="Times New Roman"/>
                <w:sz w:val="24"/>
              </w:rPr>
              <w:t>Đối với việc áp dụng lần đầu, đơn vị sẽ phải áp dụng Hương dẫn này hoặc:</w:t>
            </w:r>
          </w:p>
          <w:p w:rsidR="00EA2CCB" w:rsidRPr="009D6C3E" w:rsidRDefault="00EA2CCB" w:rsidP="00EA2CCB">
            <w:pPr>
              <w:pStyle w:val="ListParagraph"/>
              <w:numPr>
                <w:ilvl w:val="0"/>
                <w:numId w:val="15"/>
              </w:numPr>
              <w:spacing w:before="120" w:after="120"/>
              <w:ind w:hanging="473"/>
              <w:jc w:val="both"/>
              <w:rPr>
                <w:rFonts w:ascii="Times New Roman" w:hAnsi="Times New Roman" w:cs="Times New Roman"/>
                <w:sz w:val="24"/>
              </w:rPr>
            </w:pPr>
            <w:r w:rsidRPr="009D6C3E">
              <w:rPr>
                <w:rFonts w:ascii="Times New Roman" w:hAnsi="Times New Roman" w:cs="Times New Roman"/>
                <w:sz w:val="24"/>
              </w:rPr>
              <w:t xml:space="preserve">Áp dụng hồi tố theo IAS 8 </w:t>
            </w:r>
            <w:r w:rsidRPr="009D6C3E">
              <w:rPr>
                <w:rFonts w:ascii="Times New Roman" w:hAnsi="Times New Roman" w:cs="Times New Roman"/>
                <w:i/>
                <w:sz w:val="24"/>
              </w:rPr>
              <w:t xml:space="preserve">Chính sách kế toán, </w:t>
            </w:r>
            <w:r w:rsidR="00725554" w:rsidRPr="009D6C3E">
              <w:rPr>
                <w:rFonts w:ascii="Times New Roman" w:hAnsi="Times New Roman" w:cs="Times New Roman"/>
                <w:i/>
                <w:sz w:val="24"/>
              </w:rPr>
              <w:t xml:space="preserve">các </w:t>
            </w:r>
            <w:r w:rsidRPr="009D6C3E">
              <w:rPr>
                <w:rFonts w:ascii="Times New Roman" w:hAnsi="Times New Roman" w:cs="Times New Roman"/>
                <w:i/>
                <w:sz w:val="24"/>
              </w:rPr>
              <w:t xml:space="preserve">thay đổi trong các ước tính và </w:t>
            </w:r>
            <w:r w:rsidR="00725554" w:rsidRPr="009D6C3E">
              <w:rPr>
                <w:rFonts w:ascii="Times New Roman" w:hAnsi="Times New Roman" w:cs="Times New Roman"/>
                <w:i/>
                <w:sz w:val="24"/>
              </w:rPr>
              <w:t>s</w:t>
            </w:r>
            <w:r w:rsidRPr="009D6C3E">
              <w:rPr>
                <w:rFonts w:ascii="Times New Roman" w:hAnsi="Times New Roman" w:cs="Times New Roman"/>
                <w:i/>
                <w:sz w:val="24"/>
              </w:rPr>
              <w:t>ai sót</w:t>
            </w:r>
            <w:r w:rsidR="00725554" w:rsidRPr="009D6C3E">
              <w:rPr>
                <w:rFonts w:ascii="Times New Roman" w:hAnsi="Times New Roman" w:cs="Times New Roman"/>
                <w:i/>
                <w:sz w:val="24"/>
              </w:rPr>
              <w:t xml:space="preserve"> kế toán</w:t>
            </w:r>
            <w:r w:rsidRPr="009D6C3E">
              <w:rPr>
                <w:rFonts w:ascii="Times New Roman" w:hAnsi="Times New Roman" w:cs="Times New Roman"/>
                <w:i/>
                <w:sz w:val="24"/>
              </w:rPr>
              <w:t xml:space="preserve">; </w:t>
            </w:r>
            <w:r w:rsidRPr="009D6C3E">
              <w:rPr>
                <w:rFonts w:ascii="Times New Roman" w:hAnsi="Times New Roman" w:cs="Times New Roman"/>
                <w:sz w:val="24"/>
              </w:rPr>
              <w:t xml:space="preserve">hoặc </w:t>
            </w:r>
          </w:p>
          <w:p w:rsidR="00EA2CCB" w:rsidRPr="009D6C3E" w:rsidRDefault="00EA2CCB" w:rsidP="00EA2CCB">
            <w:pPr>
              <w:pStyle w:val="ListParagraph"/>
              <w:numPr>
                <w:ilvl w:val="0"/>
                <w:numId w:val="15"/>
              </w:numPr>
              <w:spacing w:before="120" w:after="120"/>
              <w:ind w:hanging="473"/>
              <w:jc w:val="both"/>
              <w:rPr>
                <w:rFonts w:ascii="Times New Roman" w:hAnsi="Times New Roman" w:cs="Times New Roman"/>
                <w:sz w:val="24"/>
              </w:rPr>
            </w:pPr>
            <w:r w:rsidRPr="009D6C3E">
              <w:rPr>
                <w:rFonts w:ascii="Times New Roman" w:hAnsi="Times New Roman" w:cs="Times New Roman"/>
                <w:sz w:val="24"/>
              </w:rPr>
              <w:t>Phi hồi tố cho tất cả tài sản, chi phí và thu nhập trong phạm vi của Diễn giải mà được ghi nhận lần đầu vào hoặc sau:</w:t>
            </w:r>
          </w:p>
          <w:p w:rsidR="00EA2CCB" w:rsidRPr="009D6C3E" w:rsidRDefault="00EA2CCB" w:rsidP="00EA2CCB">
            <w:pPr>
              <w:pStyle w:val="ListParagraph"/>
              <w:numPr>
                <w:ilvl w:val="2"/>
                <w:numId w:val="16"/>
              </w:numPr>
              <w:spacing w:before="120" w:after="120"/>
              <w:ind w:hanging="855"/>
              <w:jc w:val="both"/>
              <w:rPr>
                <w:rFonts w:ascii="Times New Roman" w:hAnsi="Times New Roman" w:cs="Times New Roman"/>
                <w:sz w:val="24"/>
              </w:rPr>
            </w:pPr>
            <w:r w:rsidRPr="009D6C3E">
              <w:rPr>
                <w:rFonts w:ascii="Times New Roman" w:hAnsi="Times New Roman" w:cs="Times New Roman"/>
                <w:sz w:val="24"/>
              </w:rPr>
              <w:t>Ngày bắt đầu của kỳ báo cáo mà đơn vị áp dụng lần đầu tiên Diễn giải này; hoặc</w:t>
            </w:r>
          </w:p>
          <w:p w:rsidR="00EA2CCB" w:rsidRPr="009D6C3E" w:rsidRDefault="00EA2CCB" w:rsidP="00EA2CCB">
            <w:pPr>
              <w:pStyle w:val="ListParagraph"/>
              <w:numPr>
                <w:ilvl w:val="2"/>
                <w:numId w:val="16"/>
              </w:numPr>
              <w:spacing w:before="120" w:after="120"/>
              <w:ind w:hanging="855"/>
              <w:jc w:val="both"/>
              <w:rPr>
                <w:rFonts w:ascii="Times New Roman" w:hAnsi="Times New Roman" w:cs="Times New Roman"/>
                <w:sz w:val="24"/>
              </w:rPr>
            </w:pPr>
            <w:r w:rsidRPr="009D6C3E">
              <w:rPr>
                <w:rFonts w:ascii="Times New Roman" w:hAnsi="Times New Roman" w:cs="Times New Roman"/>
                <w:sz w:val="24"/>
              </w:rPr>
              <w:t>Ngày đầu tiên của kỳ báo cáo trước được trình bày như thông tin so sánh trên báo cáo tài chính của kỳ báo cáo mà đơn vị lần đầu tiên áp dụng Diễn giải.</w:t>
            </w:r>
          </w:p>
        </w:tc>
      </w:tr>
      <w:tr w:rsidR="006065A8" w:rsidRPr="009D6C3E" w:rsidTr="00EE0D73">
        <w:tc>
          <w:tcPr>
            <w:tcW w:w="9016" w:type="dxa"/>
          </w:tcPr>
          <w:p w:rsidR="006065A8" w:rsidRPr="009D6C3E" w:rsidRDefault="000A3630" w:rsidP="00236D1C">
            <w:pPr>
              <w:pStyle w:val="ListParagraph"/>
              <w:numPr>
                <w:ilvl w:val="0"/>
                <w:numId w:val="14"/>
              </w:numPr>
              <w:spacing w:before="120" w:after="120"/>
              <w:ind w:left="880" w:hanging="851"/>
              <w:jc w:val="both"/>
              <w:rPr>
                <w:rFonts w:ascii="Times New Roman" w:hAnsi="Times New Roman" w:cs="Times New Roman"/>
                <w:sz w:val="24"/>
              </w:rPr>
            </w:pPr>
            <w:r w:rsidRPr="009D6C3E">
              <w:rPr>
                <w:rFonts w:ascii="Times New Roman" w:hAnsi="Times New Roman" w:cs="Times New Roman"/>
                <w:sz w:val="24"/>
              </w:rPr>
              <w:t xml:space="preserve">Đơn vị áp dụng đoạn </w:t>
            </w:r>
            <w:proofErr w:type="gramStart"/>
            <w:r w:rsidRPr="009D6C3E">
              <w:rPr>
                <w:rFonts w:ascii="Times New Roman" w:hAnsi="Times New Roman" w:cs="Times New Roman"/>
                <w:sz w:val="24"/>
              </w:rPr>
              <w:t>A2(</w:t>
            </w:r>
            <w:proofErr w:type="gramEnd"/>
            <w:r w:rsidRPr="009D6C3E">
              <w:rPr>
                <w:rFonts w:ascii="Times New Roman" w:hAnsi="Times New Roman" w:cs="Times New Roman"/>
                <w:sz w:val="24"/>
              </w:rPr>
              <w:t>b), trong lần đầu áp dụng, sẽ phải áp dụng Diễn giải này cho tài sản, chi phí và thu nhập lần đầu tiên được ghi nhận vào hoặc sau</w:t>
            </w:r>
            <w:r w:rsidR="00236D1C" w:rsidRPr="009D6C3E">
              <w:rPr>
                <w:rFonts w:ascii="Times New Roman" w:hAnsi="Times New Roman" w:cs="Times New Roman"/>
                <w:sz w:val="24"/>
              </w:rPr>
              <w:t xml:space="preserve"> ngày</w:t>
            </w:r>
            <w:r w:rsidRPr="009D6C3E">
              <w:rPr>
                <w:rFonts w:ascii="Times New Roman" w:hAnsi="Times New Roman" w:cs="Times New Roman"/>
                <w:sz w:val="24"/>
              </w:rPr>
              <w:t xml:space="preserve"> bắt đầu của kỳ báo cáo ở đoạn A2(b)(i) hoặc (ii) cho đơn vị đã ghi nhận tài sản và nợ phải trả phi tiền tệ </w:t>
            </w:r>
            <w:r w:rsidR="00236D1C" w:rsidRPr="009D6C3E">
              <w:rPr>
                <w:rFonts w:ascii="Times New Roman" w:hAnsi="Times New Roman" w:cs="Times New Roman"/>
                <w:sz w:val="24"/>
              </w:rPr>
              <w:t>phát sinh từ các khoản thanh toán trước trước ngày đó.</w:t>
            </w:r>
          </w:p>
        </w:tc>
      </w:tr>
    </w:tbl>
    <w:p w:rsidR="0001468E" w:rsidRPr="009D6C3E" w:rsidRDefault="0001468E" w:rsidP="009E3104">
      <w:pPr>
        <w:jc w:val="both"/>
        <w:rPr>
          <w:rFonts w:ascii="Times New Roman" w:hAnsi="Times New Roman" w:cs="Times New Roman"/>
          <w:sz w:val="24"/>
        </w:rPr>
      </w:pPr>
    </w:p>
    <w:p w:rsidR="0001468E" w:rsidRPr="009D6C3E" w:rsidRDefault="0001468E">
      <w:pPr>
        <w:rPr>
          <w:rFonts w:ascii="Times New Roman" w:hAnsi="Times New Roman" w:cs="Times New Roman"/>
          <w:sz w:val="24"/>
        </w:rPr>
      </w:pPr>
      <w:r w:rsidRPr="009D6C3E">
        <w:rPr>
          <w:rFonts w:ascii="Times New Roman" w:hAnsi="Times New Roman" w:cs="Times New Roman"/>
          <w:sz w:val="24"/>
        </w:rPr>
        <w:br w:type="page"/>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6"/>
      </w:tblGrid>
      <w:tr w:rsidR="0001468E" w:rsidRPr="009D6C3E" w:rsidTr="002F7968">
        <w:tc>
          <w:tcPr>
            <w:tcW w:w="9016" w:type="dxa"/>
            <w:tcBorders>
              <w:bottom w:val="single" w:sz="4" w:space="0" w:color="auto"/>
            </w:tcBorders>
          </w:tcPr>
          <w:p w:rsidR="0001468E" w:rsidRPr="009D6C3E" w:rsidRDefault="0001468E" w:rsidP="009E3104">
            <w:pPr>
              <w:jc w:val="both"/>
              <w:rPr>
                <w:rFonts w:ascii="Arial" w:hAnsi="Arial" w:cs="Arial"/>
                <w:b/>
                <w:sz w:val="26"/>
              </w:rPr>
            </w:pPr>
            <w:r w:rsidRPr="009D6C3E">
              <w:rPr>
                <w:rFonts w:ascii="Arial" w:hAnsi="Arial" w:cs="Arial"/>
                <w:b/>
                <w:sz w:val="26"/>
              </w:rPr>
              <w:lastRenderedPageBreak/>
              <w:t>Phụ lục B</w:t>
            </w:r>
          </w:p>
          <w:p w:rsidR="0001468E" w:rsidRPr="009D6C3E" w:rsidRDefault="0001468E" w:rsidP="009E3104">
            <w:pPr>
              <w:jc w:val="both"/>
              <w:rPr>
                <w:rFonts w:ascii="Times New Roman" w:hAnsi="Times New Roman" w:cs="Times New Roman"/>
                <w:sz w:val="24"/>
              </w:rPr>
            </w:pPr>
          </w:p>
          <w:p w:rsidR="0001468E" w:rsidRPr="009D6C3E" w:rsidRDefault="0001468E" w:rsidP="009E3104">
            <w:pPr>
              <w:jc w:val="both"/>
              <w:rPr>
                <w:rFonts w:ascii="Times New Roman" w:hAnsi="Times New Roman" w:cs="Times New Roman"/>
                <w:sz w:val="24"/>
              </w:rPr>
            </w:pPr>
          </w:p>
          <w:p w:rsidR="0001468E" w:rsidRPr="009D6C3E" w:rsidRDefault="0001468E" w:rsidP="009E3104">
            <w:pPr>
              <w:jc w:val="both"/>
              <w:rPr>
                <w:rFonts w:ascii="Times New Roman" w:hAnsi="Times New Roman" w:cs="Times New Roman"/>
                <w:sz w:val="24"/>
              </w:rPr>
            </w:pPr>
          </w:p>
          <w:p w:rsidR="0001468E" w:rsidRPr="009D6C3E" w:rsidRDefault="0001468E" w:rsidP="009E3104">
            <w:pPr>
              <w:jc w:val="both"/>
              <w:rPr>
                <w:rFonts w:ascii="Times New Roman" w:hAnsi="Times New Roman" w:cs="Times New Roman"/>
                <w:i/>
                <w:sz w:val="24"/>
              </w:rPr>
            </w:pPr>
            <w:r w:rsidRPr="009D6C3E">
              <w:rPr>
                <w:rFonts w:ascii="Times New Roman" w:hAnsi="Times New Roman" w:cs="Times New Roman"/>
                <w:i/>
                <w:sz w:val="24"/>
              </w:rPr>
              <w:t>Sửa đổi trong Phụ lục này sẽ được áp dụng cho kỳ báo cáo thường niên bắt đầu hoặc sau ngày 01 tháng 01 năm 2018. Nếu đơn vị áp dụng Diễn giải này cho kỳ sớm hơn thì sửa đổi này sẽ được áp dụng cho kỳ sớm hơn đó.</w:t>
            </w:r>
          </w:p>
          <w:p w:rsidR="0001468E" w:rsidRPr="009D6C3E" w:rsidRDefault="0001468E" w:rsidP="009E3104">
            <w:pPr>
              <w:jc w:val="both"/>
              <w:rPr>
                <w:rFonts w:ascii="Times New Roman" w:hAnsi="Times New Roman" w:cs="Times New Roman"/>
                <w:sz w:val="24"/>
              </w:rPr>
            </w:pPr>
          </w:p>
          <w:p w:rsidR="0001468E" w:rsidRPr="009D6C3E" w:rsidRDefault="0001468E" w:rsidP="009E3104">
            <w:pPr>
              <w:jc w:val="both"/>
              <w:rPr>
                <w:rFonts w:ascii="Times New Roman" w:hAnsi="Times New Roman" w:cs="Times New Roman"/>
                <w:sz w:val="24"/>
              </w:rPr>
            </w:pPr>
            <w:r w:rsidRPr="009D6C3E">
              <w:rPr>
                <w:rFonts w:ascii="Arial" w:hAnsi="Arial" w:cs="Arial"/>
                <w:b/>
                <w:sz w:val="26"/>
              </w:rPr>
              <w:t xml:space="preserve">Sửa đổi IFRS 1 </w:t>
            </w:r>
            <w:r w:rsidRPr="009D6C3E">
              <w:rPr>
                <w:rFonts w:ascii="Arial" w:hAnsi="Arial" w:cs="Arial"/>
                <w:b/>
                <w:i/>
                <w:sz w:val="26"/>
              </w:rPr>
              <w:t>Lần đầu tiên áp dụng Chuẩn mực báo cáo tài chính quốc tế</w:t>
            </w:r>
          </w:p>
        </w:tc>
      </w:tr>
      <w:tr w:rsidR="0001468E" w:rsidRPr="009D6C3E" w:rsidTr="002F7968">
        <w:tc>
          <w:tcPr>
            <w:tcW w:w="9016" w:type="dxa"/>
            <w:tcBorders>
              <w:top w:val="single" w:sz="4" w:space="0" w:color="auto"/>
            </w:tcBorders>
          </w:tcPr>
          <w:p w:rsidR="0001468E" w:rsidRPr="009D6C3E" w:rsidRDefault="0001468E" w:rsidP="0001468E">
            <w:pPr>
              <w:spacing w:before="120" w:after="120"/>
              <w:jc w:val="center"/>
              <w:rPr>
                <w:rFonts w:ascii="Times New Roman" w:hAnsi="Times New Roman" w:cs="Times New Roman"/>
                <w:sz w:val="24"/>
              </w:rPr>
            </w:pPr>
            <w:r w:rsidRPr="009D6C3E">
              <w:rPr>
                <w:rFonts w:ascii="Times New Roman" w:hAnsi="Times New Roman" w:cs="Times New Roman"/>
                <w:sz w:val="24"/>
              </w:rPr>
              <w:t>*****</w:t>
            </w:r>
          </w:p>
        </w:tc>
      </w:tr>
      <w:tr w:rsidR="0001468E" w:rsidTr="00EE0D73">
        <w:tc>
          <w:tcPr>
            <w:tcW w:w="9016" w:type="dxa"/>
          </w:tcPr>
          <w:p w:rsidR="0001468E" w:rsidRPr="003F1507" w:rsidRDefault="0001468E" w:rsidP="0001468E">
            <w:pPr>
              <w:spacing w:before="120" w:after="120"/>
              <w:jc w:val="both"/>
              <w:rPr>
                <w:rFonts w:ascii="Times New Roman" w:hAnsi="Times New Roman" w:cs="Times New Roman"/>
                <w:i/>
                <w:sz w:val="24"/>
              </w:rPr>
            </w:pPr>
            <w:r w:rsidRPr="009D6C3E">
              <w:rPr>
                <w:rFonts w:ascii="Times New Roman" w:hAnsi="Times New Roman" w:cs="Times New Roman"/>
                <w:i/>
                <w:sz w:val="24"/>
              </w:rPr>
              <w:t>Sửa đổi có trong phụ lục này khi</w:t>
            </w:r>
            <w:r w:rsidR="003F1507" w:rsidRPr="009D6C3E">
              <w:rPr>
                <w:rFonts w:ascii="Times New Roman" w:hAnsi="Times New Roman" w:cs="Times New Roman"/>
                <w:i/>
                <w:sz w:val="24"/>
              </w:rPr>
              <w:t xml:space="preserve"> bản</w:t>
            </w:r>
            <w:r w:rsidRPr="009D6C3E">
              <w:rPr>
                <w:rFonts w:ascii="Times New Roman" w:hAnsi="Times New Roman" w:cs="Times New Roman"/>
                <w:i/>
                <w:sz w:val="24"/>
              </w:rPr>
              <w:t xml:space="preserve"> Diễn giải này được ban hành vào năm 2016 </w:t>
            </w:r>
            <w:r w:rsidR="003F1507" w:rsidRPr="009D6C3E">
              <w:rPr>
                <w:rFonts w:ascii="Times New Roman" w:hAnsi="Times New Roman" w:cs="Times New Roman"/>
                <w:i/>
                <w:sz w:val="24"/>
              </w:rPr>
              <w:t>đã được đưa vào nội dung văn bản của IFRS 1 được phát hành trong ấn phẩm này.</w:t>
            </w:r>
          </w:p>
        </w:tc>
      </w:tr>
    </w:tbl>
    <w:p w:rsidR="006065A8" w:rsidRPr="009E3104" w:rsidRDefault="006065A8" w:rsidP="009E3104">
      <w:pPr>
        <w:jc w:val="both"/>
        <w:rPr>
          <w:rFonts w:ascii="Times New Roman" w:hAnsi="Times New Roman" w:cs="Times New Roman"/>
          <w:sz w:val="24"/>
        </w:rPr>
      </w:pPr>
    </w:p>
    <w:sectPr w:rsidR="006065A8" w:rsidRPr="009E3104" w:rsidSect="00EC43DC">
      <w:headerReference w:type="default" r:id="rId7"/>
      <w:footerReference w:type="default" r:id="rId8"/>
      <w:pgSz w:w="11906" w:h="16838"/>
      <w:pgMar w:top="1440" w:right="1440" w:bottom="1440" w:left="1440" w:header="708" w:footer="708" w:gutter="0"/>
      <w:pgNumType w:start="3"/>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F59C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59C08" w16cid:durableId="2267E1E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A06" w:rsidRDefault="00945A06" w:rsidP="007948E1">
      <w:pPr>
        <w:spacing w:after="0" w:line="240" w:lineRule="auto"/>
      </w:pPr>
      <w:r>
        <w:separator/>
      </w:r>
    </w:p>
  </w:endnote>
  <w:endnote w:type="continuationSeparator" w:id="1">
    <w:p w:rsidR="00945A06" w:rsidRDefault="00945A06" w:rsidP="00794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3DC" w:rsidRDefault="00EC43DC" w:rsidP="00EC43DC">
    <w:pPr>
      <w:pStyle w:val="Footer"/>
      <w:jc w:val="right"/>
    </w:pPr>
    <w:r>
      <w:t>©IFRS Foundation                                                                       A16</w:t>
    </w:r>
    <w:sdt>
      <w:sdtPr>
        <w:id w:val="-2027081408"/>
        <w:docPartObj>
          <w:docPartGallery w:val="Page Numbers (Bottom of Page)"/>
          <w:docPartUnique/>
        </w:docPartObj>
      </w:sdtPr>
      <w:sdtEndPr>
        <w:rPr>
          <w:noProof/>
        </w:rPr>
      </w:sdtEndPr>
      <w:sdtContent>
        <w:r>
          <w:t>7</w:t>
        </w:r>
        <w:r w:rsidR="00FE41D2">
          <w:fldChar w:fldCharType="begin"/>
        </w:r>
        <w:r>
          <w:instrText xml:space="preserve"> PAGE   \* MERGEFORMAT </w:instrText>
        </w:r>
        <w:r w:rsidR="00FE41D2">
          <w:fldChar w:fldCharType="separate"/>
        </w:r>
        <w:r w:rsidR="009D6C3E">
          <w:rPr>
            <w:noProof/>
          </w:rPr>
          <w:t>4</w:t>
        </w:r>
        <w:r w:rsidR="00FE41D2">
          <w:rPr>
            <w:noProof/>
          </w:rPr>
          <w:fldChar w:fldCharType="end"/>
        </w:r>
      </w:sdtContent>
    </w:sdt>
  </w:p>
  <w:p w:rsidR="007948E1" w:rsidRDefault="007948E1" w:rsidP="00EC43D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A06" w:rsidRDefault="00945A06" w:rsidP="007948E1">
      <w:pPr>
        <w:spacing w:after="0" w:line="240" w:lineRule="auto"/>
      </w:pPr>
      <w:r>
        <w:separator/>
      </w:r>
    </w:p>
  </w:footnote>
  <w:footnote w:type="continuationSeparator" w:id="1">
    <w:p w:rsidR="00945A06" w:rsidRDefault="00945A06" w:rsidP="00794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E1" w:rsidRPr="007948E1" w:rsidRDefault="007948E1" w:rsidP="007948E1">
    <w:pPr>
      <w:pStyle w:val="Header"/>
      <w:jc w:val="right"/>
      <w:rPr>
        <w:rFonts w:ascii="Arial" w:hAnsi="Arial" w:cs="Arial"/>
      </w:rPr>
    </w:pPr>
    <w:r w:rsidRPr="007948E1">
      <w:rPr>
        <w:rFonts w:ascii="Arial" w:hAnsi="Arial" w:cs="Arial"/>
      </w:rPr>
      <w:t>IFRIC 22</w:t>
    </w:r>
  </w:p>
  <w:p w:rsidR="007948E1" w:rsidRDefault="007948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157"/>
    <w:multiLevelType w:val="hybridMultilevel"/>
    <w:tmpl w:val="1336401A"/>
    <w:lvl w:ilvl="0" w:tplc="9238E2B2">
      <w:start w:val="1"/>
      <w:numFmt w:val="lowerLetter"/>
      <w:lvlText w:val="(%1)"/>
      <w:lvlJc w:val="left"/>
      <w:pPr>
        <w:ind w:left="1600" w:hanging="360"/>
      </w:pPr>
      <w:rPr>
        <w:rFonts w:hint="default"/>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1">
    <w:nsid w:val="08282427"/>
    <w:multiLevelType w:val="hybridMultilevel"/>
    <w:tmpl w:val="2572C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607E8"/>
    <w:multiLevelType w:val="hybridMultilevel"/>
    <w:tmpl w:val="016E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C322C"/>
    <w:multiLevelType w:val="hybridMultilevel"/>
    <w:tmpl w:val="DE40B6F8"/>
    <w:lvl w:ilvl="0" w:tplc="0809000F">
      <w:start w:val="1"/>
      <w:numFmt w:val="decimal"/>
      <w:lvlText w:val="%1."/>
      <w:lvlJc w:val="left"/>
      <w:pPr>
        <w:ind w:left="899" w:hanging="360"/>
      </w:p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
    <w:nsid w:val="0F5D240F"/>
    <w:multiLevelType w:val="hybridMultilevel"/>
    <w:tmpl w:val="8FB69E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245725"/>
    <w:multiLevelType w:val="hybridMultilevel"/>
    <w:tmpl w:val="6428A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B0374CC"/>
    <w:multiLevelType w:val="hybridMultilevel"/>
    <w:tmpl w:val="EACC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CA7206C"/>
    <w:multiLevelType w:val="hybridMultilevel"/>
    <w:tmpl w:val="C4DCAD0A"/>
    <w:lvl w:ilvl="0" w:tplc="0840D77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C358E4"/>
    <w:multiLevelType w:val="hybridMultilevel"/>
    <w:tmpl w:val="CD7A4BB8"/>
    <w:lvl w:ilvl="0" w:tplc="192CEBC6">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37624C"/>
    <w:multiLevelType w:val="hybridMultilevel"/>
    <w:tmpl w:val="25AA36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9501202"/>
    <w:multiLevelType w:val="hybridMultilevel"/>
    <w:tmpl w:val="3BFA41EE"/>
    <w:lvl w:ilvl="0" w:tplc="F6D279F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nsid w:val="6C4D1004"/>
    <w:multiLevelType w:val="hybridMultilevel"/>
    <w:tmpl w:val="5044CFE0"/>
    <w:lvl w:ilvl="0" w:tplc="1A581CF2">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2F3C1E"/>
    <w:multiLevelType w:val="hybridMultilevel"/>
    <w:tmpl w:val="33FA569C"/>
    <w:lvl w:ilvl="0" w:tplc="9238E2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B83ABF"/>
    <w:multiLevelType w:val="hybridMultilevel"/>
    <w:tmpl w:val="D25831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5742F49"/>
    <w:multiLevelType w:val="hybridMultilevel"/>
    <w:tmpl w:val="FAE6FDF6"/>
    <w:lvl w:ilvl="0" w:tplc="AC549C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AC549C9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5623D2"/>
    <w:multiLevelType w:val="hybridMultilevel"/>
    <w:tmpl w:val="D138E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9"/>
  </w:num>
  <w:num w:numId="5">
    <w:abstractNumId w:val="13"/>
  </w:num>
  <w:num w:numId="6">
    <w:abstractNumId w:val="3"/>
  </w:num>
  <w:num w:numId="7">
    <w:abstractNumId w:val="5"/>
  </w:num>
  <w:num w:numId="8">
    <w:abstractNumId w:val="8"/>
  </w:num>
  <w:num w:numId="9">
    <w:abstractNumId w:val="0"/>
  </w:num>
  <w:num w:numId="10">
    <w:abstractNumId w:val="12"/>
  </w:num>
  <w:num w:numId="11">
    <w:abstractNumId w:val="15"/>
  </w:num>
  <w:num w:numId="12">
    <w:abstractNumId w:val="11"/>
  </w:num>
  <w:num w:numId="13">
    <w:abstractNumId w:val="4"/>
  </w:num>
  <w:num w:numId="14">
    <w:abstractNumId w:val="7"/>
  </w:num>
  <w:num w:numId="15">
    <w:abstractNumId w:val="1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 Hong Kien">
    <w15:presenceInfo w15:providerId="AD" w15:userId="S::kien.tran.hong@pwc.com::d24eb657-f0f8-49ab-80e2-e31a632239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D525CA"/>
    <w:rsid w:val="00001B01"/>
    <w:rsid w:val="00010813"/>
    <w:rsid w:val="0001468E"/>
    <w:rsid w:val="000A3630"/>
    <w:rsid w:val="00127538"/>
    <w:rsid w:val="002041AA"/>
    <w:rsid w:val="00236D1C"/>
    <w:rsid w:val="00256668"/>
    <w:rsid w:val="0027335D"/>
    <w:rsid w:val="002939F6"/>
    <w:rsid w:val="002F7968"/>
    <w:rsid w:val="00363745"/>
    <w:rsid w:val="0038228E"/>
    <w:rsid w:val="003C6676"/>
    <w:rsid w:val="003F1507"/>
    <w:rsid w:val="003F7248"/>
    <w:rsid w:val="004350FB"/>
    <w:rsid w:val="004536E0"/>
    <w:rsid w:val="00581C6E"/>
    <w:rsid w:val="006065A8"/>
    <w:rsid w:val="006D548C"/>
    <w:rsid w:val="00725554"/>
    <w:rsid w:val="00736757"/>
    <w:rsid w:val="007948E1"/>
    <w:rsid w:val="007C4905"/>
    <w:rsid w:val="00894095"/>
    <w:rsid w:val="00945A06"/>
    <w:rsid w:val="009A46DF"/>
    <w:rsid w:val="009D6C3E"/>
    <w:rsid w:val="009E3104"/>
    <w:rsid w:val="009E5ACC"/>
    <w:rsid w:val="00A353D3"/>
    <w:rsid w:val="00B00180"/>
    <w:rsid w:val="00BD36DB"/>
    <w:rsid w:val="00C76329"/>
    <w:rsid w:val="00C77409"/>
    <w:rsid w:val="00D01FB6"/>
    <w:rsid w:val="00D41CB8"/>
    <w:rsid w:val="00D525CA"/>
    <w:rsid w:val="00DE769F"/>
    <w:rsid w:val="00EA2CCB"/>
    <w:rsid w:val="00EC43DC"/>
    <w:rsid w:val="00EE0D73"/>
    <w:rsid w:val="00F31DAC"/>
    <w:rsid w:val="00FE41D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8E1"/>
  </w:style>
  <w:style w:type="paragraph" w:styleId="Footer">
    <w:name w:val="footer"/>
    <w:basedOn w:val="Normal"/>
    <w:link w:val="FooterChar"/>
    <w:uiPriority w:val="99"/>
    <w:unhideWhenUsed/>
    <w:rsid w:val="00794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8E1"/>
  </w:style>
  <w:style w:type="table" w:styleId="TableGrid">
    <w:name w:val="Table Grid"/>
    <w:basedOn w:val="TableNormal"/>
    <w:uiPriority w:val="39"/>
    <w:rsid w:val="00D01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36E0"/>
    <w:pPr>
      <w:ind w:left="720"/>
      <w:contextualSpacing/>
    </w:pPr>
  </w:style>
  <w:style w:type="paragraph" w:styleId="BalloonText">
    <w:name w:val="Balloon Text"/>
    <w:basedOn w:val="Normal"/>
    <w:link w:val="BalloonTextChar"/>
    <w:uiPriority w:val="99"/>
    <w:semiHidden/>
    <w:unhideWhenUsed/>
    <w:rsid w:val="00C77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409"/>
    <w:rPr>
      <w:rFonts w:ascii="Segoe UI" w:hAnsi="Segoe UI" w:cs="Segoe UI"/>
      <w:sz w:val="18"/>
      <w:szCs w:val="18"/>
    </w:rPr>
  </w:style>
  <w:style w:type="character" w:styleId="CommentReference">
    <w:name w:val="annotation reference"/>
    <w:basedOn w:val="DefaultParagraphFont"/>
    <w:uiPriority w:val="99"/>
    <w:semiHidden/>
    <w:unhideWhenUsed/>
    <w:rsid w:val="004350FB"/>
    <w:rPr>
      <w:sz w:val="16"/>
      <w:szCs w:val="16"/>
    </w:rPr>
  </w:style>
  <w:style w:type="paragraph" w:styleId="CommentText">
    <w:name w:val="annotation text"/>
    <w:basedOn w:val="Normal"/>
    <w:link w:val="CommentTextChar"/>
    <w:uiPriority w:val="99"/>
    <w:semiHidden/>
    <w:unhideWhenUsed/>
    <w:rsid w:val="004350FB"/>
    <w:pPr>
      <w:spacing w:line="240" w:lineRule="auto"/>
    </w:pPr>
    <w:rPr>
      <w:sz w:val="20"/>
      <w:szCs w:val="20"/>
    </w:rPr>
  </w:style>
  <w:style w:type="character" w:customStyle="1" w:styleId="CommentTextChar">
    <w:name w:val="Comment Text Char"/>
    <w:basedOn w:val="DefaultParagraphFont"/>
    <w:link w:val="CommentText"/>
    <w:uiPriority w:val="99"/>
    <w:semiHidden/>
    <w:rsid w:val="004350FB"/>
    <w:rPr>
      <w:sz w:val="20"/>
      <w:szCs w:val="20"/>
    </w:rPr>
  </w:style>
  <w:style w:type="paragraph" w:styleId="CommentSubject">
    <w:name w:val="annotation subject"/>
    <w:basedOn w:val="CommentText"/>
    <w:next w:val="CommentText"/>
    <w:link w:val="CommentSubjectChar"/>
    <w:uiPriority w:val="99"/>
    <w:semiHidden/>
    <w:unhideWhenUsed/>
    <w:rsid w:val="004350FB"/>
    <w:rPr>
      <w:b/>
      <w:bCs/>
    </w:rPr>
  </w:style>
  <w:style w:type="character" w:customStyle="1" w:styleId="CommentSubjectChar">
    <w:name w:val="Comment Subject Char"/>
    <w:basedOn w:val="CommentTextChar"/>
    <w:link w:val="CommentSubject"/>
    <w:uiPriority w:val="99"/>
    <w:semiHidden/>
    <w:rsid w:val="004350FB"/>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Mai</dc:creator>
  <cp:keywords/>
  <dc:description/>
  <cp:lastModifiedBy>nguyenthithanhminh</cp:lastModifiedBy>
  <cp:revision>9</cp:revision>
  <dcterms:created xsi:type="dcterms:W3CDTF">2020-05-14T08:22:00Z</dcterms:created>
  <dcterms:modified xsi:type="dcterms:W3CDTF">2021-06-21T03:13:00Z</dcterms:modified>
</cp:coreProperties>
</file>