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932" w:rsidRPr="00CB2280" w:rsidRDefault="00270E77" w:rsidP="00700E7F">
      <w:pPr>
        <w:spacing w:line="360" w:lineRule="auto"/>
        <w:jc w:val="center"/>
        <w:rPr>
          <w:rFonts w:ascii="Times New Roman" w:hAnsi="Times New Roman" w:cs="Times New Roman"/>
          <w:b/>
          <w:bCs/>
          <w:color w:val="000000" w:themeColor="text1"/>
          <w:sz w:val="24"/>
          <w:szCs w:val="24"/>
        </w:rPr>
      </w:pPr>
      <w:r w:rsidRPr="00CB2280">
        <w:rPr>
          <w:rFonts w:ascii="Times New Roman" w:hAnsi="Times New Roman" w:cs="Times New Roman"/>
          <w:b/>
          <w:bCs/>
          <w:color w:val="000000" w:themeColor="text1"/>
          <w:sz w:val="24"/>
          <w:szCs w:val="24"/>
        </w:rPr>
        <w:t>IFRS 8</w:t>
      </w:r>
    </w:p>
    <w:p w:rsidR="00270E77" w:rsidRPr="00CB2280" w:rsidRDefault="00C408C1" w:rsidP="00700E7F">
      <w:pPr>
        <w:spacing w:line="360" w:lineRule="auto"/>
        <w:jc w:val="center"/>
        <w:rPr>
          <w:rFonts w:ascii="Times New Roman" w:hAnsi="Times New Roman" w:cs="Times New Roman"/>
          <w:b/>
          <w:bCs/>
          <w:caps/>
          <w:color w:val="000000" w:themeColor="text1"/>
          <w:sz w:val="24"/>
          <w:szCs w:val="24"/>
        </w:rPr>
      </w:pPr>
      <w:r w:rsidRPr="00CB2280">
        <w:rPr>
          <w:rFonts w:ascii="Times New Roman" w:hAnsi="Times New Roman" w:cs="Times New Roman"/>
          <w:b/>
          <w:bCs/>
          <w:caps/>
          <w:color w:val="000000" w:themeColor="text1"/>
          <w:sz w:val="24"/>
          <w:szCs w:val="24"/>
        </w:rPr>
        <w:t xml:space="preserve">các </w:t>
      </w:r>
      <w:r w:rsidR="009B633B" w:rsidRPr="00CB2280">
        <w:rPr>
          <w:rFonts w:ascii="Times New Roman" w:hAnsi="Times New Roman" w:cs="Times New Roman"/>
          <w:b/>
          <w:bCs/>
          <w:caps/>
          <w:color w:val="000000" w:themeColor="text1"/>
          <w:sz w:val="24"/>
          <w:szCs w:val="24"/>
        </w:rPr>
        <w:t>B</w:t>
      </w:r>
      <w:r w:rsidR="00067F73">
        <w:rPr>
          <w:rFonts w:ascii="Times New Roman" w:hAnsi="Times New Roman" w:cs="Times New Roman"/>
          <w:b/>
          <w:bCs/>
          <w:caps/>
          <w:color w:val="000000" w:themeColor="text1"/>
          <w:sz w:val="24"/>
          <w:szCs w:val="24"/>
        </w:rPr>
        <w:t>Ộ PHẬN HOẠT ĐỘNG</w:t>
      </w:r>
    </w:p>
    <w:p w:rsidR="00270E77" w:rsidRPr="00CB2280" w:rsidRDefault="00270E77" w:rsidP="00700E7F">
      <w:pPr>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Vào tháng 4 năm 2001 </w:t>
      </w:r>
      <w:r w:rsidR="00C37890" w:rsidRPr="00CB2280">
        <w:rPr>
          <w:rFonts w:ascii="Times New Roman" w:hAnsi="Times New Roman" w:cs="Times New Roman"/>
          <w:color w:val="000000" w:themeColor="text1"/>
          <w:sz w:val="24"/>
          <w:szCs w:val="24"/>
        </w:rPr>
        <w:t>Ủy</w:t>
      </w:r>
      <w:r w:rsidRPr="00CB2280">
        <w:rPr>
          <w:rFonts w:ascii="Times New Roman" w:hAnsi="Times New Roman" w:cs="Times New Roman"/>
          <w:color w:val="000000" w:themeColor="text1"/>
          <w:sz w:val="24"/>
          <w:szCs w:val="24"/>
        </w:rPr>
        <w:t xml:space="preserve"> chuẩn mực kế toán quốc tế (sau đây gọi là </w:t>
      </w:r>
      <w:r w:rsidR="00C37890" w:rsidRPr="00CB2280">
        <w:rPr>
          <w:rFonts w:ascii="Times New Roman" w:hAnsi="Times New Roman" w:cs="Times New Roman"/>
          <w:color w:val="000000" w:themeColor="text1"/>
          <w:sz w:val="24"/>
          <w:szCs w:val="24"/>
        </w:rPr>
        <w:t>Ủy ban)</w:t>
      </w:r>
      <w:r w:rsidRPr="00CB2280">
        <w:rPr>
          <w:rFonts w:ascii="Times New Roman" w:hAnsi="Times New Roman" w:cs="Times New Roman"/>
          <w:color w:val="000000" w:themeColor="text1"/>
          <w:sz w:val="24"/>
          <w:szCs w:val="24"/>
        </w:rPr>
        <w:t xml:space="preserve"> đã thông qua </w:t>
      </w:r>
      <w:r w:rsidR="00C37890" w:rsidRPr="00CB2280">
        <w:rPr>
          <w:rFonts w:ascii="Times New Roman" w:hAnsi="Times New Roman" w:cs="Times New Roman"/>
          <w:color w:val="000000" w:themeColor="text1"/>
          <w:sz w:val="24"/>
          <w:szCs w:val="24"/>
        </w:rPr>
        <w:t xml:space="preserve">IAS </w:t>
      </w:r>
      <w:r w:rsidRPr="00CB2280">
        <w:rPr>
          <w:rFonts w:ascii="Times New Roman" w:hAnsi="Times New Roman" w:cs="Times New Roman"/>
          <w:color w:val="000000" w:themeColor="text1"/>
          <w:sz w:val="24"/>
          <w:szCs w:val="24"/>
        </w:rPr>
        <w:t>14, Báo cáo bộ phận- chuẩn mực được Ủy ban chuẩn mực kế toán quốc tế</w:t>
      </w:r>
      <w:r w:rsidR="00DF7376" w:rsidRPr="00CB2280">
        <w:rPr>
          <w:rFonts w:ascii="Times New Roman" w:hAnsi="Times New Roman" w:cs="Times New Roman"/>
          <w:color w:val="000000" w:themeColor="text1"/>
          <w:sz w:val="24"/>
          <w:szCs w:val="24"/>
        </w:rPr>
        <w:t xml:space="preserve"> phát hành lần đầu tiên </w:t>
      </w:r>
      <w:r w:rsidRPr="00CB2280">
        <w:rPr>
          <w:rFonts w:ascii="Times New Roman" w:hAnsi="Times New Roman" w:cs="Times New Roman"/>
          <w:color w:val="000000" w:themeColor="text1"/>
          <w:sz w:val="24"/>
          <w:szCs w:val="24"/>
        </w:rPr>
        <w:t>vào tháng 8/1997. IAS 14</w:t>
      </w:r>
      <w:r w:rsidR="002C360F" w:rsidRPr="00CB2280">
        <w:rPr>
          <w:rFonts w:ascii="Times New Roman" w:hAnsi="Times New Roman" w:cs="Times New Roman"/>
          <w:color w:val="000000" w:themeColor="text1"/>
          <w:sz w:val="24"/>
          <w:szCs w:val="24"/>
        </w:rPr>
        <w:t>,</w:t>
      </w:r>
      <w:r w:rsidRPr="00CB2280">
        <w:rPr>
          <w:rFonts w:ascii="Times New Roman" w:hAnsi="Times New Roman" w:cs="Times New Roman"/>
          <w:color w:val="000000" w:themeColor="text1"/>
          <w:sz w:val="24"/>
          <w:szCs w:val="24"/>
        </w:rPr>
        <w:t xml:space="preserve"> Báo cáo bộ phận, đã thay thế cho IAS 14 </w:t>
      </w:r>
      <w:r w:rsidR="00DF7376" w:rsidRPr="00CB2280">
        <w:rPr>
          <w:rFonts w:ascii="Times New Roman" w:hAnsi="Times New Roman" w:cs="Times New Roman"/>
          <w:color w:val="000000" w:themeColor="text1"/>
          <w:sz w:val="24"/>
          <w:szCs w:val="24"/>
        </w:rPr>
        <w:t xml:space="preserve">bản </w:t>
      </w:r>
      <w:r w:rsidRPr="00CB2280">
        <w:rPr>
          <w:rFonts w:ascii="Times New Roman" w:hAnsi="Times New Roman" w:cs="Times New Roman"/>
          <w:color w:val="000000" w:themeColor="text1"/>
          <w:sz w:val="24"/>
          <w:szCs w:val="24"/>
        </w:rPr>
        <w:t xml:space="preserve">trước </w:t>
      </w:r>
      <w:r w:rsidR="002C360F" w:rsidRPr="00CB2280">
        <w:rPr>
          <w:rFonts w:ascii="Times New Roman" w:hAnsi="Times New Roman" w:cs="Times New Roman"/>
          <w:color w:val="000000" w:themeColor="text1"/>
          <w:sz w:val="24"/>
          <w:szCs w:val="24"/>
        </w:rPr>
        <w:t>đó</w:t>
      </w:r>
      <w:r w:rsidRPr="00CB2280">
        <w:rPr>
          <w:rFonts w:ascii="Times New Roman" w:hAnsi="Times New Roman" w:cs="Times New Roman"/>
          <w:color w:val="000000" w:themeColor="text1"/>
          <w:sz w:val="24"/>
          <w:szCs w:val="24"/>
        </w:rPr>
        <w:t xml:space="preserve"> với tên gọi là Thông tin báo cáo tài chính theo bộ phận, ban hành vào tháng 8/1981.</w:t>
      </w:r>
    </w:p>
    <w:p w:rsidR="002C360F" w:rsidRPr="0052231C" w:rsidRDefault="002C360F" w:rsidP="00700E7F">
      <w:pPr>
        <w:spacing w:line="360" w:lineRule="auto"/>
        <w:jc w:val="both"/>
        <w:rPr>
          <w:rFonts w:ascii="Times New Roman" w:hAnsi="Times New Roman" w:cs="Times New Roman"/>
          <w:color w:val="000000" w:themeColor="text1"/>
          <w:spacing w:val="-2"/>
          <w:sz w:val="24"/>
          <w:szCs w:val="24"/>
        </w:rPr>
      </w:pPr>
      <w:r w:rsidRPr="0052231C">
        <w:rPr>
          <w:rFonts w:ascii="Times New Roman" w:hAnsi="Times New Roman" w:cs="Times New Roman"/>
          <w:color w:val="000000" w:themeColor="text1"/>
          <w:spacing w:val="-2"/>
          <w:sz w:val="24"/>
          <w:szCs w:val="24"/>
        </w:rPr>
        <w:t xml:space="preserve">Vào tháng 11 năm 2006 </w:t>
      </w:r>
      <w:r w:rsidR="00DF7376" w:rsidRPr="0052231C">
        <w:rPr>
          <w:rFonts w:ascii="Times New Roman" w:hAnsi="Times New Roman" w:cs="Times New Roman"/>
          <w:color w:val="000000" w:themeColor="text1"/>
          <w:spacing w:val="-2"/>
          <w:sz w:val="24"/>
          <w:szCs w:val="24"/>
        </w:rPr>
        <w:t>Ủy ban</w:t>
      </w:r>
      <w:r w:rsidRPr="0052231C">
        <w:rPr>
          <w:rFonts w:ascii="Times New Roman" w:hAnsi="Times New Roman" w:cs="Times New Roman"/>
          <w:color w:val="000000" w:themeColor="text1"/>
          <w:spacing w:val="-2"/>
          <w:sz w:val="24"/>
          <w:szCs w:val="24"/>
        </w:rPr>
        <w:t xml:space="preserve"> đã ban hành chuẩn mực Báo cáo tài chính quốc tế số 8 (IFRS 8) để thay thế cho IAS 14. Chuẩn mực kế toán quốc tế số 1 về Trình bày báo cáo tài chính (được soát xét lại vào 2007) đã sửa đổi các thuật ngữ sử dụng xuyên suốt các chuẩn mực, bao gồm cả IFRS 8 này.</w:t>
      </w:r>
    </w:p>
    <w:p w:rsidR="002C360F" w:rsidRPr="00CB2280" w:rsidRDefault="009B633B" w:rsidP="00700E7F">
      <w:pPr>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Các chuẩn mực kế toán khác đã có sự điều chỉnh sau khi có sự sửa đổi của IFRS 8. Các chuẩn mực đã được sửa đổi bao gồm IAS 19, </w:t>
      </w:r>
      <w:r w:rsidR="0052231C">
        <w:rPr>
          <w:rFonts w:ascii="Times New Roman" w:hAnsi="Times New Roman" w:cs="Times New Roman"/>
          <w:color w:val="000000" w:themeColor="text1"/>
          <w:sz w:val="24"/>
          <w:szCs w:val="24"/>
        </w:rPr>
        <w:t>Phúc lợi</w:t>
      </w:r>
      <w:r w:rsidRPr="00CB2280">
        <w:rPr>
          <w:rFonts w:ascii="Times New Roman" w:hAnsi="Times New Roman" w:cs="Times New Roman"/>
          <w:color w:val="000000" w:themeColor="text1"/>
          <w:sz w:val="24"/>
          <w:szCs w:val="24"/>
        </w:rPr>
        <w:t xml:space="preserve"> của nhân viên (ban hành tháng 6/2011), Những sửa đổi hàng năm cho các chuẩn mực báo cáo tài chính quốc tế theo chu kỳ hai năm 2010-2012 (phát hành tháng 12/2013) và Những sửa đổi Danh mục tài liệu tham khảo cho Khung lý thuyết trong các chuẩn mực báo cáo tài chính quốc tế (phát hành tháng 3/2018).</w:t>
      </w:r>
    </w:p>
    <w:p w:rsidR="000071B1" w:rsidRPr="00CB2280" w:rsidRDefault="000071B1">
      <w:pPr>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br w:type="page"/>
      </w:r>
    </w:p>
    <w:p w:rsidR="009B633B" w:rsidRPr="00CB2280" w:rsidRDefault="009B633B" w:rsidP="00700E7F">
      <w:pPr>
        <w:spacing w:line="360" w:lineRule="auto"/>
        <w:rPr>
          <w:rFonts w:ascii="Times New Roman" w:hAnsi="Times New Roman" w:cs="Times New Roman"/>
          <w:color w:val="000000" w:themeColor="text1"/>
          <w:sz w:val="24"/>
          <w:szCs w:val="2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90"/>
        <w:gridCol w:w="1170"/>
      </w:tblGrid>
      <w:tr w:rsidR="0052231C" w:rsidRPr="00CB2280" w:rsidTr="0052231C">
        <w:tc>
          <w:tcPr>
            <w:tcW w:w="8190" w:type="dxa"/>
          </w:tcPr>
          <w:p w:rsidR="009B633B" w:rsidRPr="00CB2280" w:rsidRDefault="009B633B" w:rsidP="00700E7F">
            <w:pPr>
              <w:spacing w:line="360" w:lineRule="auto"/>
              <w:jc w:val="center"/>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NỘI DUNG</w:t>
            </w:r>
          </w:p>
        </w:tc>
        <w:tc>
          <w:tcPr>
            <w:tcW w:w="1170" w:type="dxa"/>
          </w:tcPr>
          <w:p w:rsidR="009B633B" w:rsidRPr="00CB2280" w:rsidRDefault="009B633B" w:rsidP="00700E7F">
            <w:pPr>
              <w:spacing w:line="360" w:lineRule="auto"/>
              <w:jc w:val="center"/>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Từ đoạn</w:t>
            </w:r>
          </w:p>
        </w:tc>
      </w:tr>
      <w:tr w:rsidR="0052231C" w:rsidRPr="00CB2280" w:rsidTr="0052231C">
        <w:tc>
          <w:tcPr>
            <w:tcW w:w="9360" w:type="dxa"/>
            <w:gridSpan w:val="2"/>
          </w:tcPr>
          <w:p w:rsidR="006E1C9A" w:rsidRPr="00CB2280" w:rsidRDefault="009B633B" w:rsidP="00700E7F">
            <w:pPr>
              <w:spacing w:line="360" w:lineRule="auto"/>
              <w:rPr>
                <w:rFonts w:ascii="Times New Roman" w:hAnsi="Times New Roman" w:cs="Times New Roman"/>
                <w:b/>
                <w:bCs/>
                <w:caps/>
                <w:color w:val="000000" w:themeColor="text1"/>
                <w:sz w:val="24"/>
                <w:szCs w:val="24"/>
              </w:rPr>
            </w:pPr>
            <w:r w:rsidRPr="00CB2280">
              <w:rPr>
                <w:rFonts w:ascii="Times New Roman" w:hAnsi="Times New Roman" w:cs="Times New Roman"/>
                <w:b/>
                <w:bCs/>
                <w:caps/>
                <w:color w:val="000000" w:themeColor="text1"/>
                <w:sz w:val="24"/>
                <w:szCs w:val="24"/>
              </w:rPr>
              <w:t xml:space="preserve">Chuẩn mực báo cáo tài chính quốc tế số 8- </w:t>
            </w:r>
          </w:p>
          <w:p w:rsidR="009B633B" w:rsidRPr="00CB2280" w:rsidRDefault="00C408C1" w:rsidP="00700E7F">
            <w:pPr>
              <w:spacing w:line="360" w:lineRule="auto"/>
              <w:rPr>
                <w:rFonts w:ascii="Times New Roman" w:hAnsi="Times New Roman" w:cs="Times New Roman"/>
                <w:b/>
                <w:bCs/>
                <w:i/>
                <w:iCs/>
                <w:caps/>
                <w:color w:val="000000" w:themeColor="text1"/>
                <w:sz w:val="24"/>
                <w:szCs w:val="24"/>
              </w:rPr>
            </w:pPr>
            <w:r w:rsidRPr="00CB2280">
              <w:rPr>
                <w:rFonts w:ascii="Times New Roman" w:hAnsi="Times New Roman" w:cs="Times New Roman"/>
                <w:b/>
                <w:bCs/>
                <w:i/>
                <w:iCs/>
                <w:caps/>
                <w:color w:val="000000" w:themeColor="text1"/>
                <w:sz w:val="24"/>
                <w:szCs w:val="24"/>
              </w:rPr>
              <w:t>Các bộ phận hoạt động</w:t>
            </w:r>
          </w:p>
        </w:tc>
      </w:tr>
      <w:tr w:rsidR="0052231C" w:rsidRPr="00CB2280" w:rsidTr="0052231C">
        <w:tc>
          <w:tcPr>
            <w:tcW w:w="8190" w:type="dxa"/>
          </w:tcPr>
          <w:p w:rsidR="009B633B" w:rsidRPr="00CB2280" w:rsidRDefault="00C408C1" w:rsidP="00700E7F">
            <w:pPr>
              <w:spacing w:line="360" w:lineRule="auto"/>
              <w:rPr>
                <w:rFonts w:ascii="Times New Roman" w:hAnsi="Times New Roman" w:cs="Times New Roman"/>
                <w:b/>
                <w:bCs/>
                <w:caps/>
                <w:color w:val="000000" w:themeColor="text1"/>
                <w:sz w:val="24"/>
                <w:szCs w:val="24"/>
              </w:rPr>
            </w:pPr>
            <w:r w:rsidRPr="00CB2280">
              <w:rPr>
                <w:rFonts w:ascii="Times New Roman" w:hAnsi="Times New Roman" w:cs="Times New Roman"/>
                <w:b/>
                <w:bCs/>
                <w:caps/>
                <w:color w:val="000000" w:themeColor="text1"/>
                <w:sz w:val="24"/>
                <w:szCs w:val="24"/>
              </w:rPr>
              <w:t>Nguyên tắc nền tảng</w:t>
            </w:r>
          </w:p>
        </w:tc>
        <w:tc>
          <w:tcPr>
            <w:tcW w:w="1170" w:type="dxa"/>
          </w:tcPr>
          <w:p w:rsidR="009B633B" w:rsidRPr="00CB2280" w:rsidRDefault="00C408C1" w:rsidP="00700E7F">
            <w:pPr>
              <w:spacing w:line="360" w:lineRule="auto"/>
              <w:jc w:val="center"/>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1</w:t>
            </w:r>
          </w:p>
        </w:tc>
      </w:tr>
      <w:tr w:rsidR="0052231C" w:rsidRPr="00CB2280" w:rsidTr="0052231C">
        <w:tc>
          <w:tcPr>
            <w:tcW w:w="8190" w:type="dxa"/>
          </w:tcPr>
          <w:p w:rsidR="009B633B" w:rsidRPr="00CB2280" w:rsidRDefault="00C408C1" w:rsidP="00700E7F">
            <w:pPr>
              <w:spacing w:line="360" w:lineRule="auto"/>
              <w:rPr>
                <w:rFonts w:ascii="Times New Roman" w:hAnsi="Times New Roman" w:cs="Times New Roman"/>
                <w:b/>
                <w:bCs/>
                <w:caps/>
                <w:color w:val="000000" w:themeColor="text1"/>
                <w:sz w:val="24"/>
                <w:szCs w:val="24"/>
              </w:rPr>
            </w:pPr>
            <w:r w:rsidRPr="00CB2280">
              <w:rPr>
                <w:rFonts w:ascii="Times New Roman" w:hAnsi="Times New Roman" w:cs="Times New Roman"/>
                <w:b/>
                <w:bCs/>
                <w:caps/>
                <w:color w:val="000000" w:themeColor="text1"/>
                <w:sz w:val="24"/>
                <w:szCs w:val="24"/>
              </w:rPr>
              <w:t>Phạm vi</w:t>
            </w:r>
          </w:p>
        </w:tc>
        <w:tc>
          <w:tcPr>
            <w:tcW w:w="1170" w:type="dxa"/>
          </w:tcPr>
          <w:p w:rsidR="009B633B" w:rsidRPr="00CB2280" w:rsidRDefault="00C408C1" w:rsidP="00700E7F">
            <w:pPr>
              <w:spacing w:line="360" w:lineRule="auto"/>
              <w:jc w:val="center"/>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2</w:t>
            </w:r>
          </w:p>
        </w:tc>
      </w:tr>
      <w:tr w:rsidR="0052231C" w:rsidRPr="00CB2280" w:rsidTr="0052231C">
        <w:tc>
          <w:tcPr>
            <w:tcW w:w="8190" w:type="dxa"/>
          </w:tcPr>
          <w:p w:rsidR="009B633B" w:rsidRPr="00CB2280" w:rsidRDefault="00C408C1" w:rsidP="00700E7F">
            <w:pPr>
              <w:spacing w:line="360" w:lineRule="auto"/>
              <w:rPr>
                <w:rFonts w:ascii="Times New Roman" w:hAnsi="Times New Roman" w:cs="Times New Roman"/>
                <w:b/>
                <w:bCs/>
                <w:caps/>
                <w:color w:val="000000" w:themeColor="text1"/>
                <w:sz w:val="24"/>
                <w:szCs w:val="24"/>
              </w:rPr>
            </w:pPr>
            <w:r w:rsidRPr="00CB2280">
              <w:rPr>
                <w:rFonts w:ascii="Times New Roman" w:hAnsi="Times New Roman" w:cs="Times New Roman"/>
                <w:b/>
                <w:bCs/>
                <w:caps/>
                <w:color w:val="000000" w:themeColor="text1"/>
                <w:sz w:val="24"/>
                <w:szCs w:val="24"/>
              </w:rPr>
              <w:t>Các bộ phận hoạt động</w:t>
            </w:r>
          </w:p>
        </w:tc>
        <w:tc>
          <w:tcPr>
            <w:tcW w:w="1170" w:type="dxa"/>
          </w:tcPr>
          <w:p w:rsidR="009B633B" w:rsidRPr="00CB2280" w:rsidRDefault="00C408C1" w:rsidP="00700E7F">
            <w:pPr>
              <w:spacing w:line="360" w:lineRule="auto"/>
              <w:jc w:val="center"/>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5</w:t>
            </w:r>
          </w:p>
        </w:tc>
      </w:tr>
      <w:tr w:rsidR="0052231C" w:rsidRPr="00CB2280" w:rsidTr="0052231C">
        <w:tc>
          <w:tcPr>
            <w:tcW w:w="8190" w:type="dxa"/>
          </w:tcPr>
          <w:p w:rsidR="009B633B" w:rsidRPr="00CB2280" w:rsidRDefault="00C408C1" w:rsidP="00700E7F">
            <w:pPr>
              <w:spacing w:line="360" w:lineRule="auto"/>
              <w:rPr>
                <w:rFonts w:ascii="Times New Roman" w:hAnsi="Times New Roman" w:cs="Times New Roman"/>
                <w:b/>
                <w:bCs/>
                <w:caps/>
                <w:color w:val="000000" w:themeColor="text1"/>
                <w:sz w:val="24"/>
                <w:szCs w:val="24"/>
              </w:rPr>
            </w:pPr>
            <w:r w:rsidRPr="00CB2280">
              <w:rPr>
                <w:rFonts w:ascii="Times New Roman" w:hAnsi="Times New Roman" w:cs="Times New Roman"/>
                <w:b/>
                <w:bCs/>
                <w:caps/>
                <w:color w:val="000000" w:themeColor="text1"/>
                <w:sz w:val="24"/>
                <w:szCs w:val="24"/>
              </w:rPr>
              <w:t xml:space="preserve">Các bộ phận </w:t>
            </w:r>
            <w:r w:rsidR="00C37890" w:rsidRPr="00CB2280">
              <w:rPr>
                <w:rFonts w:ascii="Times New Roman" w:hAnsi="Times New Roman" w:cs="Times New Roman"/>
                <w:b/>
                <w:bCs/>
                <w:caps/>
                <w:color w:val="000000" w:themeColor="text1"/>
                <w:sz w:val="24"/>
                <w:szCs w:val="24"/>
              </w:rPr>
              <w:t>phải</w:t>
            </w:r>
            <w:r w:rsidRPr="00CB2280">
              <w:rPr>
                <w:rFonts w:ascii="Times New Roman" w:hAnsi="Times New Roman" w:cs="Times New Roman"/>
                <w:b/>
                <w:bCs/>
                <w:caps/>
                <w:color w:val="000000" w:themeColor="text1"/>
                <w:sz w:val="24"/>
                <w:szCs w:val="24"/>
              </w:rPr>
              <w:t xml:space="preserve"> báo cáo</w:t>
            </w:r>
          </w:p>
        </w:tc>
        <w:tc>
          <w:tcPr>
            <w:tcW w:w="1170" w:type="dxa"/>
          </w:tcPr>
          <w:p w:rsidR="009B633B" w:rsidRPr="00CB2280" w:rsidRDefault="00C408C1" w:rsidP="00700E7F">
            <w:pPr>
              <w:spacing w:line="360" w:lineRule="auto"/>
              <w:jc w:val="center"/>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11</w:t>
            </w:r>
          </w:p>
        </w:tc>
      </w:tr>
      <w:tr w:rsidR="0052231C" w:rsidRPr="00CB2280" w:rsidTr="0052231C">
        <w:tc>
          <w:tcPr>
            <w:tcW w:w="8190" w:type="dxa"/>
          </w:tcPr>
          <w:p w:rsidR="009B633B" w:rsidRPr="00CB2280" w:rsidRDefault="00C408C1" w:rsidP="00700E7F">
            <w:pPr>
              <w:spacing w:line="360" w:lineRule="auto"/>
              <w:rPr>
                <w:rFonts w:ascii="Times New Roman" w:hAnsi="Times New Roman" w:cs="Times New Roman"/>
                <w:b/>
                <w:bCs/>
                <w:color w:val="000000" w:themeColor="text1"/>
                <w:sz w:val="24"/>
                <w:szCs w:val="24"/>
              </w:rPr>
            </w:pPr>
            <w:r w:rsidRPr="00CB2280">
              <w:rPr>
                <w:rFonts w:ascii="Times New Roman" w:hAnsi="Times New Roman" w:cs="Times New Roman"/>
                <w:b/>
                <w:bCs/>
                <w:color w:val="000000" w:themeColor="text1"/>
                <w:sz w:val="24"/>
                <w:szCs w:val="24"/>
              </w:rPr>
              <w:t>Các tiêu chuẩn tổng hợp</w:t>
            </w:r>
          </w:p>
        </w:tc>
        <w:tc>
          <w:tcPr>
            <w:tcW w:w="1170" w:type="dxa"/>
          </w:tcPr>
          <w:p w:rsidR="009B633B" w:rsidRPr="00CB2280" w:rsidRDefault="00CA6E01" w:rsidP="00700E7F">
            <w:pPr>
              <w:spacing w:line="360" w:lineRule="auto"/>
              <w:jc w:val="center"/>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12</w:t>
            </w:r>
          </w:p>
        </w:tc>
      </w:tr>
      <w:tr w:rsidR="0052231C" w:rsidRPr="00CB2280" w:rsidTr="0052231C">
        <w:tc>
          <w:tcPr>
            <w:tcW w:w="8190" w:type="dxa"/>
          </w:tcPr>
          <w:p w:rsidR="009B633B" w:rsidRPr="00CB2280" w:rsidRDefault="00C408C1" w:rsidP="00700E7F">
            <w:pPr>
              <w:spacing w:line="360" w:lineRule="auto"/>
              <w:rPr>
                <w:rFonts w:ascii="Times New Roman" w:hAnsi="Times New Roman" w:cs="Times New Roman"/>
                <w:b/>
                <w:bCs/>
                <w:color w:val="000000" w:themeColor="text1"/>
                <w:sz w:val="24"/>
                <w:szCs w:val="24"/>
              </w:rPr>
            </w:pPr>
            <w:r w:rsidRPr="00CB2280">
              <w:rPr>
                <w:rFonts w:ascii="Times New Roman" w:hAnsi="Times New Roman" w:cs="Times New Roman"/>
                <w:b/>
                <w:bCs/>
                <w:color w:val="000000" w:themeColor="text1"/>
                <w:sz w:val="24"/>
                <w:szCs w:val="24"/>
              </w:rPr>
              <w:t>Các ngưỡng định lượng</w:t>
            </w:r>
          </w:p>
        </w:tc>
        <w:tc>
          <w:tcPr>
            <w:tcW w:w="1170" w:type="dxa"/>
          </w:tcPr>
          <w:p w:rsidR="009B633B" w:rsidRPr="00CB2280" w:rsidRDefault="00CA6E01" w:rsidP="00700E7F">
            <w:pPr>
              <w:spacing w:line="360" w:lineRule="auto"/>
              <w:jc w:val="center"/>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13</w:t>
            </w:r>
          </w:p>
        </w:tc>
      </w:tr>
      <w:tr w:rsidR="0052231C" w:rsidRPr="00CB2280" w:rsidTr="0052231C">
        <w:tc>
          <w:tcPr>
            <w:tcW w:w="8190" w:type="dxa"/>
          </w:tcPr>
          <w:p w:rsidR="00C408C1" w:rsidRPr="00CB2280" w:rsidRDefault="00C408C1" w:rsidP="00700E7F">
            <w:pPr>
              <w:spacing w:line="360" w:lineRule="auto"/>
              <w:rPr>
                <w:rFonts w:ascii="Times New Roman" w:hAnsi="Times New Roman" w:cs="Times New Roman"/>
                <w:b/>
                <w:bCs/>
                <w:caps/>
                <w:color w:val="000000" w:themeColor="text1"/>
                <w:sz w:val="24"/>
                <w:szCs w:val="24"/>
              </w:rPr>
            </w:pPr>
            <w:r w:rsidRPr="00CB2280">
              <w:rPr>
                <w:rFonts w:ascii="Times New Roman" w:hAnsi="Times New Roman" w:cs="Times New Roman"/>
                <w:b/>
                <w:bCs/>
                <w:caps/>
                <w:color w:val="000000" w:themeColor="text1"/>
                <w:sz w:val="24"/>
                <w:szCs w:val="24"/>
              </w:rPr>
              <w:t>Công khai</w:t>
            </w:r>
          </w:p>
        </w:tc>
        <w:tc>
          <w:tcPr>
            <w:tcW w:w="1170" w:type="dxa"/>
          </w:tcPr>
          <w:p w:rsidR="00C408C1" w:rsidRPr="00CB2280" w:rsidRDefault="00CA6E01" w:rsidP="00700E7F">
            <w:pPr>
              <w:spacing w:line="360" w:lineRule="auto"/>
              <w:jc w:val="center"/>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20</w:t>
            </w:r>
          </w:p>
        </w:tc>
      </w:tr>
      <w:tr w:rsidR="0052231C" w:rsidRPr="00CB2280" w:rsidTr="0052231C">
        <w:tc>
          <w:tcPr>
            <w:tcW w:w="8190" w:type="dxa"/>
          </w:tcPr>
          <w:p w:rsidR="00C408C1" w:rsidRPr="00CB2280" w:rsidRDefault="00C408C1" w:rsidP="00700E7F">
            <w:pPr>
              <w:spacing w:line="360" w:lineRule="auto"/>
              <w:rPr>
                <w:rFonts w:ascii="Times New Roman" w:hAnsi="Times New Roman" w:cs="Times New Roman"/>
                <w:b/>
                <w:bCs/>
                <w:color w:val="000000" w:themeColor="text1"/>
                <w:sz w:val="24"/>
                <w:szCs w:val="24"/>
              </w:rPr>
            </w:pPr>
            <w:r w:rsidRPr="00CB2280">
              <w:rPr>
                <w:rFonts w:ascii="Times New Roman" w:hAnsi="Times New Roman" w:cs="Times New Roman"/>
                <w:b/>
                <w:bCs/>
                <w:color w:val="000000" w:themeColor="text1"/>
                <w:sz w:val="24"/>
                <w:szCs w:val="24"/>
              </w:rPr>
              <w:t>Thông tin chung</w:t>
            </w:r>
          </w:p>
        </w:tc>
        <w:tc>
          <w:tcPr>
            <w:tcW w:w="1170" w:type="dxa"/>
          </w:tcPr>
          <w:p w:rsidR="00C408C1" w:rsidRPr="00CB2280" w:rsidRDefault="00CA6E01" w:rsidP="00700E7F">
            <w:pPr>
              <w:spacing w:line="360" w:lineRule="auto"/>
              <w:jc w:val="center"/>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22</w:t>
            </w:r>
          </w:p>
        </w:tc>
      </w:tr>
      <w:tr w:rsidR="0052231C" w:rsidRPr="00CB2280" w:rsidTr="0052231C">
        <w:tc>
          <w:tcPr>
            <w:tcW w:w="8190" w:type="dxa"/>
          </w:tcPr>
          <w:p w:rsidR="00C408C1" w:rsidRPr="00CB2280" w:rsidRDefault="00C408C1" w:rsidP="00700E7F">
            <w:pPr>
              <w:spacing w:line="360" w:lineRule="auto"/>
              <w:rPr>
                <w:rFonts w:ascii="Times New Roman" w:hAnsi="Times New Roman" w:cs="Times New Roman"/>
                <w:b/>
                <w:bCs/>
                <w:color w:val="000000" w:themeColor="text1"/>
                <w:sz w:val="24"/>
                <w:szCs w:val="24"/>
              </w:rPr>
            </w:pPr>
            <w:r w:rsidRPr="00CB2280">
              <w:rPr>
                <w:rFonts w:ascii="Times New Roman" w:hAnsi="Times New Roman" w:cs="Times New Roman"/>
                <w:b/>
                <w:bCs/>
                <w:color w:val="000000" w:themeColor="text1"/>
                <w:sz w:val="24"/>
                <w:szCs w:val="24"/>
              </w:rPr>
              <w:t xml:space="preserve">Thông tin về </w:t>
            </w:r>
            <w:r w:rsidR="0003426A" w:rsidRPr="00CB2280">
              <w:rPr>
                <w:rFonts w:ascii="Times New Roman" w:hAnsi="Times New Roman" w:cs="Times New Roman"/>
                <w:b/>
                <w:bCs/>
                <w:color w:val="000000" w:themeColor="text1"/>
                <w:sz w:val="24"/>
                <w:szCs w:val="24"/>
              </w:rPr>
              <w:t>lãi</w:t>
            </w:r>
            <w:r w:rsidRPr="00CB2280">
              <w:rPr>
                <w:rFonts w:ascii="Times New Roman" w:hAnsi="Times New Roman" w:cs="Times New Roman"/>
                <w:b/>
                <w:bCs/>
                <w:color w:val="000000" w:themeColor="text1"/>
                <w:sz w:val="24"/>
                <w:szCs w:val="24"/>
              </w:rPr>
              <w:t xml:space="preserve"> hoặc lỗ, tài sản và công nợ</w:t>
            </w:r>
          </w:p>
        </w:tc>
        <w:tc>
          <w:tcPr>
            <w:tcW w:w="1170" w:type="dxa"/>
          </w:tcPr>
          <w:p w:rsidR="00C408C1" w:rsidRPr="00CB2280" w:rsidRDefault="00CA6E01" w:rsidP="00700E7F">
            <w:pPr>
              <w:spacing w:line="360" w:lineRule="auto"/>
              <w:jc w:val="center"/>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23</w:t>
            </w:r>
          </w:p>
        </w:tc>
      </w:tr>
      <w:tr w:rsidR="0052231C" w:rsidRPr="00CB2280" w:rsidTr="0052231C">
        <w:tc>
          <w:tcPr>
            <w:tcW w:w="8190" w:type="dxa"/>
          </w:tcPr>
          <w:p w:rsidR="00C408C1" w:rsidRPr="00CB2280" w:rsidRDefault="00C408C1" w:rsidP="00700E7F">
            <w:pPr>
              <w:spacing w:line="360" w:lineRule="auto"/>
              <w:rPr>
                <w:rFonts w:ascii="Times New Roman" w:hAnsi="Times New Roman" w:cs="Times New Roman"/>
                <w:b/>
                <w:bCs/>
                <w:caps/>
                <w:color w:val="000000" w:themeColor="text1"/>
                <w:sz w:val="24"/>
                <w:szCs w:val="24"/>
              </w:rPr>
            </w:pPr>
            <w:r w:rsidRPr="00CB2280">
              <w:rPr>
                <w:rFonts w:ascii="Times New Roman" w:hAnsi="Times New Roman" w:cs="Times New Roman"/>
                <w:b/>
                <w:bCs/>
                <w:caps/>
                <w:color w:val="000000" w:themeColor="text1"/>
                <w:sz w:val="24"/>
                <w:szCs w:val="24"/>
              </w:rPr>
              <w:t>Đánh giá và đo lường</w:t>
            </w:r>
          </w:p>
        </w:tc>
        <w:tc>
          <w:tcPr>
            <w:tcW w:w="1170" w:type="dxa"/>
          </w:tcPr>
          <w:p w:rsidR="00C408C1" w:rsidRPr="00CB2280" w:rsidRDefault="00CA6E01" w:rsidP="00700E7F">
            <w:pPr>
              <w:spacing w:line="360" w:lineRule="auto"/>
              <w:jc w:val="center"/>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25</w:t>
            </w:r>
          </w:p>
        </w:tc>
      </w:tr>
      <w:tr w:rsidR="0052231C" w:rsidRPr="00CB2280" w:rsidTr="0052231C">
        <w:tc>
          <w:tcPr>
            <w:tcW w:w="8190" w:type="dxa"/>
          </w:tcPr>
          <w:p w:rsidR="00C408C1" w:rsidRPr="00CB2280" w:rsidRDefault="00C408C1" w:rsidP="00700E7F">
            <w:pPr>
              <w:spacing w:line="360" w:lineRule="auto"/>
              <w:rPr>
                <w:rFonts w:ascii="Times New Roman" w:hAnsi="Times New Roman" w:cs="Times New Roman"/>
                <w:b/>
                <w:bCs/>
                <w:color w:val="000000" w:themeColor="text1"/>
                <w:sz w:val="24"/>
                <w:szCs w:val="24"/>
              </w:rPr>
            </w:pPr>
            <w:r w:rsidRPr="00CB2280">
              <w:rPr>
                <w:rFonts w:ascii="Times New Roman" w:hAnsi="Times New Roman" w:cs="Times New Roman"/>
                <w:b/>
                <w:bCs/>
                <w:color w:val="000000" w:themeColor="text1"/>
                <w:sz w:val="24"/>
                <w:szCs w:val="24"/>
              </w:rPr>
              <w:t>Các cân đối</w:t>
            </w:r>
          </w:p>
        </w:tc>
        <w:tc>
          <w:tcPr>
            <w:tcW w:w="1170" w:type="dxa"/>
          </w:tcPr>
          <w:p w:rsidR="00C408C1" w:rsidRPr="00CB2280" w:rsidRDefault="00CA6E01" w:rsidP="00700E7F">
            <w:pPr>
              <w:spacing w:line="360" w:lineRule="auto"/>
              <w:jc w:val="center"/>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28</w:t>
            </w:r>
          </w:p>
        </w:tc>
      </w:tr>
      <w:tr w:rsidR="0052231C" w:rsidRPr="00CB2280" w:rsidTr="0052231C">
        <w:tc>
          <w:tcPr>
            <w:tcW w:w="8190" w:type="dxa"/>
          </w:tcPr>
          <w:p w:rsidR="00C408C1" w:rsidRPr="00CB2280" w:rsidRDefault="00C408C1" w:rsidP="00700E7F">
            <w:pPr>
              <w:spacing w:line="360" w:lineRule="auto"/>
              <w:rPr>
                <w:rFonts w:ascii="Times New Roman" w:hAnsi="Times New Roman" w:cs="Times New Roman"/>
                <w:b/>
                <w:bCs/>
                <w:color w:val="000000" w:themeColor="text1"/>
                <w:sz w:val="24"/>
                <w:szCs w:val="24"/>
              </w:rPr>
            </w:pPr>
            <w:r w:rsidRPr="00CB2280">
              <w:rPr>
                <w:rFonts w:ascii="Times New Roman" w:hAnsi="Times New Roman" w:cs="Times New Roman"/>
                <w:b/>
                <w:bCs/>
                <w:color w:val="000000" w:themeColor="text1"/>
                <w:sz w:val="24"/>
                <w:szCs w:val="24"/>
              </w:rPr>
              <w:t>Trình bày lại thông tin đã báo cáo trước kia</w:t>
            </w:r>
          </w:p>
        </w:tc>
        <w:tc>
          <w:tcPr>
            <w:tcW w:w="1170" w:type="dxa"/>
          </w:tcPr>
          <w:p w:rsidR="00C408C1" w:rsidRPr="00CB2280" w:rsidRDefault="00CA6E01" w:rsidP="00700E7F">
            <w:pPr>
              <w:spacing w:line="360" w:lineRule="auto"/>
              <w:jc w:val="center"/>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29</w:t>
            </w:r>
          </w:p>
        </w:tc>
      </w:tr>
      <w:tr w:rsidR="0052231C" w:rsidRPr="00CB2280" w:rsidTr="0052231C">
        <w:tc>
          <w:tcPr>
            <w:tcW w:w="8190" w:type="dxa"/>
          </w:tcPr>
          <w:p w:rsidR="00C408C1" w:rsidRPr="00CB2280" w:rsidRDefault="00302342" w:rsidP="00700E7F">
            <w:pPr>
              <w:spacing w:line="360" w:lineRule="auto"/>
              <w:rPr>
                <w:rFonts w:ascii="Times New Roman" w:hAnsi="Times New Roman" w:cs="Times New Roman"/>
                <w:b/>
                <w:bCs/>
                <w:caps/>
                <w:color w:val="000000" w:themeColor="text1"/>
                <w:sz w:val="24"/>
                <w:szCs w:val="24"/>
              </w:rPr>
            </w:pPr>
            <w:r w:rsidRPr="00CB2280">
              <w:rPr>
                <w:rFonts w:ascii="Times New Roman" w:hAnsi="Times New Roman" w:cs="Times New Roman"/>
                <w:b/>
                <w:bCs/>
                <w:caps/>
                <w:color w:val="000000" w:themeColor="text1"/>
                <w:sz w:val="24"/>
                <w:szCs w:val="24"/>
              </w:rPr>
              <w:t>Công khai toàn đơn vị</w:t>
            </w:r>
          </w:p>
        </w:tc>
        <w:tc>
          <w:tcPr>
            <w:tcW w:w="1170" w:type="dxa"/>
          </w:tcPr>
          <w:p w:rsidR="00C408C1" w:rsidRPr="00CB2280" w:rsidRDefault="00CA6E01" w:rsidP="00700E7F">
            <w:pPr>
              <w:spacing w:line="360" w:lineRule="auto"/>
              <w:jc w:val="center"/>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31</w:t>
            </w:r>
          </w:p>
        </w:tc>
      </w:tr>
      <w:tr w:rsidR="0052231C" w:rsidRPr="00CB2280" w:rsidTr="0052231C">
        <w:tc>
          <w:tcPr>
            <w:tcW w:w="8190" w:type="dxa"/>
          </w:tcPr>
          <w:p w:rsidR="00302342" w:rsidRPr="00CB2280" w:rsidRDefault="00302342" w:rsidP="00700E7F">
            <w:pPr>
              <w:spacing w:line="360" w:lineRule="auto"/>
              <w:rPr>
                <w:rFonts w:ascii="Times New Roman" w:hAnsi="Times New Roman" w:cs="Times New Roman"/>
                <w:b/>
                <w:bCs/>
                <w:color w:val="000000" w:themeColor="text1"/>
                <w:sz w:val="24"/>
                <w:szCs w:val="24"/>
              </w:rPr>
            </w:pPr>
            <w:r w:rsidRPr="00CB2280">
              <w:rPr>
                <w:rFonts w:ascii="Times New Roman" w:hAnsi="Times New Roman" w:cs="Times New Roman"/>
                <w:b/>
                <w:bCs/>
                <w:color w:val="000000" w:themeColor="text1"/>
                <w:sz w:val="24"/>
                <w:szCs w:val="24"/>
              </w:rPr>
              <w:t>Thông tin về sản phẩm và dịch vụ</w:t>
            </w:r>
          </w:p>
        </w:tc>
        <w:tc>
          <w:tcPr>
            <w:tcW w:w="1170" w:type="dxa"/>
          </w:tcPr>
          <w:p w:rsidR="00C408C1" w:rsidRPr="00CB2280" w:rsidRDefault="00CA6E01" w:rsidP="00700E7F">
            <w:pPr>
              <w:spacing w:line="360" w:lineRule="auto"/>
              <w:jc w:val="center"/>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32</w:t>
            </w:r>
          </w:p>
        </w:tc>
      </w:tr>
      <w:tr w:rsidR="0052231C" w:rsidRPr="00CB2280" w:rsidTr="0052231C">
        <w:tc>
          <w:tcPr>
            <w:tcW w:w="8190" w:type="dxa"/>
          </w:tcPr>
          <w:p w:rsidR="00C408C1" w:rsidRPr="00CB2280" w:rsidRDefault="00302342" w:rsidP="00700E7F">
            <w:pPr>
              <w:spacing w:line="360" w:lineRule="auto"/>
              <w:rPr>
                <w:rFonts w:ascii="Times New Roman" w:hAnsi="Times New Roman" w:cs="Times New Roman"/>
                <w:b/>
                <w:bCs/>
                <w:color w:val="000000" w:themeColor="text1"/>
                <w:sz w:val="24"/>
                <w:szCs w:val="24"/>
              </w:rPr>
            </w:pPr>
            <w:r w:rsidRPr="00CB2280">
              <w:rPr>
                <w:rFonts w:ascii="Times New Roman" w:hAnsi="Times New Roman" w:cs="Times New Roman"/>
                <w:b/>
                <w:bCs/>
                <w:color w:val="000000" w:themeColor="text1"/>
                <w:sz w:val="24"/>
                <w:szCs w:val="24"/>
              </w:rPr>
              <w:t xml:space="preserve">Thông tin về các </w:t>
            </w:r>
            <w:r w:rsidR="0003426A" w:rsidRPr="00CB2280">
              <w:rPr>
                <w:rFonts w:ascii="Times New Roman" w:hAnsi="Times New Roman" w:cs="Times New Roman"/>
                <w:b/>
                <w:bCs/>
                <w:color w:val="000000" w:themeColor="text1"/>
                <w:sz w:val="24"/>
                <w:szCs w:val="24"/>
              </w:rPr>
              <w:t>khu</w:t>
            </w:r>
            <w:r w:rsidRPr="00CB2280">
              <w:rPr>
                <w:rFonts w:ascii="Times New Roman" w:hAnsi="Times New Roman" w:cs="Times New Roman"/>
                <w:b/>
                <w:bCs/>
                <w:color w:val="000000" w:themeColor="text1"/>
                <w:sz w:val="24"/>
                <w:szCs w:val="24"/>
              </w:rPr>
              <w:t xml:space="preserve"> vực địa lý</w:t>
            </w:r>
          </w:p>
        </w:tc>
        <w:tc>
          <w:tcPr>
            <w:tcW w:w="1170" w:type="dxa"/>
          </w:tcPr>
          <w:p w:rsidR="00C408C1" w:rsidRPr="00CB2280" w:rsidRDefault="00CA6E01" w:rsidP="00700E7F">
            <w:pPr>
              <w:spacing w:line="360" w:lineRule="auto"/>
              <w:jc w:val="center"/>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33</w:t>
            </w:r>
          </w:p>
        </w:tc>
      </w:tr>
      <w:tr w:rsidR="0052231C" w:rsidRPr="00CB2280" w:rsidTr="0052231C">
        <w:tc>
          <w:tcPr>
            <w:tcW w:w="8190" w:type="dxa"/>
          </w:tcPr>
          <w:p w:rsidR="00C408C1" w:rsidRPr="00CB2280" w:rsidRDefault="00302342" w:rsidP="00700E7F">
            <w:pPr>
              <w:spacing w:line="360" w:lineRule="auto"/>
              <w:rPr>
                <w:rFonts w:ascii="Times New Roman" w:hAnsi="Times New Roman" w:cs="Times New Roman"/>
                <w:b/>
                <w:bCs/>
                <w:color w:val="000000" w:themeColor="text1"/>
                <w:sz w:val="24"/>
                <w:szCs w:val="24"/>
              </w:rPr>
            </w:pPr>
            <w:r w:rsidRPr="00CB2280">
              <w:rPr>
                <w:rFonts w:ascii="Times New Roman" w:hAnsi="Times New Roman" w:cs="Times New Roman"/>
                <w:b/>
                <w:bCs/>
                <w:color w:val="000000" w:themeColor="text1"/>
                <w:sz w:val="24"/>
                <w:szCs w:val="24"/>
              </w:rPr>
              <w:t>Thông tin về các khách hàng chính</w:t>
            </w:r>
          </w:p>
        </w:tc>
        <w:tc>
          <w:tcPr>
            <w:tcW w:w="1170" w:type="dxa"/>
          </w:tcPr>
          <w:p w:rsidR="00C408C1" w:rsidRPr="00CB2280" w:rsidRDefault="00CA6E01" w:rsidP="00700E7F">
            <w:pPr>
              <w:spacing w:line="360" w:lineRule="auto"/>
              <w:jc w:val="center"/>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34</w:t>
            </w:r>
          </w:p>
        </w:tc>
      </w:tr>
      <w:tr w:rsidR="0052231C" w:rsidRPr="00CB2280" w:rsidTr="0052231C">
        <w:tc>
          <w:tcPr>
            <w:tcW w:w="8190" w:type="dxa"/>
          </w:tcPr>
          <w:p w:rsidR="00C408C1" w:rsidRPr="00CB2280" w:rsidRDefault="00302342" w:rsidP="00700E7F">
            <w:pPr>
              <w:spacing w:line="360" w:lineRule="auto"/>
              <w:rPr>
                <w:rFonts w:ascii="Times New Roman" w:hAnsi="Times New Roman" w:cs="Times New Roman"/>
                <w:b/>
                <w:bCs/>
                <w:caps/>
                <w:color w:val="000000" w:themeColor="text1"/>
                <w:sz w:val="24"/>
                <w:szCs w:val="24"/>
              </w:rPr>
            </w:pPr>
            <w:r w:rsidRPr="00CB2280">
              <w:rPr>
                <w:rFonts w:ascii="Times New Roman" w:hAnsi="Times New Roman" w:cs="Times New Roman"/>
                <w:b/>
                <w:bCs/>
                <w:caps/>
                <w:color w:val="000000" w:themeColor="text1"/>
                <w:sz w:val="24"/>
                <w:szCs w:val="24"/>
              </w:rPr>
              <w:t>Ngày chuyển đổi và có hiệu lực</w:t>
            </w:r>
          </w:p>
        </w:tc>
        <w:tc>
          <w:tcPr>
            <w:tcW w:w="1170" w:type="dxa"/>
          </w:tcPr>
          <w:p w:rsidR="00C408C1" w:rsidRPr="00CB2280" w:rsidRDefault="00302342" w:rsidP="00700E7F">
            <w:pPr>
              <w:spacing w:line="360" w:lineRule="auto"/>
              <w:jc w:val="center"/>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35</w:t>
            </w:r>
          </w:p>
        </w:tc>
      </w:tr>
      <w:tr w:rsidR="0052231C" w:rsidRPr="00CB2280" w:rsidTr="0052231C">
        <w:tc>
          <w:tcPr>
            <w:tcW w:w="8190" w:type="dxa"/>
          </w:tcPr>
          <w:p w:rsidR="00302342" w:rsidRPr="00CB2280" w:rsidRDefault="00302342" w:rsidP="00700E7F">
            <w:pPr>
              <w:spacing w:line="360" w:lineRule="auto"/>
              <w:rPr>
                <w:rFonts w:ascii="Times New Roman" w:hAnsi="Times New Roman" w:cs="Times New Roman"/>
                <w:b/>
                <w:bCs/>
                <w:caps/>
                <w:color w:val="000000" w:themeColor="text1"/>
                <w:sz w:val="24"/>
                <w:szCs w:val="24"/>
              </w:rPr>
            </w:pPr>
            <w:r w:rsidRPr="00CB2280">
              <w:rPr>
                <w:rFonts w:ascii="Times New Roman" w:hAnsi="Times New Roman" w:cs="Times New Roman"/>
                <w:b/>
                <w:bCs/>
                <w:caps/>
                <w:color w:val="000000" w:themeColor="text1"/>
                <w:sz w:val="24"/>
                <w:szCs w:val="24"/>
              </w:rPr>
              <w:t>Hết hiệu lực của IAS 14</w:t>
            </w:r>
          </w:p>
        </w:tc>
        <w:tc>
          <w:tcPr>
            <w:tcW w:w="1170" w:type="dxa"/>
          </w:tcPr>
          <w:p w:rsidR="00302342" w:rsidRPr="00CB2280" w:rsidRDefault="00302342" w:rsidP="00700E7F">
            <w:pPr>
              <w:spacing w:line="360" w:lineRule="auto"/>
              <w:jc w:val="center"/>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37</w:t>
            </w:r>
          </w:p>
        </w:tc>
      </w:tr>
      <w:tr w:rsidR="0052231C" w:rsidRPr="00CB2280" w:rsidTr="0052231C">
        <w:tc>
          <w:tcPr>
            <w:tcW w:w="8190" w:type="dxa"/>
          </w:tcPr>
          <w:p w:rsidR="00CA6E01" w:rsidRPr="00CB2280" w:rsidRDefault="00CA6E01" w:rsidP="00700E7F">
            <w:pPr>
              <w:spacing w:line="360" w:lineRule="auto"/>
              <w:rPr>
                <w:rFonts w:ascii="Times New Roman" w:hAnsi="Times New Roman" w:cs="Times New Roman"/>
                <w:b/>
                <w:bCs/>
                <w:caps/>
                <w:color w:val="000000" w:themeColor="text1"/>
                <w:sz w:val="24"/>
                <w:szCs w:val="24"/>
              </w:rPr>
            </w:pPr>
            <w:r w:rsidRPr="00CB2280">
              <w:rPr>
                <w:rFonts w:ascii="Times New Roman" w:hAnsi="Times New Roman" w:cs="Times New Roman"/>
                <w:b/>
                <w:bCs/>
                <w:caps/>
                <w:color w:val="000000" w:themeColor="text1"/>
                <w:sz w:val="24"/>
                <w:szCs w:val="24"/>
              </w:rPr>
              <w:t>Phụ lục</w:t>
            </w:r>
          </w:p>
        </w:tc>
        <w:tc>
          <w:tcPr>
            <w:tcW w:w="1170" w:type="dxa"/>
          </w:tcPr>
          <w:p w:rsidR="00CA6E01" w:rsidRPr="00CB2280" w:rsidRDefault="00CA6E01" w:rsidP="00700E7F">
            <w:pPr>
              <w:spacing w:line="360" w:lineRule="auto"/>
              <w:rPr>
                <w:rFonts w:ascii="Times New Roman" w:hAnsi="Times New Roman" w:cs="Times New Roman"/>
                <w:color w:val="000000" w:themeColor="text1"/>
                <w:sz w:val="24"/>
                <w:szCs w:val="24"/>
              </w:rPr>
            </w:pPr>
          </w:p>
        </w:tc>
      </w:tr>
      <w:tr w:rsidR="0052231C" w:rsidRPr="00CB2280" w:rsidTr="0052231C">
        <w:tc>
          <w:tcPr>
            <w:tcW w:w="8190" w:type="dxa"/>
          </w:tcPr>
          <w:p w:rsidR="00CA6E01" w:rsidRPr="00CB2280" w:rsidRDefault="00CA6E01" w:rsidP="00700E7F">
            <w:pPr>
              <w:spacing w:line="360" w:lineRule="auto"/>
              <w:rPr>
                <w:rFonts w:ascii="Times New Roman" w:hAnsi="Times New Roman" w:cs="Times New Roman"/>
                <w:b/>
                <w:bCs/>
                <w:color w:val="000000" w:themeColor="text1"/>
                <w:sz w:val="24"/>
                <w:szCs w:val="24"/>
              </w:rPr>
            </w:pPr>
            <w:r w:rsidRPr="00CB2280">
              <w:rPr>
                <w:rFonts w:ascii="Times New Roman" w:hAnsi="Times New Roman" w:cs="Times New Roman"/>
                <w:b/>
                <w:bCs/>
                <w:color w:val="000000" w:themeColor="text1"/>
                <w:sz w:val="24"/>
                <w:szCs w:val="24"/>
              </w:rPr>
              <w:t>A Thuật ngữ được định nghĩa</w:t>
            </w:r>
          </w:p>
        </w:tc>
        <w:tc>
          <w:tcPr>
            <w:tcW w:w="1170" w:type="dxa"/>
          </w:tcPr>
          <w:p w:rsidR="00CA6E01" w:rsidRPr="00CB2280" w:rsidRDefault="00CA6E01" w:rsidP="00700E7F">
            <w:pPr>
              <w:spacing w:line="360" w:lineRule="auto"/>
              <w:rPr>
                <w:rFonts w:ascii="Times New Roman" w:hAnsi="Times New Roman" w:cs="Times New Roman"/>
                <w:color w:val="000000" w:themeColor="text1"/>
                <w:sz w:val="24"/>
                <w:szCs w:val="24"/>
              </w:rPr>
            </w:pPr>
          </w:p>
        </w:tc>
      </w:tr>
      <w:tr w:rsidR="0052231C" w:rsidRPr="00CB2280" w:rsidTr="0052231C">
        <w:tc>
          <w:tcPr>
            <w:tcW w:w="8190" w:type="dxa"/>
          </w:tcPr>
          <w:p w:rsidR="00CA6E01" w:rsidRPr="00CB2280" w:rsidRDefault="00CA6E01" w:rsidP="00700E7F">
            <w:pPr>
              <w:spacing w:line="360" w:lineRule="auto"/>
              <w:rPr>
                <w:rFonts w:ascii="Times New Roman" w:hAnsi="Times New Roman" w:cs="Times New Roman"/>
                <w:b/>
                <w:bCs/>
                <w:color w:val="000000" w:themeColor="text1"/>
                <w:sz w:val="24"/>
                <w:szCs w:val="24"/>
              </w:rPr>
            </w:pPr>
            <w:r w:rsidRPr="00CB2280">
              <w:rPr>
                <w:rFonts w:ascii="Times New Roman" w:hAnsi="Times New Roman" w:cs="Times New Roman"/>
                <w:b/>
                <w:bCs/>
                <w:color w:val="000000" w:themeColor="text1"/>
                <w:sz w:val="24"/>
                <w:szCs w:val="24"/>
              </w:rPr>
              <w:t xml:space="preserve">B Các </w:t>
            </w:r>
            <w:r w:rsidR="0003426A" w:rsidRPr="00CB2280">
              <w:rPr>
                <w:rFonts w:ascii="Times New Roman" w:hAnsi="Times New Roman" w:cs="Times New Roman"/>
                <w:b/>
                <w:bCs/>
                <w:color w:val="000000" w:themeColor="text1"/>
                <w:sz w:val="24"/>
                <w:szCs w:val="24"/>
              </w:rPr>
              <w:t>điều chỉnh</w:t>
            </w:r>
            <w:r w:rsidRPr="00CB2280">
              <w:rPr>
                <w:rFonts w:ascii="Times New Roman" w:hAnsi="Times New Roman" w:cs="Times New Roman"/>
                <w:b/>
                <w:bCs/>
                <w:color w:val="000000" w:themeColor="text1"/>
                <w:sz w:val="24"/>
                <w:szCs w:val="24"/>
              </w:rPr>
              <w:t xml:space="preserve"> cho các chuẩn mực kế toán quốc tế khác</w:t>
            </w:r>
          </w:p>
        </w:tc>
        <w:tc>
          <w:tcPr>
            <w:tcW w:w="1170" w:type="dxa"/>
          </w:tcPr>
          <w:p w:rsidR="00CA6E01" w:rsidRPr="00CB2280" w:rsidRDefault="00CA6E01" w:rsidP="00700E7F">
            <w:pPr>
              <w:spacing w:line="360" w:lineRule="auto"/>
              <w:rPr>
                <w:rFonts w:ascii="Times New Roman" w:hAnsi="Times New Roman" w:cs="Times New Roman"/>
                <w:color w:val="000000" w:themeColor="text1"/>
                <w:sz w:val="24"/>
                <w:szCs w:val="24"/>
              </w:rPr>
            </w:pPr>
          </w:p>
        </w:tc>
      </w:tr>
      <w:tr w:rsidR="0052231C" w:rsidRPr="00CB2280" w:rsidTr="0052231C">
        <w:tc>
          <w:tcPr>
            <w:tcW w:w="8190" w:type="dxa"/>
          </w:tcPr>
          <w:p w:rsidR="00CA6E01" w:rsidRPr="00CB2280" w:rsidRDefault="00CA6E01" w:rsidP="00700E7F">
            <w:pPr>
              <w:spacing w:line="360" w:lineRule="auto"/>
              <w:rPr>
                <w:rFonts w:ascii="Times New Roman" w:hAnsi="Times New Roman" w:cs="Times New Roman"/>
                <w:b/>
                <w:bCs/>
                <w:caps/>
                <w:color w:val="000000" w:themeColor="text1"/>
                <w:sz w:val="24"/>
                <w:szCs w:val="24"/>
              </w:rPr>
            </w:pPr>
            <w:r w:rsidRPr="00CB2280">
              <w:rPr>
                <w:rFonts w:ascii="Times New Roman" w:hAnsi="Times New Roman" w:cs="Times New Roman"/>
                <w:b/>
                <w:bCs/>
                <w:caps/>
                <w:color w:val="000000" w:themeColor="text1"/>
                <w:sz w:val="24"/>
                <w:szCs w:val="24"/>
              </w:rPr>
              <w:t>Chấp thuận của Ủy ban với IFRS 8 ban hành tháng 11/2006</w:t>
            </w:r>
          </w:p>
        </w:tc>
        <w:tc>
          <w:tcPr>
            <w:tcW w:w="1170" w:type="dxa"/>
          </w:tcPr>
          <w:p w:rsidR="00CA6E01" w:rsidRPr="00CB2280" w:rsidRDefault="00CA6E01" w:rsidP="00700E7F">
            <w:pPr>
              <w:spacing w:line="360" w:lineRule="auto"/>
              <w:rPr>
                <w:rFonts w:ascii="Times New Roman" w:hAnsi="Times New Roman" w:cs="Times New Roman"/>
                <w:color w:val="000000" w:themeColor="text1"/>
                <w:sz w:val="24"/>
                <w:szCs w:val="24"/>
              </w:rPr>
            </w:pPr>
          </w:p>
        </w:tc>
      </w:tr>
    </w:tbl>
    <w:p w:rsidR="000071B1" w:rsidRPr="00CB2280" w:rsidRDefault="000071B1" w:rsidP="00700E7F">
      <w:pPr>
        <w:spacing w:line="360" w:lineRule="auto"/>
        <w:rPr>
          <w:rFonts w:ascii="Times New Roman" w:hAnsi="Times New Roman" w:cs="Times New Roman"/>
          <w:color w:val="000000" w:themeColor="text1"/>
          <w:sz w:val="24"/>
          <w:szCs w:val="24"/>
        </w:rPr>
      </w:pPr>
    </w:p>
    <w:p w:rsidR="000071B1" w:rsidRPr="00CB2280" w:rsidRDefault="000071B1" w:rsidP="00700E7F">
      <w:pPr>
        <w:spacing w:line="360" w:lineRule="auto"/>
        <w:rPr>
          <w:rFonts w:ascii="Times New Roman" w:hAnsi="Times New Roman" w:cs="Times New Roman"/>
          <w:color w:val="000000" w:themeColor="text1"/>
          <w:spacing w:val="-6"/>
          <w:sz w:val="24"/>
          <w:szCs w:val="24"/>
        </w:rPr>
      </w:pPr>
      <w:r w:rsidRPr="00CB2280">
        <w:rPr>
          <w:rFonts w:ascii="Times New Roman" w:hAnsi="Times New Roman" w:cs="Times New Roman"/>
          <w:color w:val="000000" w:themeColor="text1"/>
          <w:spacing w:val="-6"/>
          <w:sz w:val="24"/>
          <w:szCs w:val="24"/>
        </w:rPr>
        <w:t>VỚI CÁC HƯỚNG DẪN ĐI KÈM LIỆT KÊ DƯỚI ĐÂY, XEM PHẦN B CỦA PHIÊN BẢN NÀY</w:t>
      </w:r>
    </w:p>
    <w:p w:rsidR="00491426" w:rsidRPr="00CB2280" w:rsidRDefault="00491426" w:rsidP="00700E7F">
      <w:pPr>
        <w:spacing w:line="360" w:lineRule="auto"/>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H</w:t>
      </w:r>
      <w:r w:rsidR="006E1C9A" w:rsidRPr="00CB2280">
        <w:rPr>
          <w:rFonts w:ascii="Times New Roman" w:hAnsi="Times New Roman" w:cs="Times New Roman"/>
          <w:color w:val="000000" w:themeColor="text1"/>
          <w:sz w:val="24"/>
          <w:szCs w:val="24"/>
        </w:rPr>
        <w:t>ƯỚ</w:t>
      </w:r>
      <w:r w:rsidRPr="00CB2280">
        <w:rPr>
          <w:rFonts w:ascii="Times New Roman" w:hAnsi="Times New Roman" w:cs="Times New Roman"/>
          <w:color w:val="000000" w:themeColor="text1"/>
          <w:sz w:val="24"/>
          <w:szCs w:val="24"/>
        </w:rPr>
        <w:t>NG DẪN THI HÀNH</w:t>
      </w:r>
    </w:p>
    <w:p w:rsidR="00491426" w:rsidRPr="00CB2280" w:rsidRDefault="00491426" w:rsidP="00700E7F">
      <w:pPr>
        <w:spacing w:line="360" w:lineRule="auto"/>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PHỤ LỤC</w:t>
      </w:r>
    </w:p>
    <w:p w:rsidR="00491426" w:rsidRPr="00CB2280" w:rsidRDefault="00491426" w:rsidP="00700E7F">
      <w:pPr>
        <w:spacing w:line="360" w:lineRule="auto"/>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lastRenderedPageBreak/>
        <w:t xml:space="preserve">Những sửa đổi với các hướng dẫn </w:t>
      </w:r>
      <w:r w:rsidR="0003426A" w:rsidRPr="00CB2280">
        <w:rPr>
          <w:rFonts w:ascii="Times New Roman" w:hAnsi="Times New Roman" w:cs="Times New Roman"/>
          <w:color w:val="000000" w:themeColor="text1"/>
          <w:sz w:val="24"/>
          <w:szCs w:val="24"/>
        </w:rPr>
        <w:t>thực hiện</w:t>
      </w:r>
    </w:p>
    <w:p w:rsidR="006E1C9A" w:rsidRPr="00CB2280" w:rsidRDefault="006E1C9A" w:rsidP="00700E7F">
      <w:pPr>
        <w:spacing w:line="360" w:lineRule="auto"/>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VỚI CÁC CĂN CỨ CHO CÁC KẾT LUẬN, XEM PHẦN C CỦA PHIÊN BẢN NÀY</w:t>
      </w:r>
    </w:p>
    <w:p w:rsidR="006E1C9A" w:rsidRPr="00CB2280" w:rsidRDefault="006E1C9A" w:rsidP="00700E7F">
      <w:pPr>
        <w:spacing w:line="360" w:lineRule="auto"/>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CƠ SỞ CHO CÁC KẾT LUẬN</w:t>
      </w:r>
    </w:p>
    <w:p w:rsidR="00491426" w:rsidRPr="00CB2280" w:rsidRDefault="00491426" w:rsidP="00700E7F">
      <w:pPr>
        <w:spacing w:line="360" w:lineRule="auto"/>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PHỤ LỤC CHO CÁC CĂN CỨ CỦA KẾT LUẬN</w:t>
      </w:r>
    </w:p>
    <w:p w:rsidR="00491426" w:rsidRPr="00CB2280" w:rsidRDefault="00491426" w:rsidP="00700E7F">
      <w:pPr>
        <w:spacing w:line="360" w:lineRule="auto"/>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A Thông tin nền tảng và căn bản cho các kết luận của Ủy ban chuẩn mực kế toán tài chính của Hoa Kỳ về SFAS131</w:t>
      </w:r>
    </w:p>
    <w:p w:rsidR="00491426" w:rsidRPr="00CB2280" w:rsidRDefault="00491426" w:rsidP="00700E7F">
      <w:pPr>
        <w:spacing w:line="360" w:lineRule="auto"/>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B Những sửa đ</w:t>
      </w:r>
      <w:r w:rsidR="009521C7" w:rsidRPr="00CB2280">
        <w:rPr>
          <w:rFonts w:ascii="Times New Roman" w:hAnsi="Times New Roman" w:cs="Times New Roman"/>
          <w:color w:val="000000" w:themeColor="text1"/>
          <w:sz w:val="24"/>
          <w:szCs w:val="24"/>
        </w:rPr>
        <w:t>ổ</w:t>
      </w:r>
      <w:r w:rsidRPr="00CB2280">
        <w:rPr>
          <w:rFonts w:ascii="Times New Roman" w:hAnsi="Times New Roman" w:cs="Times New Roman"/>
          <w:color w:val="000000" w:themeColor="text1"/>
          <w:sz w:val="24"/>
          <w:szCs w:val="24"/>
        </w:rPr>
        <w:t>i căn cứ cho các kết luận về các chuẩn mực kế toán báo cáo tài chính quốc tế</w:t>
      </w:r>
    </w:p>
    <w:p w:rsidR="00491426" w:rsidRPr="00CB2280" w:rsidRDefault="00491426" w:rsidP="00700E7F">
      <w:pPr>
        <w:spacing w:line="360" w:lineRule="auto"/>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CÁC Ý KIẾN TRÁI CHIỀU</w:t>
      </w:r>
    </w:p>
    <w:p w:rsidR="00C7056D" w:rsidRPr="00CB2280" w:rsidRDefault="00C7056D" w:rsidP="00700E7F">
      <w:pPr>
        <w:spacing w:line="360" w:lineRule="auto"/>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br w:type="page"/>
      </w:r>
    </w:p>
    <w:p w:rsidR="00C7056D" w:rsidRPr="00CB2280" w:rsidRDefault="007914E8" w:rsidP="00700E7F">
      <w:pPr>
        <w:spacing w:line="36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pict>
          <v:shapetype id="_x0000_t202" coordsize="21600,21600" o:spt="202" path="m,l,21600r21600,l21600,xe">
            <v:stroke joinstyle="miter"/>
            <v:path gradientshapeok="t" o:connecttype="rect"/>
          </v:shapetype>
          <v:shape id="Text Box 3" o:spid="_x0000_s1026" type="#_x0000_t202" style="position:absolute;margin-left:0;margin-top:22pt;width:2in;height:2in;z-index:2516633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" filled="f" strokeweight=".5pt">
            <v:textbox style="mso-fit-shape-to-text:t">
              <w:txbxContent>
                <w:p w:rsidR="00BB3E5D" w:rsidRPr="00A30F29" w:rsidRDefault="00BB3E5D" w:rsidP="00CF307B">
                  <w:pPr>
                    <w:spacing w:line="360" w:lineRule="auto"/>
                    <w:rPr>
                      <w:rFonts w:ascii="Times New Roman" w:hAnsi="Times New Roman" w:cs="Times New Roman"/>
                    </w:rPr>
                  </w:pPr>
                  <w:r>
                    <w:rPr>
                      <w:rFonts w:ascii="Times New Roman" w:hAnsi="Times New Roman" w:cs="Times New Roman"/>
                    </w:rPr>
                    <w:t xml:space="preserve">Chuẩn mực báo cáo tài chính quốc tế số 8, </w:t>
                  </w:r>
                  <w:r w:rsidRPr="0052231C">
                    <w:rPr>
                      <w:rFonts w:ascii="Times New Roman" w:hAnsi="Times New Roman" w:cs="Times New Roman"/>
                      <w:i/>
                      <w:iCs/>
                    </w:rPr>
                    <w:t>Các bộ phận hoạt động (IFRS 8</w:t>
                  </w:r>
                  <w:r>
                    <w:rPr>
                      <w:rFonts w:ascii="Times New Roman" w:hAnsi="Times New Roman" w:cs="Times New Roman"/>
                    </w:rPr>
                    <w:t>) được trình bày trong các đoạn từ 1-37 và Phụ lục A và B. Tất cả các đoạn văn có giá trị ngang nhau. Các đoạn văn được bôi đậm đề cập đến các nguyên tắc cơ bản. Giải thích chi tiết cho các thuật ngữ được liệt kê trong Bộ thuật ngữ Chuẩn mực Báo cáo Tài chính Quốc tế. IFRS 8 nên được nghiên cứu kết hợp các Nguyên tắc căn bản và các Căn cứ cho Kết luận, Phần mở đầu của IFRS và Khung lý thuyết về Báo cáo Tài chính. Trong điều kiện thiếu vắng các chỉ dẫn cụ thể thì IAS 8, Các chính sách kế toán, Những thay đổi về ước lượng và sai sót kế toán sẽ là cơ sở cho việc lựa chọn và áp dụng các chính sách kế toán.</w:t>
                  </w:r>
                </w:p>
              </w:txbxContent>
            </v:textbox>
            <w10:wrap type="square"/>
          </v:shape>
        </w:pict>
      </w:r>
    </w:p>
    <w:p w:rsidR="00C7056D" w:rsidRPr="00CB2280" w:rsidRDefault="00C7056D" w:rsidP="00700E7F">
      <w:pPr>
        <w:spacing w:line="360" w:lineRule="auto"/>
        <w:rPr>
          <w:rFonts w:ascii="Times New Roman" w:hAnsi="Times New Roman" w:cs="Times New Roman"/>
          <w:color w:val="000000" w:themeColor="text1"/>
          <w:sz w:val="24"/>
          <w:szCs w:val="24"/>
        </w:rPr>
      </w:pPr>
    </w:p>
    <w:p w:rsidR="00C7056D" w:rsidRPr="00CB2280" w:rsidRDefault="00C7056D" w:rsidP="00700E7F">
      <w:pPr>
        <w:spacing w:line="360" w:lineRule="auto"/>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br w:type="page"/>
      </w:r>
    </w:p>
    <w:p w:rsidR="00C7056D" w:rsidRPr="00CB2280" w:rsidRDefault="00C7056D" w:rsidP="00700E7F">
      <w:pPr>
        <w:spacing w:line="360" w:lineRule="auto"/>
        <w:rPr>
          <w:rFonts w:ascii="Times New Roman" w:hAnsi="Times New Roman" w:cs="Times New Roman"/>
          <w:b/>
          <w:bCs/>
          <w:caps/>
          <w:color w:val="000000" w:themeColor="text1"/>
          <w:sz w:val="24"/>
          <w:szCs w:val="24"/>
        </w:rPr>
      </w:pPr>
      <w:r w:rsidRPr="00CB2280">
        <w:rPr>
          <w:rFonts w:ascii="Times New Roman" w:hAnsi="Times New Roman" w:cs="Times New Roman"/>
          <w:b/>
          <w:bCs/>
          <w:caps/>
          <w:color w:val="000000" w:themeColor="text1"/>
          <w:sz w:val="24"/>
          <w:szCs w:val="24"/>
        </w:rPr>
        <w:lastRenderedPageBreak/>
        <w:t>Chuẩn mực báo cáo tài chính quốc tế số 8</w:t>
      </w:r>
    </w:p>
    <w:p w:rsidR="00C7056D" w:rsidRPr="00CB2280" w:rsidRDefault="00C7056D" w:rsidP="00700E7F">
      <w:pPr>
        <w:spacing w:line="360" w:lineRule="auto"/>
        <w:rPr>
          <w:rFonts w:ascii="Times New Roman" w:hAnsi="Times New Roman" w:cs="Times New Roman"/>
          <w:b/>
          <w:bCs/>
          <w:i/>
          <w:iCs/>
          <w:color w:val="000000" w:themeColor="text1"/>
          <w:sz w:val="28"/>
          <w:szCs w:val="28"/>
        </w:rPr>
      </w:pPr>
      <w:r w:rsidRPr="00CB2280">
        <w:rPr>
          <w:rFonts w:ascii="Times New Roman" w:hAnsi="Times New Roman" w:cs="Times New Roman"/>
          <w:b/>
          <w:bCs/>
          <w:i/>
          <w:iCs/>
          <w:color w:val="000000" w:themeColor="text1"/>
          <w:sz w:val="28"/>
          <w:szCs w:val="28"/>
        </w:rPr>
        <w:t>Các bộ phận hoạt động</w:t>
      </w:r>
    </w:p>
    <w:p w:rsidR="009C2720" w:rsidRPr="00CB2280" w:rsidRDefault="007914E8" w:rsidP="00700E7F">
      <w:pPr>
        <w:spacing w:line="360" w:lineRule="auto"/>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rPr>
        <w:pict>
          <v:line id="Straight Connector 5" o:spid="_x0000_s1037" style="position:absolute;z-index:251665408;visibility:visible" from="-3pt,21.7pt" to="467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" strokecolor="black [3200]" strokeweight=".5pt">
            <v:stroke joinstyle="miter"/>
          </v:line>
        </w:pict>
      </w:r>
      <w:r w:rsidR="009C2720" w:rsidRPr="00CB2280">
        <w:rPr>
          <w:rFonts w:ascii="Times New Roman" w:hAnsi="Times New Roman" w:cs="Times New Roman"/>
          <w:b/>
          <w:bCs/>
          <w:color w:val="000000" w:themeColor="text1"/>
          <w:sz w:val="28"/>
          <w:szCs w:val="28"/>
        </w:rPr>
        <w:t>Nguyên tắc nền tảng</w:t>
      </w:r>
    </w:p>
    <w:p w:rsidR="009C2720" w:rsidRPr="0052231C" w:rsidRDefault="009C2720" w:rsidP="00497676">
      <w:pPr>
        <w:pStyle w:val="ListParagraph"/>
        <w:numPr>
          <w:ilvl w:val="0"/>
          <w:numId w:val="2"/>
        </w:numPr>
        <w:spacing w:line="360" w:lineRule="auto"/>
        <w:jc w:val="both"/>
        <w:rPr>
          <w:rFonts w:ascii="Times New Roman" w:hAnsi="Times New Roman" w:cs="Times New Roman"/>
          <w:b/>
          <w:bCs/>
          <w:color w:val="000000" w:themeColor="text1"/>
          <w:sz w:val="24"/>
          <w:szCs w:val="24"/>
        </w:rPr>
      </w:pPr>
      <w:r w:rsidRPr="0052231C">
        <w:rPr>
          <w:rFonts w:ascii="Times New Roman" w:hAnsi="Times New Roman" w:cs="Times New Roman"/>
          <w:b/>
          <w:bCs/>
          <w:color w:val="000000" w:themeColor="text1"/>
          <w:sz w:val="24"/>
          <w:szCs w:val="24"/>
        </w:rPr>
        <w:t xml:space="preserve">Một </w:t>
      </w:r>
      <w:r w:rsidR="00787586" w:rsidRPr="0052231C">
        <w:rPr>
          <w:rFonts w:ascii="Times New Roman" w:hAnsi="Times New Roman" w:cs="Times New Roman"/>
          <w:b/>
          <w:bCs/>
          <w:color w:val="000000" w:themeColor="text1"/>
          <w:sz w:val="24"/>
          <w:szCs w:val="24"/>
        </w:rPr>
        <w:t>đơn vị</w:t>
      </w:r>
      <w:r w:rsidRPr="0052231C">
        <w:rPr>
          <w:rFonts w:ascii="Times New Roman" w:hAnsi="Times New Roman" w:cs="Times New Roman"/>
          <w:b/>
          <w:bCs/>
          <w:color w:val="000000" w:themeColor="text1"/>
          <w:sz w:val="24"/>
          <w:szCs w:val="24"/>
        </w:rPr>
        <w:t xml:space="preserve"> sẽ công khai thông tin </w:t>
      </w:r>
      <w:r w:rsidR="00487C41" w:rsidRPr="0052231C">
        <w:rPr>
          <w:rFonts w:ascii="Times New Roman" w:hAnsi="Times New Roman" w:cs="Times New Roman"/>
          <w:b/>
          <w:bCs/>
          <w:color w:val="000000" w:themeColor="text1"/>
          <w:sz w:val="24"/>
          <w:szCs w:val="24"/>
        </w:rPr>
        <w:t xml:space="preserve">để </w:t>
      </w:r>
      <w:r w:rsidRPr="0052231C">
        <w:rPr>
          <w:rFonts w:ascii="Times New Roman" w:hAnsi="Times New Roman" w:cs="Times New Roman"/>
          <w:b/>
          <w:bCs/>
          <w:color w:val="000000" w:themeColor="text1"/>
          <w:sz w:val="24"/>
          <w:szCs w:val="24"/>
        </w:rPr>
        <w:t xml:space="preserve">đảm bảo cho người dùng báo cáo tài chính có thể đánh giá được bản chất và ảnh hưởng tài chính của các hoạt động kinh doanh mà </w:t>
      </w:r>
      <w:r w:rsidR="00EE758E">
        <w:rPr>
          <w:rFonts w:ascii="Times New Roman" w:hAnsi="Times New Roman" w:cs="Times New Roman"/>
          <w:b/>
          <w:bCs/>
          <w:color w:val="000000" w:themeColor="text1"/>
          <w:sz w:val="24"/>
          <w:szCs w:val="24"/>
        </w:rPr>
        <w:t>đơn vị</w:t>
      </w:r>
      <w:r w:rsidRPr="0052231C">
        <w:rPr>
          <w:rFonts w:ascii="Times New Roman" w:hAnsi="Times New Roman" w:cs="Times New Roman"/>
          <w:b/>
          <w:bCs/>
          <w:color w:val="000000" w:themeColor="text1"/>
          <w:sz w:val="24"/>
          <w:szCs w:val="24"/>
        </w:rPr>
        <w:t xml:space="preserve"> đã đăng ký và môi trường kinh tế mà </w:t>
      </w:r>
      <w:r w:rsidR="0052231C">
        <w:rPr>
          <w:rFonts w:ascii="Times New Roman" w:hAnsi="Times New Roman" w:cs="Times New Roman"/>
          <w:b/>
          <w:bCs/>
          <w:color w:val="000000" w:themeColor="text1"/>
          <w:sz w:val="24"/>
          <w:szCs w:val="24"/>
        </w:rPr>
        <w:t>đơn vị</w:t>
      </w:r>
      <w:r w:rsidRPr="0052231C">
        <w:rPr>
          <w:rFonts w:ascii="Times New Roman" w:hAnsi="Times New Roman" w:cs="Times New Roman"/>
          <w:b/>
          <w:bCs/>
          <w:color w:val="000000" w:themeColor="text1"/>
          <w:sz w:val="24"/>
          <w:szCs w:val="24"/>
        </w:rPr>
        <w:t xml:space="preserve"> đó hoạt động.</w:t>
      </w:r>
    </w:p>
    <w:p w:rsidR="009C2720" w:rsidRPr="00CB2280" w:rsidRDefault="007914E8" w:rsidP="00700E7F">
      <w:pPr>
        <w:spacing w:line="360" w:lineRule="auto"/>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rPr>
        <w:pict>
          <v:line id="Straight Connector 6" o:spid="_x0000_s1036" style="position:absolute;z-index:251666432;visibility:visible" from="2pt,24.4pt" to="463.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" strokecolor="black [3200]" strokeweight=".5pt">
            <v:stroke joinstyle="miter"/>
          </v:line>
        </w:pict>
      </w:r>
      <w:r w:rsidR="009C2720" w:rsidRPr="00CB2280">
        <w:rPr>
          <w:rFonts w:ascii="Times New Roman" w:hAnsi="Times New Roman" w:cs="Times New Roman"/>
          <w:b/>
          <w:bCs/>
          <w:color w:val="000000" w:themeColor="text1"/>
          <w:sz w:val="28"/>
          <w:szCs w:val="28"/>
        </w:rPr>
        <w:t>Phạm vi</w:t>
      </w:r>
    </w:p>
    <w:p w:rsidR="009C2720" w:rsidRPr="00CB2280" w:rsidRDefault="009C2720" w:rsidP="00497676">
      <w:pPr>
        <w:pStyle w:val="ListParagraph"/>
        <w:numPr>
          <w:ilvl w:val="0"/>
          <w:numId w:val="2"/>
        </w:numPr>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Chuẩn mực này sẽ được áp dụng cho:</w:t>
      </w:r>
    </w:p>
    <w:p w:rsidR="009C2720" w:rsidRPr="00CB2280" w:rsidRDefault="009C2720" w:rsidP="00497676">
      <w:pPr>
        <w:pStyle w:val="ListParagraph"/>
        <w:numPr>
          <w:ilvl w:val="0"/>
          <w:numId w:val="3"/>
        </w:numPr>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Các báo cáo tài chính riêng của một đơn vị kinh tế:</w:t>
      </w:r>
    </w:p>
    <w:p w:rsidR="009C2720" w:rsidRPr="00CB2280" w:rsidRDefault="009C2720" w:rsidP="00497676">
      <w:pPr>
        <w:pStyle w:val="ListParagraph"/>
        <w:numPr>
          <w:ilvl w:val="1"/>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val="vi-VN"/>
        </w:rPr>
      </w:pPr>
      <w:r w:rsidRPr="00CB2280">
        <w:rPr>
          <w:rFonts w:ascii="Times New Roman" w:eastAsia="Times New Roman" w:hAnsi="Times New Roman" w:cs="Times New Roman"/>
          <w:color w:val="000000" w:themeColor="text1"/>
          <w:sz w:val="24"/>
          <w:szCs w:val="24"/>
          <w:lang w:val="vi-VN"/>
        </w:rPr>
        <w:t xml:space="preserve">có công cụ nợ hoặc </w:t>
      </w:r>
      <w:r w:rsidR="0003426A" w:rsidRPr="00CB2280">
        <w:rPr>
          <w:rFonts w:ascii="Times New Roman" w:eastAsia="Times New Roman" w:hAnsi="Times New Roman" w:cs="Times New Roman"/>
          <w:color w:val="000000" w:themeColor="text1"/>
          <w:sz w:val="24"/>
          <w:szCs w:val="24"/>
        </w:rPr>
        <w:t xml:space="preserve">công cụ </w:t>
      </w:r>
      <w:r w:rsidRPr="00CB2280">
        <w:rPr>
          <w:rFonts w:ascii="Times New Roman" w:eastAsia="Times New Roman" w:hAnsi="Times New Roman" w:cs="Times New Roman"/>
          <w:color w:val="000000" w:themeColor="text1"/>
          <w:sz w:val="24"/>
          <w:szCs w:val="24"/>
          <w:lang w:val="vi-VN"/>
        </w:rPr>
        <w:t xml:space="preserve">vốn chủ sở hữu được giao dịch </w:t>
      </w:r>
      <w:r w:rsidRPr="00CB2280">
        <w:rPr>
          <w:rFonts w:ascii="Times New Roman" w:eastAsia="Times New Roman" w:hAnsi="Times New Roman" w:cs="Times New Roman"/>
          <w:color w:val="000000" w:themeColor="text1"/>
          <w:sz w:val="24"/>
          <w:szCs w:val="24"/>
        </w:rPr>
        <w:t xml:space="preserve">trên </w:t>
      </w:r>
      <w:r w:rsidRPr="00CB2280">
        <w:rPr>
          <w:rFonts w:ascii="Times New Roman" w:eastAsia="Times New Roman" w:hAnsi="Times New Roman" w:cs="Times New Roman"/>
          <w:color w:val="000000" w:themeColor="text1"/>
          <w:sz w:val="24"/>
          <w:szCs w:val="24"/>
          <w:lang w:val="vi-VN"/>
        </w:rPr>
        <w:t xml:space="preserve">một thị trường </w:t>
      </w:r>
      <w:r w:rsidRPr="00CB2280">
        <w:rPr>
          <w:rFonts w:ascii="Times New Roman" w:eastAsia="Times New Roman" w:hAnsi="Times New Roman" w:cs="Times New Roman"/>
          <w:color w:val="000000" w:themeColor="text1"/>
          <w:sz w:val="24"/>
          <w:szCs w:val="24"/>
        </w:rPr>
        <w:t>niêm yết (một sàn giao dịch</w:t>
      </w:r>
      <w:r w:rsidR="00D13BDD" w:rsidRPr="00CB2280">
        <w:rPr>
          <w:rFonts w:ascii="Times New Roman" w:eastAsia="Times New Roman" w:hAnsi="Times New Roman" w:cs="Times New Roman"/>
          <w:color w:val="000000" w:themeColor="text1"/>
          <w:sz w:val="24"/>
          <w:szCs w:val="24"/>
        </w:rPr>
        <w:t xml:space="preserve"> chứng khoán trong nước hoặc nước ngoài hoặc một thị trường OTC, bao gồm các thị trường địa phương và khu vực), hoặc</w:t>
      </w:r>
    </w:p>
    <w:p w:rsidR="00D13BDD" w:rsidRPr="00CB2280" w:rsidRDefault="00D13BDD" w:rsidP="00497676">
      <w:pPr>
        <w:pStyle w:val="ListParagraph"/>
        <w:numPr>
          <w:ilvl w:val="1"/>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val="vi-VN"/>
        </w:rPr>
      </w:pPr>
      <w:r w:rsidRPr="00CB2280">
        <w:rPr>
          <w:rFonts w:ascii="Times New Roman" w:eastAsia="Times New Roman" w:hAnsi="Times New Roman" w:cs="Times New Roman"/>
          <w:color w:val="000000" w:themeColor="text1"/>
          <w:sz w:val="24"/>
          <w:szCs w:val="24"/>
        </w:rPr>
        <w:t xml:space="preserve">nộp hoặc đang trong quá trình nộp các báo cáo tài chính của đơn vị </w:t>
      </w:r>
      <w:r w:rsidR="0003426A" w:rsidRPr="00CB2280">
        <w:rPr>
          <w:rFonts w:ascii="Times New Roman" w:eastAsia="Times New Roman" w:hAnsi="Times New Roman" w:cs="Times New Roman"/>
          <w:color w:val="000000" w:themeColor="text1"/>
          <w:sz w:val="24"/>
          <w:szCs w:val="24"/>
        </w:rPr>
        <w:t xml:space="preserve">cho </w:t>
      </w:r>
      <w:r w:rsidR="00EE758E">
        <w:rPr>
          <w:rFonts w:ascii="Times New Roman" w:eastAsia="Times New Roman" w:hAnsi="Times New Roman" w:cs="Times New Roman"/>
          <w:color w:val="000000" w:themeColor="text1"/>
          <w:sz w:val="24"/>
          <w:szCs w:val="24"/>
        </w:rPr>
        <w:t>Ủ</w:t>
      </w:r>
      <w:r w:rsidRPr="00CB2280">
        <w:rPr>
          <w:rFonts w:ascii="Times New Roman" w:eastAsia="Times New Roman" w:hAnsi="Times New Roman" w:cs="Times New Roman"/>
          <w:color w:val="000000" w:themeColor="text1"/>
          <w:sz w:val="24"/>
          <w:szCs w:val="24"/>
        </w:rPr>
        <w:t>y ban chứng khoán hoặc tổ chức quản lý tương tự với mục đích phát hành bất kỳ công cụ</w:t>
      </w:r>
      <w:r w:rsidR="00EE758E">
        <w:rPr>
          <w:rFonts w:ascii="Times New Roman" w:eastAsia="Times New Roman" w:hAnsi="Times New Roman" w:cs="Times New Roman"/>
          <w:color w:val="000000" w:themeColor="text1"/>
          <w:sz w:val="24"/>
          <w:szCs w:val="24"/>
        </w:rPr>
        <w:t xml:space="preserve"> huy động vốn</w:t>
      </w:r>
      <w:r w:rsidRPr="00CB2280">
        <w:rPr>
          <w:rFonts w:ascii="Times New Roman" w:eastAsia="Times New Roman" w:hAnsi="Times New Roman" w:cs="Times New Roman"/>
          <w:color w:val="000000" w:themeColor="text1"/>
          <w:sz w:val="24"/>
          <w:szCs w:val="24"/>
        </w:rPr>
        <w:t xml:space="preserve"> nào trên thị trường niêm yết, và</w:t>
      </w:r>
    </w:p>
    <w:p w:rsidR="009C2720" w:rsidRPr="00CB2280" w:rsidRDefault="00603A5F" w:rsidP="00497676">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rPr>
      </w:pPr>
      <w:r w:rsidRPr="00CB2280">
        <w:rPr>
          <w:rFonts w:ascii="Times New Roman" w:eastAsia="Times New Roman" w:hAnsi="Times New Roman" w:cs="Times New Roman"/>
          <w:color w:val="000000" w:themeColor="text1"/>
          <w:sz w:val="24"/>
          <w:szCs w:val="24"/>
        </w:rPr>
        <w:t xml:space="preserve"> các báo cáo tài chính hợp nhất của một tập đoàn với công ty mẹ:</w:t>
      </w:r>
    </w:p>
    <w:p w:rsidR="00603A5F" w:rsidRPr="00CB2280" w:rsidRDefault="00603A5F" w:rsidP="00497676">
      <w:pPr>
        <w:pStyle w:val="ListParagraph"/>
        <w:numPr>
          <w:ilvl w:val="1"/>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val="vi-VN"/>
        </w:rPr>
      </w:pPr>
      <w:r w:rsidRPr="00CB2280">
        <w:rPr>
          <w:rFonts w:ascii="Times New Roman" w:eastAsia="Times New Roman" w:hAnsi="Times New Roman" w:cs="Times New Roman"/>
          <w:color w:val="000000" w:themeColor="text1"/>
          <w:sz w:val="24"/>
          <w:szCs w:val="24"/>
          <w:lang w:val="vi-VN"/>
        </w:rPr>
        <w:t xml:space="preserve">có công cụ nợ hoặc </w:t>
      </w:r>
      <w:r w:rsidR="00EE758E">
        <w:rPr>
          <w:rFonts w:ascii="Times New Roman" w:eastAsia="Times New Roman" w:hAnsi="Times New Roman" w:cs="Times New Roman"/>
          <w:color w:val="000000" w:themeColor="text1"/>
          <w:sz w:val="24"/>
          <w:szCs w:val="24"/>
        </w:rPr>
        <w:t xml:space="preserve">công cụ </w:t>
      </w:r>
      <w:r w:rsidRPr="00CB2280">
        <w:rPr>
          <w:rFonts w:ascii="Times New Roman" w:eastAsia="Times New Roman" w:hAnsi="Times New Roman" w:cs="Times New Roman"/>
          <w:color w:val="000000" w:themeColor="text1"/>
          <w:sz w:val="24"/>
          <w:szCs w:val="24"/>
          <w:lang w:val="vi-VN"/>
        </w:rPr>
        <w:t xml:space="preserve">vốn chủ sở hữu được giao dịch </w:t>
      </w:r>
      <w:r w:rsidRPr="00CB2280">
        <w:rPr>
          <w:rFonts w:ascii="Times New Roman" w:eastAsia="Times New Roman" w:hAnsi="Times New Roman" w:cs="Times New Roman"/>
          <w:color w:val="000000" w:themeColor="text1"/>
          <w:sz w:val="24"/>
          <w:szCs w:val="24"/>
        </w:rPr>
        <w:t xml:space="preserve">trên </w:t>
      </w:r>
      <w:r w:rsidRPr="00CB2280">
        <w:rPr>
          <w:rFonts w:ascii="Times New Roman" w:eastAsia="Times New Roman" w:hAnsi="Times New Roman" w:cs="Times New Roman"/>
          <w:color w:val="000000" w:themeColor="text1"/>
          <w:sz w:val="24"/>
          <w:szCs w:val="24"/>
          <w:lang w:val="vi-VN"/>
        </w:rPr>
        <w:t xml:space="preserve">một thị trường </w:t>
      </w:r>
      <w:r w:rsidRPr="00CB2280">
        <w:rPr>
          <w:rFonts w:ascii="Times New Roman" w:eastAsia="Times New Roman" w:hAnsi="Times New Roman" w:cs="Times New Roman"/>
          <w:color w:val="000000" w:themeColor="text1"/>
          <w:sz w:val="24"/>
          <w:szCs w:val="24"/>
        </w:rPr>
        <w:t>niêm yết (một sàn giao dịch chứng khoán trong nước hoặc nước ngoài hoặc một thị trường OTC, bao gồm các thị trường địa phương và khu vực), hoặc</w:t>
      </w:r>
    </w:p>
    <w:p w:rsidR="009C2720" w:rsidRPr="00CB2280" w:rsidRDefault="00603A5F" w:rsidP="00497676">
      <w:pPr>
        <w:pStyle w:val="ListParagraph"/>
        <w:numPr>
          <w:ilvl w:val="1"/>
          <w:numId w:val="3"/>
        </w:numPr>
        <w:spacing w:line="360" w:lineRule="auto"/>
        <w:jc w:val="both"/>
        <w:rPr>
          <w:rFonts w:ascii="Times New Roman" w:hAnsi="Times New Roman" w:cs="Times New Roman"/>
          <w:color w:val="000000" w:themeColor="text1"/>
          <w:sz w:val="24"/>
          <w:szCs w:val="24"/>
        </w:rPr>
      </w:pPr>
      <w:r w:rsidRPr="00CB2280">
        <w:rPr>
          <w:rFonts w:ascii="Times New Roman" w:eastAsia="Times New Roman" w:hAnsi="Times New Roman" w:cs="Times New Roman"/>
          <w:color w:val="000000" w:themeColor="text1"/>
          <w:sz w:val="24"/>
          <w:szCs w:val="24"/>
        </w:rPr>
        <w:t xml:space="preserve">nộp hoặc đang trong quá trình nộp các báo cáo tài chính của đơn vị với </w:t>
      </w:r>
      <w:r w:rsidR="00EE758E">
        <w:rPr>
          <w:rFonts w:ascii="Times New Roman" w:eastAsia="Times New Roman" w:hAnsi="Times New Roman" w:cs="Times New Roman"/>
          <w:color w:val="000000" w:themeColor="text1"/>
          <w:sz w:val="24"/>
          <w:szCs w:val="24"/>
        </w:rPr>
        <w:t>Ủ</w:t>
      </w:r>
      <w:r w:rsidRPr="00CB2280">
        <w:rPr>
          <w:rFonts w:ascii="Times New Roman" w:eastAsia="Times New Roman" w:hAnsi="Times New Roman" w:cs="Times New Roman"/>
          <w:color w:val="000000" w:themeColor="text1"/>
          <w:sz w:val="24"/>
          <w:szCs w:val="24"/>
        </w:rPr>
        <w:t xml:space="preserve">y ban chứng khoán hoặc tổ chức quản lý tương tự với mục đích phát hành bất kỳ công cụ </w:t>
      </w:r>
      <w:r w:rsidR="00EE758E">
        <w:rPr>
          <w:rFonts w:ascii="Times New Roman" w:eastAsia="Times New Roman" w:hAnsi="Times New Roman" w:cs="Times New Roman"/>
          <w:color w:val="000000" w:themeColor="text1"/>
          <w:sz w:val="24"/>
          <w:szCs w:val="24"/>
        </w:rPr>
        <w:t xml:space="preserve">huy động vốn </w:t>
      </w:r>
      <w:r w:rsidRPr="00CB2280">
        <w:rPr>
          <w:rFonts w:ascii="Times New Roman" w:eastAsia="Times New Roman" w:hAnsi="Times New Roman" w:cs="Times New Roman"/>
          <w:color w:val="000000" w:themeColor="text1"/>
          <w:sz w:val="24"/>
          <w:szCs w:val="24"/>
        </w:rPr>
        <w:t>nào trên thị trường niêm yết</w:t>
      </w:r>
    </w:p>
    <w:p w:rsidR="009C2720" w:rsidRPr="00CB2280" w:rsidRDefault="00603A5F" w:rsidP="00497676">
      <w:pPr>
        <w:pStyle w:val="ListParagraph"/>
        <w:numPr>
          <w:ilvl w:val="0"/>
          <w:numId w:val="2"/>
        </w:numPr>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Nếu một đơn vị không buộc phải áp dụng chuẩn mực này chọn công khai thông tin về các bộ phận, đơn vị đó sẽ không mô tả thông tin dưới dạng  thông tin bộ phận.</w:t>
      </w:r>
    </w:p>
    <w:p w:rsidR="00603A5F" w:rsidRPr="00CB2280" w:rsidRDefault="00603A5F" w:rsidP="00497676">
      <w:pPr>
        <w:pStyle w:val="ListParagraph"/>
        <w:numPr>
          <w:ilvl w:val="0"/>
          <w:numId w:val="2"/>
        </w:numPr>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Nếu một báo cáo tài chính bao gồm cả báo cáo tài chính hợp nhất của một tập đoàn thuộc phạm vi điều chỉnh của chuẩn mực này cùng với báo cáo tài chính riêng của công ty mẹ, thì thông tin bộ phận </w:t>
      </w:r>
      <w:r w:rsidR="00846F71" w:rsidRPr="00CB2280">
        <w:rPr>
          <w:rFonts w:ascii="Times New Roman" w:hAnsi="Times New Roman" w:cs="Times New Roman"/>
          <w:color w:val="000000" w:themeColor="text1"/>
          <w:sz w:val="24"/>
          <w:szCs w:val="24"/>
        </w:rPr>
        <w:t xml:space="preserve">chỉ </w:t>
      </w:r>
      <w:r w:rsidRPr="00CB2280">
        <w:rPr>
          <w:rFonts w:ascii="Times New Roman" w:hAnsi="Times New Roman" w:cs="Times New Roman"/>
          <w:color w:val="000000" w:themeColor="text1"/>
          <w:sz w:val="24"/>
          <w:szCs w:val="24"/>
        </w:rPr>
        <w:t xml:space="preserve">được yêu cầu </w:t>
      </w:r>
      <w:r w:rsidR="00EE758E">
        <w:rPr>
          <w:rFonts w:ascii="Times New Roman" w:hAnsi="Times New Roman" w:cs="Times New Roman"/>
          <w:color w:val="000000" w:themeColor="text1"/>
          <w:sz w:val="24"/>
          <w:szCs w:val="24"/>
        </w:rPr>
        <w:t xml:space="preserve">lập </w:t>
      </w:r>
      <w:r w:rsidR="00846F71" w:rsidRPr="00CB2280">
        <w:rPr>
          <w:rFonts w:ascii="Times New Roman" w:hAnsi="Times New Roman" w:cs="Times New Roman"/>
          <w:color w:val="000000" w:themeColor="text1"/>
          <w:sz w:val="24"/>
          <w:szCs w:val="24"/>
        </w:rPr>
        <w:t>trong</w:t>
      </w:r>
      <w:r w:rsidRPr="00CB2280">
        <w:rPr>
          <w:rFonts w:ascii="Times New Roman" w:hAnsi="Times New Roman" w:cs="Times New Roman"/>
          <w:color w:val="000000" w:themeColor="text1"/>
          <w:sz w:val="24"/>
          <w:szCs w:val="24"/>
        </w:rPr>
        <w:t xml:space="preserve"> báo cáo tài chính hợp nhất.</w:t>
      </w:r>
    </w:p>
    <w:p w:rsidR="00497676" w:rsidRPr="00CB2280" w:rsidRDefault="00497676" w:rsidP="00497676">
      <w:pPr>
        <w:pStyle w:val="ListParagraph"/>
        <w:spacing w:line="360" w:lineRule="auto"/>
        <w:jc w:val="both"/>
        <w:rPr>
          <w:rFonts w:ascii="Times New Roman" w:hAnsi="Times New Roman" w:cs="Times New Roman"/>
          <w:color w:val="000000" w:themeColor="text1"/>
          <w:sz w:val="24"/>
          <w:szCs w:val="24"/>
        </w:rPr>
      </w:pPr>
    </w:p>
    <w:p w:rsidR="00846F71" w:rsidRPr="00CB2280" w:rsidRDefault="007914E8" w:rsidP="00497676">
      <w:p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rPr>
        <w:pict>
          <v:line id="Straight Connector 7" o:spid="_x0000_s1035" style="position:absolute;left:0;text-align:left;z-index:251667456;visibility:visible" from="-.5pt,23.5pt" to="4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" strokecolor="black [3200]" strokeweight=".5pt">
            <v:stroke joinstyle="miter"/>
          </v:line>
        </w:pict>
      </w:r>
      <w:r w:rsidR="00846F71" w:rsidRPr="00CB2280">
        <w:rPr>
          <w:rFonts w:ascii="Times New Roman" w:hAnsi="Times New Roman" w:cs="Times New Roman"/>
          <w:b/>
          <w:bCs/>
          <w:color w:val="000000" w:themeColor="text1"/>
          <w:sz w:val="28"/>
          <w:szCs w:val="28"/>
        </w:rPr>
        <w:t>Các bộ phận hoạt động</w:t>
      </w:r>
    </w:p>
    <w:p w:rsidR="00846F71" w:rsidRPr="00CB2280" w:rsidRDefault="00846F71" w:rsidP="00497676">
      <w:pPr>
        <w:pStyle w:val="ListParagraph"/>
        <w:numPr>
          <w:ilvl w:val="0"/>
          <w:numId w:val="2"/>
        </w:numPr>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Một bộ phận hoạt động là một thành phần của một đơn vị kinh tế:</w:t>
      </w:r>
    </w:p>
    <w:p w:rsidR="00846F71" w:rsidRPr="00CB2280" w:rsidRDefault="00846F71" w:rsidP="00497676">
      <w:pPr>
        <w:pStyle w:val="ListParagraph"/>
        <w:numPr>
          <w:ilvl w:val="0"/>
          <w:numId w:val="4"/>
        </w:numPr>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Tham gia vào các hoạt động kinh doanh mà qua đó nó có thể </w:t>
      </w:r>
      <w:r w:rsidR="0003426A" w:rsidRPr="00CB2280">
        <w:rPr>
          <w:rFonts w:ascii="Times New Roman" w:hAnsi="Times New Roman" w:cs="Times New Roman"/>
          <w:color w:val="000000" w:themeColor="text1"/>
          <w:sz w:val="24"/>
          <w:szCs w:val="24"/>
        </w:rPr>
        <w:t xml:space="preserve">có </w:t>
      </w:r>
      <w:r w:rsidRPr="00CB2280">
        <w:rPr>
          <w:rFonts w:ascii="Times New Roman" w:hAnsi="Times New Roman" w:cs="Times New Roman"/>
          <w:color w:val="000000" w:themeColor="text1"/>
          <w:sz w:val="24"/>
          <w:szCs w:val="24"/>
        </w:rPr>
        <w:t>được các khoản doanh thu và phát sinh các khoản chi phí (bao gồm cả doanh thu và chi phí liên quan đến các giao dịch với các thành phần khác của cùng một đơn vị kinh tế).</w:t>
      </w:r>
    </w:p>
    <w:p w:rsidR="00846F71" w:rsidRPr="00CB2280" w:rsidRDefault="00846F71" w:rsidP="00497676">
      <w:pPr>
        <w:pStyle w:val="HTMLPreformatted"/>
        <w:numPr>
          <w:ilvl w:val="0"/>
          <w:numId w:val="4"/>
        </w:numPr>
        <w:shd w:val="clear" w:color="auto" w:fill="F8F9FA"/>
        <w:spacing w:line="360" w:lineRule="auto"/>
        <w:jc w:val="both"/>
        <w:rPr>
          <w:rFonts w:ascii="Times New Roman" w:hAnsi="Times New Roman" w:cs="Times New Roman"/>
          <w:color w:val="000000" w:themeColor="text1"/>
          <w:sz w:val="24"/>
          <w:szCs w:val="24"/>
          <w:lang w:val="vi-VN"/>
        </w:rPr>
      </w:pPr>
      <w:r w:rsidRPr="00CB2280">
        <w:rPr>
          <w:rFonts w:ascii="Times New Roman" w:hAnsi="Times New Roman" w:cs="Times New Roman"/>
          <w:color w:val="000000" w:themeColor="text1"/>
          <w:sz w:val="24"/>
          <w:szCs w:val="24"/>
        </w:rPr>
        <w:t xml:space="preserve"> Có kết quả hoạt động thường xuyên được </w:t>
      </w:r>
      <w:r w:rsidR="0003426A" w:rsidRPr="00CB2280">
        <w:rPr>
          <w:rFonts w:ascii="Times New Roman" w:hAnsi="Times New Roman" w:cs="Times New Roman"/>
          <w:color w:val="000000" w:themeColor="text1"/>
          <w:sz w:val="24"/>
          <w:szCs w:val="24"/>
        </w:rPr>
        <w:t>cân nhắc</w:t>
      </w:r>
      <w:r w:rsidRPr="00CB2280">
        <w:rPr>
          <w:rFonts w:ascii="Times New Roman" w:hAnsi="Times New Roman" w:cs="Times New Roman"/>
          <w:color w:val="000000" w:themeColor="text1"/>
          <w:sz w:val="24"/>
          <w:szCs w:val="24"/>
        </w:rPr>
        <w:t xml:space="preserve"> bởi </w:t>
      </w:r>
      <w:r w:rsidR="00AB6053" w:rsidRPr="00CB2280">
        <w:rPr>
          <w:rFonts w:ascii="Times New Roman" w:hAnsi="Times New Roman" w:cs="Times New Roman"/>
          <w:color w:val="000000" w:themeColor="text1"/>
          <w:sz w:val="24"/>
          <w:szCs w:val="24"/>
        </w:rPr>
        <w:t>Người điều hành</w:t>
      </w:r>
      <w:r w:rsidRPr="00CB2280">
        <w:rPr>
          <w:rFonts w:ascii="Times New Roman" w:hAnsi="Times New Roman" w:cs="Times New Roman"/>
          <w:color w:val="000000" w:themeColor="text1"/>
          <w:sz w:val="24"/>
          <w:szCs w:val="24"/>
        </w:rPr>
        <w:t xml:space="preserve"> </w:t>
      </w:r>
      <w:r w:rsidR="00EE758E">
        <w:rPr>
          <w:rFonts w:ascii="Times New Roman" w:hAnsi="Times New Roman" w:cs="Times New Roman"/>
          <w:color w:val="000000" w:themeColor="text1"/>
          <w:sz w:val="24"/>
          <w:szCs w:val="24"/>
        </w:rPr>
        <w:t>giúp họ</w:t>
      </w:r>
      <w:r w:rsidR="0003426A" w:rsidRPr="00CB2280">
        <w:rPr>
          <w:rFonts w:ascii="Times New Roman" w:hAnsi="Times New Roman" w:cs="Times New Roman"/>
          <w:color w:val="000000" w:themeColor="text1"/>
          <w:sz w:val="24"/>
          <w:szCs w:val="24"/>
        </w:rPr>
        <w:t xml:space="preserve"> </w:t>
      </w:r>
      <w:r w:rsidRPr="00CB2280">
        <w:rPr>
          <w:rFonts w:ascii="Times New Roman" w:hAnsi="Times New Roman" w:cs="Times New Roman"/>
          <w:color w:val="000000" w:themeColor="text1"/>
          <w:sz w:val="24"/>
          <w:szCs w:val="24"/>
        </w:rPr>
        <w:t xml:space="preserve">ra </w:t>
      </w:r>
      <w:r w:rsidR="00D7705A" w:rsidRPr="00CB2280">
        <w:rPr>
          <w:rFonts w:ascii="Times New Roman" w:hAnsi="Times New Roman" w:cs="Times New Roman"/>
          <w:color w:val="000000" w:themeColor="text1"/>
          <w:sz w:val="24"/>
          <w:szCs w:val="24"/>
        </w:rPr>
        <w:t xml:space="preserve">các </w:t>
      </w:r>
      <w:r w:rsidRPr="00CB2280">
        <w:rPr>
          <w:rFonts w:ascii="Times New Roman" w:hAnsi="Times New Roman" w:cs="Times New Roman"/>
          <w:color w:val="000000" w:themeColor="text1"/>
          <w:sz w:val="24"/>
          <w:szCs w:val="24"/>
        </w:rPr>
        <w:t xml:space="preserve">quyết định về </w:t>
      </w:r>
      <w:r w:rsidR="0003426A" w:rsidRPr="00CB2280">
        <w:rPr>
          <w:rFonts w:ascii="Times New Roman" w:hAnsi="Times New Roman" w:cs="Times New Roman"/>
          <w:color w:val="000000" w:themeColor="text1"/>
          <w:sz w:val="24"/>
          <w:szCs w:val="24"/>
        </w:rPr>
        <w:t xml:space="preserve">phân bổ </w:t>
      </w:r>
      <w:r w:rsidRPr="00CB2280">
        <w:rPr>
          <w:rFonts w:ascii="Times New Roman" w:hAnsi="Times New Roman" w:cs="Times New Roman"/>
          <w:color w:val="000000" w:themeColor="text1"/>
          <w:sz w:val="24"/>
          <w:szCs w:val="24"/>
        </w:rPr>
        <w:t>các nguồn lực và đánh giá hiệu quả hoạt động của đơn vị đó, và</w:t>
      </w:r>
    </w:p>
    <w:p w:rsidR="00846F71" w:rsidRPr="00CB2280" w:rsidRDefault="00846F71" w:rsidP="00497676">
      <w:pPr>
        <w:pStyle w:val="HTMLPreformatted"/>
        <w:numPr>
          <w:ilvl w:val="0"/>
          <w:numId w:val="4"/>
        </w:numPr>
        <w:shd w:val="clear" w:color="auto" w:fill="F8F9FA"/>
        <w:spacing w:line="360" w:lineRule="auto"/>
        <w:jc w:val="both"/>
        <w:rPr>
          <w:rFonts w:ascii="Times New Roman" w:hAnsi="Times New Roman" w:cs="Times New Roman"/>
          <w:color w:val="000000" w:themeColor="text1"/>
          <w:sz w:val="24"/>
          <w:szCs w:val="24"/>
          <w:lang w:val="vi-VN"/>
        </w:rPr>
      </w:pPr>
      <w:r w:rsidRPr="00CB2280">
        <w:rPr>
          <w:rFonts w:ascii="Times New Roman" w:hAnsi="Times New Roman" w:cs="Times New Roman"/>
          <w:color w:val="000000" w:themeColor="text1"/>
          <w:sz w:val="24"/>
          <w:szCs w:val="24"/>
        </w:rPr>
        <w:t xml:space="preserve"> </w:t>
      </w:r>
      <w:r w:rsidR="00545E55" w:rsidRPr="00CB2280">
        <w:rPr>
          <w:rFonts w:ascii="Times New Roman" w:hAnsi="Times New Roman" w:cs="Times New Roman"/>
          <w:color w:val="000000" w:themeColor="text1"/>
          <w:sz w:val="24"/>
          <w:szCs w:val="24"/>
        </w:rPr>
        <w:t>Thông tin tài chính của đơn vị có sẵn cho người dùng.</w:t>
      </w:r>
    </w:p>
    <w:p w:rsidR="00545E55" w:rsidRPr="00CB2280" w:rsidRDefault="00545E55" w:rsidP="00497676">
      <w:pPr>
        <w:pStyle w:val="HTMLPreformatted"/>
        <w:shd w:val="clear" w:color="auto" w:fill="F8F9FA"/>
        <w:spacing w:line="360" w:lineRule="auto"/>
        <w:ind w:left="630"/>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Một bộ phận hoạt động có thể tham gia vào các hoạt động kinh doanh nhưng vẫn chưa có doanh thu, ví dụ các hoạt động khởi nghiệp có thể là bộ phận hoạt động trước khi có được doanh thu/thu nhập.</w:t>
      </w:r>
    </w:p>
    <w:p w:rsidR="00846F71" w:rsidRPr="00CB2280" w:rsidRDefault="00D7705A" w:rsidP="00497676">
      <w:pPr>
        <w:pStyle w:val="ListParagraph"/>
        <w:numPr>
          <w:ilvl w:val="0"/>
          <w:numId w:val="2"/>
        </w:numPr>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Không phải mọi bộ phận của đơn vị kinh tế là một bộ phận hoạt động hoặc một phần của bộ phận hoạt động. Ví dụ, một trụ sở công ty hoặc một phòng ban chức năng không </w:t>
      </w:r>
      <w:r w:rsidR="00AB6053" w:rsidRPr="00CB2280">
        <w:rPr>
          <w:rFonts w:ascii="Times New Roman" w:hAnsi="Times New Roman" w:cs="Times New Roman"/>
          <w:color w:val="000000" w:themeColor="text1"/>
          <w:sz w:val="24"/>
          <w:szCs w:val="24"/>
        </w:rPr>
        <w:t>có</w:t>
      </w:r>
      <w:r w:rsidRPr="00CB2280">
        <w:rPr>
          <w:rFonts w:ascii="Times New Roman" w:hAnsi="Times New Roman" w:cs="Times New Roman"/>
          <w:color w:val="000000" w:themeColor="text1"/>
          <w:sz w:val="24"/>
          <w:szCs w:val="24"/>
        </w:rPr>
        <w:t xml:space="preserve"> được các khoản doanh thu hoặc có thể có những khoản doanh thu/thu nhập nhưng chỉ là khoản thu bất thường so với các hoạt động của </w:t>
      </w:r>
      <w:r w:rsidR="00AB6053" w:rsidRPr="00CB2280">
        <w:rPr>
          <w:rFonts w:ascii="Times New Roman" w:hAnsi="Times New Roman" w:cs="Times New Roman"/>
          <w:color w:val="000000" w:themeColor="text1"/>
          <w:sz w:val="24"/>
          <w:szCs w:val="24"/>
        </w:rPr>
        <w:t>đơn vị</w:t>
      </w:r>
      <w:r w:rsidRPr="00CB2280">
        <w:rPr>
          <w:rFonts w:ascii="Times New Roman" w:hAnsi="Times New Roman" w:cs="Times New Roman"/>
          <w:color w:val="000000" w:themeColor="text1"/>
          <w:sz w:val="24"/>
          <w:szCs w:val="24"/>
        </w:rPr>
        <w:t xml:space="preserve"> sẽ không phải là bộ phận hoạt động. Với mục đích của chuẩn mự</w:t>
      </w:r>
      <w:r w:rsidR="00AB6053" w:rsidRPr="00CB2280">
        <w:rPr>
          <w:rFonts w:ascii="Times New Roman" w:hAnsi="Times New Roman" w:cs="Times New Roman"/>
          <w:color w:val="000000" w:themeColor="text1"/>
          <w:sz w:val="24"/>
          <w:szCs w:val="24"/>
        </w:rPr>
        <w:t>c</w:t>
      </w:r>
      <w:r w:rsidRPr="00CB2280">
        <w:rPr>
          <w:rFonts w:ascii="Times New Roman" w:hAnsi="Times New Roman" w:cs="Times New Roman"/>
          <w:color w:val="000000" w:themeColor="text1"/>
          <w:sz w:val="24"/>
          <w:szCs w:val="24"/>
        </w:rPr>
        <w:t xml:space="preserve"> này, một quỹ lợi ích </w:t>
      </w:r>
      <w:r w:rsidR="00AB6053" w:rsidRPr="00CB2280">
        <w:rPr>
          <w:rFonts w:ascii="Times New Roman" w:hAnsi="Times New Roman" w:cs="Times New Roman"/>
          <w:color w:val="000000" w:themeColor="text1"/>
          <w:sz w:val="24"/>
          <w:szCs w:val="24"/>
        </w:rPr>
        <w:t>sau khi nghỉ việc</w:t>
      </w:r>
      <w:r w:rsidRPr="00CB2280">
        <w:rPr>
          <w:rFonts w:ascii="Times New Roman" w:hAnsi="Times New Roman" w:cs="Times New Roman"/>
          <w:color w:val="000000" w:themeColor="text1"/>
          <w:sz w:val="24"/>
          <w:szCs w:val="24"/>
        </w:rPr>
        <w:t xml:space="preserve"> của một đơn vị kinh tế không được gọi là các bộ phận hoạt động.</w:t>
      </w:r>
    </w:p>
    <w:p w:rsidR="00697C7A" w:rsidRPr="00CB2280" w:rsidRDefault="00EE758E" w:rsidP="00497676">
      <w:pPr>
        <w:pStyle w:val="ListParagraph"/>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Thuật ngữ “</w:t>
      </w:r>
      <w:r w:rsidR="00AB6053" w:rsidRPr="00CB2280">
        <w:rPr>
          <w:rFonts w:ascii="Times New Roman" w:hAnsi="Times New Roman" w:cs="Times New Roman"/>
          <w:color w:val="000000" w:themeColor="text1"/>
          <w:sz w:val="24"/>
          <w:szCs w:val="24"/>
        </w:rPr>
        <w:t>Người điều hành</w:t>
      </w:r>
      <w:r>
        <w:rPr>
          <w:rFonts w:ascii="Times New Roman" w:hAnsi="Times New Roman" w:cs="Times New Roman"/>
          <w:color w:val="000000" w:themeColor="text1"/>
          <w:sz w:val="24"/>
          <w:szCs w:val="24"/>
        </w:rPr>
        <w:t>” xác định</w:t>
      </w:r>
      <w:r w:rsidR="00D7705A" w:rsidRPr="00CB2280">
        <w:rPr>
          <w:rFonts w:ascii="Times New Roman" w:hAnsi="Times New Roman" w:cs="Times New Roman"/>
          <w:color w:val="000000" w:themeColor="text1"/>
          <w:sz w:val="24"/>
          <w:szCs w:val="24"/>
        </w:rPr>
        <w:t xml:space="preserve"> một chức năng, không nhất thiết là một người qu</w:t>
      </w:r>
      <w:r w:rsidR="00AB6053" w:rsidRPr="00CB2280">
        <w:rPr>
          <w:rFonts w:ascii="Times New Roman" w:hAnsi="Times New Roman" w:cs="Times New Roman"/>
          <w:color w:val="000000" w:themeColor="text1"/>
          <w:sz w:val="24"/>
          <w:szCs w:val="24"/>
        </w:rPr>
        <w:t>ả</w:t>
      </w:r>
      <w:r w:rsidR="00D7705A" w:rsidRPr="00CB2280">
        <w:rPr>
          <w:rFonts w:ascii="Times New Roman" w:hAnsi="Times New Roman" w:cs="Times New Roman"/>
          <w:color w:val="000000" w:themeColor="text1"/>
          <w:sz w:val="24"/>
          <w:szCs w:val="24"/>
        </w:rPr>
        <w:t>n lý với chức danh cụ thể. Chức năng đó</w:t>
      </w:r>
      <w:r w:rsidR="00697C7A" w:rsidRPr="00CB2280">
        <w:rPr>
          <w:rFonts w:ascii="Times New Roman" w:hAnsi="Times New Roman" w:cs="Times New Roman"/>
          <w:color w:val="000000" w:themeColor="text1"/>
          <w:sz w:val="24"/>
          <w:szCs w:val="24"/>
        </w:rPr>
        <w:t xml:space="preserve"> nhằm phân bổ các nguồn lực cho các bộ phận và đánh giá hiệu quả hoạt động của các bộ phận hoạt động của một đơn vị kinh tế. Thông thường </w:t>
      </w:r>
      <w:r w:rsidR="00AB6053" w:rsidRPr="00CB2280">
        <w:rPr>
          <w:rFonts w:ascii="Times New Roman" w:hAnsi="Times New Roman" w:cs="Times New Roman"/>
          <w:color w:val="000000" w:themeColor="text1"/>
          <w:sz w:val="24"/>
          <w:szCs w:val="24"/>
        </w:rPr>
        <w:t xml:space="preserve">Người điều hành </w:t>
      </w:r>
      <w:r w:rsidR="00697C7A" w:rsidRPr="00CB2280">
        <w:rPr>
          <w:rFonts w:ascii="Times New Roman" w:hAnsi="Times New Roman" w:cs="Times New Roman"/>
          <w:color w:val="000000" w:themeColor="text1"/>
          <w:sz w:val="24"/>
          <w:szCs w:val="24"/>
        </w:rPr>
        <w:t>của một đơn vị kinh tế là giám đốc điều hành hoặc giám đốc hoạt động, nhưng cũng có thể là ban giám đốc với nhiều thành viên.</w:t>
      </w:r>
    </w:p>
    <w:p w:rsidR="00853D57" w:rsidRPr="00CB2280" w:rsidRDefault="00853D57" w:rsidP="00497676">
      <w:pPr>
        <w:pStyle w:val="ListParagraph"/>
        <w:numPr>
          <w:ilvl w:val="0"/>
          <w:numId w:val="2"/>
        </w:numPr>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Đối với nhiều đơn vị, ba đặc điểm của các bộ phận hoạt động được mô tả trong đoạn 5 xác định rõ ràng các bộ phận hoạt động của đơn vị</w:t>
      </w:r>
      <w:r w:rsidR="00AB6053" w:rsidRPr="00CB2280">
        <w:rPr>
          <w:rFonts w:ascii="Times New Roman" w:hAnsi="Times New Roman" w:cs="Times New Roman"/>
          <w:color w:val="000000" w:themeColor="text1"/>
          <w:sz w:val="24"/>
          <w:szCs w:val="24"/>
        </w:rPr>
        <w:t xml:space="preserve"> đó</w:t>
      </w:r>
      <w:r w:rsidRPr="00CB2280">
        <w:rPr>
          <w:rFonts w:ascii="Times New Roman" w:hAnsi="Times New Roman" w:cs="Times New Roman"/>
          <w:color w:val="000000" w:themeColor="text1"/>
          <w:sz w:val="24"/>
          <w:szCs w:val="24"/>
        </w:rPr>
        <w:t xml:space="preserve">. Tuy nhiên, một đơn vị có thể lập các báo cáo </w:t>
      </w:r>
      <w:r w:rsidR="00AB6053" w:rsidRPr="00CB2280">
        <w:rPr>
          <w:rFonts w:ascii="Times New Roman" w:hAnsi="Times New Roman" w:cs="Times New Roman"/>
          <w:color w:val="000000" w:themeColor="text1"/>
          <w:sz w:val="24"/>
          <w:szCs w:val="24"/>
        </w:rPr>
        <w:t>theo</w:t>
      </w:r>
      <w:r w:rsidRPr="00CB2280">
        <w:rPr>
          <w:rFonts w:ascii="Times New Roman" w:hAnsi="Times New Roman" w:cs="Times New Roman"/>
          <w:color w:val="000000" w:themeColor="text1"/>
          <w:sz w:val="24"/>
          <w:szCs w:val="24"/>
        </w:rPr>
        <w:t xml:space="preserve"> đó các hoạt động kinh doanh được trình bày theo nhiều cách thức khác nhau. Nếu </w:t>
      </w:r>
      <w:r w:rsidR="00AB6053" w:rsidRPr="00CB2280">
        <w:rPr>
          <w:rFonts w:ascii="Times New Roman" w:hAnsi="Times New Roman" w:cs="Times New Roman"/>
          <w:color w:val="000000" w:themeColor="text1"/>
          <w:sz w:val="24"/>
          <w:szCs w:val="24"/>
        </w:rPr>
        <w:t>Người điều hành</w:t>
      </w:r>
      <w:r w:rsidRPr="00CB2280">
        <w:rPr>
          <w:rFonts w:ascii="Times New Roman" w:hAnsi="Times New Roman" w:cs="Times New Roman"/>
          <w:color w:val="000000" w:themeColor="text1"/>
          <w:sz w:val="24"/>
          <w:szCs w:val="24"/>
        </w:rPr>
        <w:t xml:space="preserve"> sử dụng nhiều tập hợp thông tin bộ phận, </w:t>
      </w:r>
      <w:r w:rsidR="00AB6053" w:rsidRPr="00CB2280">
        <w:rPr>
          <w:rFonts w:ascii="Times New Roman" w:hAnsi="Times New Roman" w:cs="Times New Roman"/>
          <w:color w:val="000000" w:themeColor="text1"/>
          <w:sz w:val="24"/>
          <w:szCs w:val="24"/>
        </w:rPr>
        <w:t xml:space="preserve">những </w:t>
      </w:r>
      <w:r w:rsidRPr="00CB2280">
        <w:rPr>
          <w:rFonts w:ascii="Times New Roman" w:hAnsi="Times New Roman" w:cs="Times New Roman"/>
          <w:color w:val="000000" w:themeColor="text1"/>
          <w:sz w:val="24"/>
          <w:szCs w:val="24"/>
        </w:rPr>
        <w:t xml:space="preserve">nhân tố </w:t>
      </w:r>
      <w:r w:rsidR="00AB6053" w:rsidRPr="00CB2280">
        <w:rPr>
          <w:rFonts w:ascii="Times New Roman" w:hAnsi="Times New Roman" w:cs="Times New Roman"/>
          <w:color w:val="000000" w:themeColor="text1"/>
          <w:sz w:val="24"/>
          <w:szCs w:val="24"/>
        </w:rPr>
        <w:t xml:space="preserve">xác định </w:t>
      </w:r>
      <w:r w:rsidRPr="00CB2280">
        <w:rPr>
          <w:rFonts w:ascii="Times New Roman" w:hAnsi="Times New Roman" w:cs="Times New Roman"/>
          <w:color w:val="000000" w:themeColor="text1"/>
          <w:sz w:val="24"/>
          <w:szCs w:val="24"/>
        </w:rPr>
        <w:t xml:space="preserve">có thể </w:t>
      </w:r>
      <w:r w:rsidR="00AB6053" w:rsidRPr="00CB2280">
        <w:rPr>
          <w:rFonts w:ascii="Times New Roman" w:hAnsi="Times New Roman" w:cs="Times New Roman"/>
          <w:color w:val="000000" w:themeColor="text1"/>
          <w:sz w:val="24"/>
          <w:szCs w:val="24"/>
        </w:rPr>
        <w:t>hợp thành</w:t>
      </w:r>
      <w:r w:rsidRPr="00CB2280">
        <w:rPr>
          <w:rFonts w:ascii="Times New Roman" w:hAnsi="Times New Roman" w:cs="Times New Roman"/>
          <w:color w:val="000000" w:themeColor="text1"/>
          <w:sz w:val="24"/>
          <w:szCs w:val="24"/>
        </w:rPr>
        <w:t xml:space="preserve"> </w:t>
      </w:r>
      <w:r w:rsidR="00B75375" w:rsidRPr="00CB2280">
        <w:rPr>
          <w:rFonts w:ascii="Times New Roman" w:hAnsi="Times New Roman" w:cs="Times New Roman"/>
          <w:color w:val="000000" w:themeColor="text1"/>
          <w:sz w:val="24"/>
          <w:szCs w:val="24"/>
        </w:rPr>
        <w:t xml:space="preserve">một tập hợp các </w:t>
      </w:r>
      <w:r w:rsidR="00246685">
        <w:rPr>
          <w:rFonts w:ascii="Times New Roman" w:hAnsi="Times New Roman" w:cs="Times New Roman"/>
          <w:color w:val="000000" w:themeColor="text1"/>
          <w:sz w:val="24"/>
          <w:szCs w:val="24"/>
        </w:rPr>
        <w:t>thông tin</w:t>
      </w:r>
      <w:r w:rsidR="00B75375" w:rsidRPr="00CB2280">
        <w:rPr>
          <w:rFonts w:ascii="Times New Roman" w:hAnsi="Times New Roman" w:cs="Times New Roman"/>
          <w:color w:val="000000" w:themeColor="text1"/>
          <w:sz w:val="24"/>
          <w:szCs w:val="24"/>
        </w:rPr>
        <w:t xml:space="preserve"> </w:t>
      </w:r>
      <w:r w:rsidR="00172820" w:rsidRPr="00CB2280">
        <w:rPr>
          <w:rFonts w:ascii="Times New Roman" w:hAnsi="Times New Roman" w:cs="Times New Roman"/>
          <w:color w:val="000000" w:themeColor="text1"/>
          <w:sz w:val="24"/>
          <w:szCs w:val="24"/>
        </w:rPr>
        <w:t>của</w:t>
      </w:r>
      <w:r w:rsidR="00B75375" w:rsidRPr="00CB2280">
        <w:rPr>
          <w:rFonts w:ascii="Times New Roman" w:hAnsi="Times New Roman" w:cs="Times New Roman"/>
          <w:color w:val="000000" w:themeColor="text1"/>
          <w:sz w:val="24"/>
          <w:szCs w:val="24"/>
        </w:rPr>
        <w:t xml:space="preserve"> một bộ phận hoạt động của đơn vị, bao gồm bản chất của các hoạt động kinh doanh, người quản lý chịu trách nhiệm cho các hoạt đ</w:t>
      </w:r>
      <w:r w:rsidR="00172820" w:rsidRPr="00CB2280">
        <w:rPr>
          <w:rFonts w:ascii="Times New Roman" w:hAnsi="Times New Roman" w:cs="Times New Roman"/>
          <w:color w:val="000000" w:themeColor="text1"/>
          <w:sz w:val="24"/>
          <w:szCs w:val="24"/>
        </w:rPr>
        <w:t>ộ</w:t>
      </w:r>
      <w:r w:rsidR="00B75375" w:rsidRPr="00CB2280">
        <w:rPr>
          <w:rFonts w:ascii="Times New Roman" w:hAnsi="Times New Roman" w:cs="Times New Roman"/>
          <w:color w:val="000000" w:themeColor="text1"/>
          <w:sz w:val="24"/>
          <w:szCs w:val="24"/>
        </w:rPr>
        <w:t xml:space="preserve">ng đó, và thông tin trình bày phục vụ cho </w:t>
      </w:r>
      <w:r w:rsidR="00AB6053" w:rsidRPr="00CB2280">
        <w:rPr>
          <w:rFonts w:ascii="Times New Roman" w:hAnsi="Times New Roman" w:cs="Times New Roman"/>
          <w:color w:val="000000" w:themeColor="text1"/>
          <w:sz w:val="24"/>
          <w:szCs w:val="24"/>
        </w:rPr>
        <w:t>Người điều hành</w:t>
      </w:r>
      <w:r w:rsidR="00B75375" w:rsidRPr="00CB2280">
        <w:rPr>
          <w:rFonts w:ascii="Times New Roman" w:hAnsi="Times New Roman" w:cs="Times New Roman"/>
          <w:color w:val="000000" w:themeColor="text1"/>
          <w:sz w:val="24"/>
          <w:szCs w:val="24"/>
        </w:rPr>
        <w:t>.</w:t>
      </w:r>
    </w:p>
    <w:p w:rsidR="00853D57" w:rsidRPr="00CB2280" w:rsidRDefault="00B75375" w:rsidP="00497676">
      <w:pPr>
        <w:pStyle w:val="HTMLPreformatted"/>
        <w:numPr>
          <w:ilvl w:val="0"/>
          <w:numId w:val="2"/>
        </w:numPr>
        <w:shd w:val="clear" w:color="auto" w:fill="F8F9FA"/>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lastRenderedPageBreak/>
        <w:t xml:space="preserve">Nói chung, một bộ phận hoạt động có một người quản lý </w:t>
      </w:r>
      <w:r w:rsidR="00C7372C" w:rsidRPr="00CB2280">
        <w:rPr>
          <w:rFonts w:ascii="Times New Roman" w:hAnsi="Times New Roman" w:cs="Times New Roman"/>
          <w:color w:val="000000" w:themeColor="text1"/>
          <w:sz w:val="24"/>
          <w:szCs w:val="24"/>
        </w:rPr>
        <w:t>chịu</w:t>
      </w:r>
      <w:r w:rsidRPr="00CB2280">
        <w:rPr>
          <w:rFonts w:ascii="Times New Roman" w:hAnsi="Times New Roman" w:cs="Times New Roman"/>
          <w:color w:val="000000" w:themeColor="text1"/>
          <w:sz w:val="24"/>
          <w:szCs w:val="24"/>
        </w:rPr>
        <w:t xml:space="preserve"> trách nhiệm t</w:t>
      </w:r>
      <w:r w:rsidR="00C7372C" w:rsidRPr="00CB2280">
        <w:rPr>
          <w:rFonts w:ascii="Times New Roman" w:hAnsi="Times New Roman" w:cs="Times New Roman"/>
          <w:color w:val="000000" w:themeColor="text1"/>
          <w:sz w:val="24"/>
          <w:szCs w:val="24"/>
        </w:rPr>
        <w:t>rự</w:t>
      </w:r>
      <w:r w:rsidRPr="00CB2280">
        <w:rPr>
          <w:rFonts w:ascii="Times New Roman" w:hAnsi="Times New Roman" w:cs="Times New Roman"/>
          <w:color w:val="000000" w:themeColor="text1"/>
          <w:sz w:val="24"/>
          <w:szCs w:val="24"/>
        </w:rPr>
        <w:t xml:space="preserve">c tiếp và duy trì liên hệ thường xuyên với </w:t>
      </w:r>
      <w:r w:rsidR="00172820" w:rsidRPr="00CB2280">
        <w:rPr>
          <w:rFonts w:ascii="Times New Roman" w:hAnsi="Times New Roman" w:cs="Times New Roman"/>
          <w:color w:val="000000" w:themeColor="text1"/>
          <w:sz w:val="24"/>
          <w:szCs w:val="24"/>
        </w:rPr>
        <w:t>Người điều hành</w:t>
      </w:r>
      <w:r w:rsidRPr="00CB2280">
        <w:rPr>
          <w:rFonts w:ascii="Times New Roman" w:hAnsi="Times New Roman" w:cs="Times New Roman"/>
          <w:color w:val="000000" w:themeColor="text1"/>
          <w:sz w:val="24"/>
          <w:szCs w:val="24"/>
        </w:rPr>
        <w:t xml:space="preserve"> để thảo luận về các hoạt động, các kết quả tài chính, các dự báo, hoặc các kế hoạch tương lai</w:t>
      </w:r>
      <w:r w:rsidR="00172820" w:rsidRPr="00CB2280">
        <w:rPr>
          <w:rFonts w:ascii="Times New Roman" w:hAnsi="Times New Roman" w:cs="Times New Roman"/>
          <w:color w:val="000000" w:themeColor="text1"/>
          <w:sz w:val="24"/>
          <w:szCs w:val="24"/>
        </w:rPr>
        <w:t xml:space="preserve"> </w:t>
      </w:r>
      <w:r w:rsidRPr="00CB2280">
        <w:rPr>
          <w:rFonts w:ascii="Times New Roman" w:hAnsi="Times New Roman" w:cs="Times New Roman"/>
          <w:color w:val="000000" w:themeColor="text1"/>
          <w:sz w:val="24"/>
          <w:szCs w:val="24"/>
        </w:rPr>
        <w:t xml:space="preserve">cho từng bộ phận. Thật ngữ </w:t>
      </w:r>
      <w:r w:rsidR="00172820" w:rsidRPr="00CB2280">
        <w:rPr>
          <w:rFonts w:ascii="Times New Roman" w:hAnsi="Times New Roman" w:cs="Times New Roman"/>
          <w:color w:val="000000" w:themeColor="text1"/>
          <w:sz w:val="24"/>
          <w:szCs w:val="24"/>
        </w:rPr>
        <w:t>Q</w:t>
      </w:r>
      <w:r w:rsidRPr="00CB2280">
        <w:rPr>
          <w:rFonts w:ascii="Times New Roman" w:hAnsi="Times New Roman" w:cs="Times New Roman"/>
          <w:color w:val="000000" w:themeColor="text1"/>
          <w:sz w:val="24"/>
          <w:szCs w:val="24"/>
        </w:rPr>
        <w:t>uản lý bộ phận xác định một chức năng</w:t>
      </w:r>
      <w:r w:rsidR="00C7372C" w:rsidRPr="00CB2280">
        <w:rPr>
          <w:rFonts w:ascii="Times New Roman" w:hAnsi="Times New Roman" w:cs="Times New Roman"/>
          <w:color w:val="000000" w:themeColor="text1"/>
          <w:sz w:val="24"/>
          <w:szCs w:val="24"/>
        </w:rPr>
        <w:t xml:space="preserve"> và</w:t>
      </w:r>
      <w:r w:rsidRPr="00CB2280">
        <w:rPr>
          <w:rFonts w:ascii="Times New Roman" w:hAnsi="Times New Roman" w:cs="Times New Roman"/>
          <w:color w:val="000000" w:themeColor="text1"/>
          <w:sz w:val="24"/>
          <w:szCs w:val="24"/>
        </w:rPr>
        <w:t xml:space="preserve"> không nhất thiết </w:t>
      </w:r>
      <w:r w:rsidR="00C7372C" w:rsidRPr="00CB2280">
        <w:rPr>
          <w:rFonts w:ascii="Times New Roman" w:hAnsi="Times New Roman" w:cs="Times New Roman"/>
          <w:color w:val="000000" w:themeColor="text1"/>
          <w:sz w:val="24"/>
          <w:szCs w:val="24"/>
        </w:rPr>
        <w:t xml:space="preserve">là </w:t>
      </w:r>
      <w:r w:rsidRPr="00CB2280">
        <w:rPr>
          <w:rFonts w:ascii="Times New Roman" w:hAnsi="Times New Roman" w:cs="Times New Roman"/>
          <w:color w:val="000000" w:themeColor="text1"/>
          <w:sz w:val="24"/>
          <w:szCs w:val="24"/>
        </w:rPr>
        <w:t xml:space="preserve">một người quản lý với một chức danh cụ thể. </w:t>
      </w:r>
      <w:r w:rsidR="00172820" w:rsidRPr="00CB2280">
        <w:rPr>
          <w:rFonts w:ascii="Times New Roman" w:hAnsi="Times New Roman" w:cs="Times New Roman"/>
          <w:color w:val="000000" w:themeColor="text1"/>
          <w:sz w:val="24"/>
          <w:szCs w:val="24"/>
        </w:rPr>
        <w:t xml:space="preserve">Người điều hành </w:t>
      </w:r>
      <w:r w:rsidRPr="00CB2280">
        <w:rPr>
          <w:rFonts w:ascii="Times New Roman" w:hAnsi="Times New Roman" w:cs="Times New Roman"/>
          <w:color w:val="000000" w:themeColor="text1"/>
          <w:sz w:val="24"/>
          <w:szCs w:val="24"/>
        </w:rPr>
        <w:t xml:space="preserve">có thể là người quản lý cho một </w:t>
      </w:r>
      <w:r w:rsidR="00172820" w:rsidRPr="00CB2280">
        <w:rPr>
          <w:rFonts w:ascii="Times New Roman" w:hAnsi="Times New Roman" w:cs="Times New Roman"/>
          <w:color w:val="000000" w:themeColor="text1"/>
          <w:sz w:val="24"/>
          <w:szCs w:val="24"/>
        </w:rPr>
        <w:t xml:space="preserve">hoặc một </w:t>
      </w:r>
      <w:r w:rsidRPr="00CB2280">
        <w:rPr>
          <w:rFonts w:ascii="Times New Roman" w:hAnsi="Times New Roman" w:cs="Times New Roman"/>
          <w:color w:val="000000" w:themeColor="text1"/>
          <w:sz w:val="24"/>
          <w:szCs w:val="24"/>
        </w:rPr>
        <w:t>số bộ phận hoạt động. Một người quản lý có thể là quản lý bộ phận cho nhiều hơn một bộ phận hoạt động. Nếu các đặc điểm đã mô tả ở đoạn 5 áp dụng cho nhiều hơn một tập hợp các thành phần của một tổ chức</w:t>
      </w:r>
      <w:r w:rsidR="00C7372C" w:rsidRPr="00CB2280">
        <w:rPr>
          <w:rFonts w:ascii="Times New Roman" w:hAnsi="Times New Roman" w:cs="Times New Roman"/>
          <w:color w:val="000000" w:themeColor="text1"/>
          <w:sz w:val="24"/>
          <w:szCs w:val="24"/>
        </w:rPr>
        <w:t xml:space="preserve"> nhưng chỉ có một tập hợp mà tại đó các </w:t>
      </w:r>
      <w:r w:rsidR="00172820" w:rsidRPr="00CB2280">
        <w:rPr>
          <w:rFonts w:ascii="Times New Roman" w:hAnsi="Times New Roman" w:cs="Times New Roman"/>
          <w:color w:val="000000" w:themeColor="text1"/>
          <w:sz w:val="24"/>
          <w:szCs w:val="24"/>
        </w:rPr>
        <w:t>Q</w:t>
      </w:r>
      <w:r w:rsidR="00C7372C" w:rsidRPr="00CB2280">
        <w:rPr>
          <w:rFonts w:ascii="Times New Roman" w:hAnsi="Times New Roman" w:cs="Times New Roman"/>
          <w:color w:val="000000" w:themeColor="text1"/>
          <w:sz w:val="24"/>
          <w:szCs w:val="24"/>
        </w:rPr>
        <w:t xml:space="preserve">uản lý bộ phận giữ trách nhiệm, thì tập hợp các thành phần đó thiết lập </w:t>
      </w:r>
      <w:r w:rsidR="00172820" w:rsidRPr="00CB2280">
        <w:rPr>
          <w:rFonts w:ascii="Times New Roman" w:hAnsi="Times New Roman" w:cs="Times New Roman"/>
          <w:color w:val="000000" w:themeColor="text1"/>
          <w:sz w:val="24"/>
          <w:szCs w:val="24"/>
        </w:rPr>
        <w:t xml:space="preserve">nên </w:t>
      </w:r>
      <w:r w:rsidR="00C7372C" w:rsidRPr="00CB2280">
        <w:rPr>
          <w:rFonts w:ascii="Times New Roman" w:hAnsi="Times New Roman" w:cs="Times New Roman"/>
          <w:color w:val="000000" w:themeColor="text1"/>
          <w:sz w:val="24"/>
          <w:szCs w:val="24"/>
        </w:rPr>
        <w:t>các bộ phận hoạt động.</w:t>
      </w:r>
    </w:p>
    <w:p w:rsidR="00C7372C" w:rsidRPr="00CB2280" w:rsidRDefault="00C7372C" w:rsidP="00497676">
      <w:pPr>
        <w:pStyle w:val="ListParagraph"/>
        <w:numPr>
          <w:ilvl w:val="0"/>
          <w:numId w:val="2"/>
        </w:numPr>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Các đặc điểm giới thiệu trong đoạn 5 có thể áp dụng cho hai hoặc nhiều hơn các tập hợp với sự giao thoa về thành phần mà tại đó người quản lý chịu trách nhiệm. Cấu trúc đó đôi lúc được coi như là hình thức ma trận của tổ chức. Ví dụ, trong một số đơn vị, một số nhà quản lý chịu trách nhiệm cho các dây chuyền sản phẩm và dịch vụ toàn cầu, trong khi đó một số nhà quản lý khác chịu trách nhiệm về một khu vực địa lý nhất định. </w:t>
      </w:r>
      <w:r w:rsidR="00172820" w:rsidRPr="00CB2280">
        <w:rPr>
          <w:rFonts w:ascii="Times New Roman" w:hAnsi="Times New Roman" w:cs="Times New Roman"/>
          <w:color w:val="000000" w:themeColor="text1"/>
          <w:sz w:val="24"/>
          <w:szCs w:val="24"/>
        </w:rPr>
        <w:t>Người điều hành</w:t>
      </w:r>
      <w:r w:rsidRPr="00CB2280">
        <w:rPr>
          <w:rFonts w:ascii="Times New Roman" w:hAnsi="Times New Roman" w:cs="Times New Roman"/>
          <w:color w:val="000000" w:themeColor="text1"/>
          <w:sz w:val="24"/>
          <w:szCs w:val="24"/>
        </w:rPr>
        <w:t xml:space="preserve"> thực hiện đánh giá định kỳ về kết quả hoạt động của hai tập hợp thành phần, và thông tin tài chính có sẵn cho cả hai. Trong trường hợp đó, đơn vị sẽ </w:t>
      </w:r>
      <w:r w:rsidR="00172820" w:rsidRPr="00CB2280">
        <w:rPr>
          <w:rFonts w:ascii="Times New Roman" w:hAnsi="Times New Roman" w:cs="Times New Roman"/>
          <w:color w:val="000000" w:themeColor="text1"/>
          <w:sz w:val="24"/>
          <w:szCs w:val="24"/>
        </w:rPr>
        <w:t xml:space="preserve">xác định </w:t>
      </w:r>
      <w:r w:rsidRPr="00CB2280">
        <w:rPr>
          <w:rFonts w:ascii="Times New Roman" w:hAnsi="Times New Roman" w:cs="Times New Roman"/>
          <w:color w:val="000000" w:themeColor="text1"/>
          <w:sz w:val="24"/>
          <w:szCs w:val="24"/>
        </w:rPr>
        <w:t>tập hợp thành phần nào thiết lập nên bộ phận hoạt động bằng cách đối chiếu với các nguyên tắc căn bản.</w:t>
      </w:r>
    </w:p>
    <w:p w:rsidR="00C84BA3" w:rsidRPr="00CB2280" w:rsidRDefault="007914E8" w:rsidP="00497676">
      <w:p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rPr>
        <w:pict>
          <v:line id="Straight Connector 8" o:spid="_x0000_s1034" style="position:absolute;left:0;text-align:left;z-index:251668480;visibility:visible" from="10.5pt,20.35pt" to="477.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" strokecolor="black [3200]" strokeweight=".5pt">
            <v:stroke joinstyle="miter"/>
          </v:line>
        </w:pict>
      </w:r>
      <w:r w:rsidR="00C84BA3" w:rsidRPr="00CB2280">
        <w:rPr>
          <w:rFonts w:ascii="Times New Roman" w:hAnsi="Times New Roman" w:cs="Times New Roman"/>
          <w:b/>
          <w:bCs/>
          <w:color w:val="000000" w:themeColor="text1"/>
          <w:sz w:val="28"/>
          <w:szCs w:val="28"/>
        </w:rPr>
        <w:t>Các bộ ph</w:t>
      </w:r>
      <w:r w:rsidR="00E2126D" w:rsidRPr="00CB2280">
        <w:rPr>
          <w:rFonts w:ascii="Times New Roman" w:hAnsi="Times New Roman" w:cs="Times New Roman"/>
          <w:b/>
          <w:bCs/>
          <w:color w:val="000000" w:themeColor="text1"/>
          <w:sz w:val="28"/>
          <w:szCs w:val="28"/>
        </w:rPr>
        <w:t>ậ</w:t>
      </w:r>
      <w:r w:rsidR="00C84BA3" w:rsidRPr="00CB2280">
        <w:rPr>
          <w:rFonts w:ascii="Times New Roman" w:hAnsi="Times New Roman" w:cs="Times New Roman"/>
          <w:b/>
          <w:bCs/>
          <w:color w:val="000000" w:themeColor="text1"/>
          <w:sz w:val="28"/>
          <w:szCs w:val="28"/>
        </w:rPr>
        <w:t>n phải báo cáo</w:t>
      </w:r>
    </w:p>
    <w:p w:rsidR="00D7705A" w:rsidRPr="00CB2280" w:rsidRDefault="00C84BA3" w:rsidP="00497676">
      <w:pPr>
        <w:pStyle w:val="ListParagraph"/>
        <w:numPr>
          <w:ilvl w:val="0"/>
          <w:numId w:val="2"/>
        </w:numPr>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Một đơn vị sẽ báo cáo </w:t>
      </w:r>
      <w:r w:rsidR="006A38EB">
        <w:rPr>
          <w:rFonts w:ascii="Times New Roman" w:hAnsi="Times New Roman" w:cs="Times New Roman"/>
          <w:color w:val="000000" w:themeColor="text1"/>
          <w:sz w:val="24"/>
          <w:szCs w:val="24"/>
        </w:rPr>
        <w:t>riêng</w:t>
      </w:r>
      <w:r w:rsidRPr="00CB2280">
        <w:rPr>
          <w:rFonts w:ascii="Times New Roman" w:hAnsi="Times New Roman" w:cs="Times New Roman"/>
          <w:color w:val="000000" w:themeColor="text1"/>
          <w:sz w:val="24"/>
          <w:szCs w:val="24"/>
        </w:rPr>
        <w:t xml:space="preserve"> thông tin về từng bộ phận hoạt động mà:</w:t>
      </w:r>
    </w:p>
    <w:p w:rsidR="00C84BA3" w:rsidRPr="00CB2280" w:rsidRDefault="00C84BA3" w:rsidP="00497676">
      <w:pPr>
        <w:pStyle w:val="ListParagraph"/>
        <w:numPr>
          <w:ilvl w:val="0"/>
          <w:numId w:val="5"/>
        </w:numPr>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Đã </w:t>
      </w:r>
      <w:r w:rsidR="00172820" w:rsidRPr="00CB2280">
        <w:rPr>
          <w:rFonts w:ascii="Times New Roman" w:hAnsi="Times New Roman" w:cs="Times New Roman"/>
          <w:color w:val="000000" w:themeColor="text1"/>
          <w:sz w:val="24"/>
          <w:szCs w:val="24"/>
        </w:rPr>
        <w:t>xác định</w:t>
      </w:r>
      <w:r w:rsidRPr="00CB2280">
        <w:rPr>
          <w:rFonts w:ascii="Times New Roman" w:hAnsi="Times New Roman" w:cs="Times New Roman"/>
          <w:color w:val="000000" w:themeColor="text1"/>
          <w:sz w:val="24"/>
          <w:szCs w:val="24"/>
        </w:rPr>
        <w:t xml:space="preserve"> tuân theo đoạn 5-10 hoặc kết quả từ việc </w:t>
      </w:r>
      <w:r w:rsidR="00172820" w:rsidRPr="00CB2280">
        <w:rPr>
          <w:rFonts w:ascii="Times New Roman" w:hAnsi="Times New Roman" w:cs="Times New Roman"/>
          <w:color w:val="000000" w:themeColor="text1"/>
          <w:sz w:val="24"/>
          <w:szCs w:val="24"/>
        </w:rPr>
        <w:t>tổng</w:t>
      </w:r>
      <w:r w:rsidRPr="00CB2280">
        <w:rPr>
          <w:rFonts w:ascii="Times New Roman" w:hAnsi="Times New Roman" w:cs="Times New Roman"/>
          <w:color w:val="000000" w:themeColor="text1"/>
          <w:sz w:val="24"/>
          <w:szCs w:val="24"/>
        </w:rPr>
        <w:t xml:space="preserve"> hợp hai hoặc nhiều hơn các bộ phận phù hợp với đoạn 12, và</w:t>
      </w:r>
    </w:p>
    <w:p w:rsidR="00C84BA3" w:rsidRPr="00CB2280" w:rsidRDefault="00C84BA3" w:rsidP="00497676">
      <w:pPr>
        <w:pStyle w:val="ListParagraph"/>
        <w:numPr>
          <w:ilvl w:val="0"/>
          <w:numId w:val="5"/>
        </w:numPr>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Vượt ngưỡng định lượng đề cập trong đoạn 13 dưới đây</w:t>
      </w:r>
    </w:p>
    <w:p w:rsidR="00C84BA3" w:rsidRPr="00CB2280" w:rsidRDefault="00C84BA3" w:rsidP="00497676">
      <w:pPr>
        <w:spacing w:line="360" w:lineRule="auto"/>
        <w:ind w:left="630"/>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Đoạn 14-19 cụ thể hóa các tình huống khác mà tại đó các thông tin của bộ phận hoạt động sẽ được báo cáo.</w:t>
      </w:r>
    </w:p>
    <w:p w:rsidR="00C84BA3" w:rsidRPr="00CB2280" w:rsidRDefault="00C84BA3" w:rsidP="006A38EB">
      <w:pPr>
        <w:spacing w:line="360" w:lineRule="auto"/>
        <w:ind w:firstLine="630"/>
        <w:jc w:val="both"/>
        <w:rPr>
          <w:rFonts w:ascii="Times New Roman" w:hAnsi="Times New Roman" w:cs="Times New Roman"/>
          <w:b/>
          <w:bCs/>
          <w:color w:val="000000" w:themeColor="text1"/>
          <w:sz w:val="28"/>
          <w:szCs w:val="28"/>
        </w:rPr>
      </w:pPr>
      <w:r w:rsidRPr="00CB2280">
        <w:rPr>
          <w:rFonts w:ascii="Times New Roman" w:hAnsi="Times New Roman" w:cs="Times New Roman"/>
          <w:b/>
          <w:bCs/>
          <w:color w:val="000000" w:themeColor="text1"/>
          <w:sz w:val="28"/>
          <w:szCs w:val="28"/>
        </w:rPr>
        <w:t>Các tiêu chuẩn tổng hợp</w:t>
      </w:r>
    </w:p>
    <w:p w:rsidR="00C84BA3" w:rsidRPr="00CB2280" w:rsidRDefault="00B851ED" w:rsidP="00497676">
      <w:pPr>
        <w:pStyle w:val="ListParagraph"/>
        <w:numPr>
          <w:ilvl w:val="0"/>
          <w:numId w:val="2"/>
        </w:numPr>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Các bộ phận hoạt động thường công khai kết quả tài chính dài hạn nếu </w:t>
      </w:r>
      <w:r w:rsidR="008C3FDB" w:rsidRPr="00CB2280">
        <w:rPr>
          <w:rFonts w:ascii="Times New Roman" w:hAnsi="Times New Roman" w:cs="Times New Roman"/>
          <w:color w:val="000000" w:themeColor="text1"/>
          <w:sz w:val="24"/>
          <w:szCs w:val="24"/>
        </w:rPr>
        <w:t>chúng</w:t>
      </w:r>
      <w:r w:rsidRPr="00CB2280">
        <w:rPr>
          <w:rFonts w:ascii="Times New Roman" w:hAnsi="Times New Roman" w:cs="Times New Roman"/>
          <w:color w:val="000000" w:themeColor="text1"/>
          <w:sz w:val="24"/>
          <w:szCs w:val="24"/>
        </w:rPr>
        <w:t xml:space="preserve"> có các đặc tính kinh tế tương tự</w:t>
      </w:r>
      <w:r w:rsidR="008C3FDB" w:rsidRPr="00CB2280">
        <w:rPr>
          <w:rFonts w:ascii="Times New Roman" w:hAnsi="Times New Roman" w:cs="Times New Roman"/>
          <w:color w:val="000000" w:themeColor="text1"/>
          <w:sz w:val="24"/>
          <w:szCs w:val="24"/>
        </w:rPr>
        <w:t xml:space="preserve"> nhau</w:t>
      </w:r>
      <w:r w:rsidRPr="00CB2280">
        <w:rPr>
          <w:rFonts w:ascii="Times New Roman" w:hAnsi="Times New Roman" w:cs="Times New Roman"/>
          <w:color w:val="000000" w:themeColor="text1"/>
          <w:sz w:val="24"/>
          <w:szCs w:val="24"/>
        </w:rPr>
        <w:t xml:space="preserve">. Ví dụ, </w:t>
      </w:r>
      <w:r w:rsidR="008C3FDB" w:rsidRPr="00CB2280">
        <w:rPr>
          <w:rFonts w:ascii="Times New Roman" w:hAnsi="Times New Roman" w:cs="Times New Roman"/>
          <w:color w:val="000000" w:themeColor="text1"/>
          <w:sz w:val="24"/>
          <w:szCs w:val="24"/>
        </w:rPr>
        <w:t xml:space="preserve">hai bộ phận hoạt động có các đặc tính kinh tế tương đồng nhau được kỳ vọng sẽ công khai chỉ tiêu </w:t>
      </w:r>
      <w:r w:rsidRPr="00CB2280">
        <w:rPr>
          <w:rFonts w:ascii="Times New Roman" w:hAnsi="Times New Roman" w:cs="Times New Roman"/>
          <w:color w:val="000000" w:themeColor="text1"/>
          <w:sz w:val="24"/>
          <w:szCs w:val="24"/>
        </w:rPr>
        <w:t xml:space="preserve">lợi nhuận gộp bình quân dài hạn. Hai hoặc </w:t>
      </w:r>
      <w:r w:rsidRPr="00CB2280">
        <w:rPr>
          <w:rFonts w:ascii="Times New Roman" w:hAnsi="Times New Roman" w:cs="Times New Roman"/>
          <w:color w:val="000000" w:themeColor="text1"/>
          <w:sz w:val="24"/>
          <w:szCs w:val="24"/>
        </w:rPr>
        <w:lastRenderedPageBreak/>
        <w:t>nhiều hơn hai bộ phận hoạt động có thể được tổng hợp vào một bộ phận hoạt động đơn lẻ nếu việc tổng hợp nhất quán với các nguyên tắc cốt lõi của chuẩn mực kế toán này. Các bộ phận có đặc điểm kinh tế tương đồng, và các bộ phận hoạt động tương đồng trong các mặt sau:</w:t>
      </w:r>
    </w:p>
    <w:p w:rsidR="00B851ED" w:rsidRPr="00CB2280" w:rsidRDefault="00700E7F" w:rsidP="00497676">
      <w:pPr>
        <w:pStyle w:val="ListParagraph"/>
        <w:numPr>
          <w:ilvl w:val="0"/>
          <w:numId w:val="6"/>
        </w:numPr>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Bản chất của sản phẩm và dịch vụ</w:t>
      </w:r>
    </w:p>
    <w:p w:rsidR="00700E7F" w:rsidRPr="00CB2280" w:rsidRDefault="00700E7F" w:rsidP="00497676">
      <w:pPr>
        <w:pStyle w:val="ListParagraph"/>
        <w:numPr>
          <w:ilvl w:val="0"/>
          <w:numId w:val="6"/>
        </w:numPr>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Bản chất của các quá trình sản xuất</w:t>
      </w:r>
    </w:p>
    <w:p w:rsidR="00700E7F" w:rsidRPr="00CB2280" w:rsidRDefault="00700E7F" w:rsidP="00497676">
      <w:pPr>
        <w:pStyle w:val="ListParagraph"/>
        <w:numPr>
          <w:ilvl w:val="0"/>
          <w:numId w:val="6"/>
        </w:numPr>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Loại hoặc nh</w:t>
      </w:r>
      <w:r w:rsidR="00E654B9" w:rsidRPr="00CB2280">
        <w:rPr>
          <w:rFonts w:ascii="Times New Roman" w:hAnsi="Times New Roman" w:cs="Times New Roman"/>
          <w:color w:val="000000" w:themeColor="text1"/>
          <w:sz w:val="24"/>
          <w:szCs w:val="24"/>
        </w:rPr>
        <w:t>ó</w:t>
      </w:r>
      <w:r w:rsidRPr="00CB2280">
        <w:rPr>
          <w:rFonts w:ascii="Times New Roman" w:hAnsi="Times New Roman" w:cs="Times New Roman"/>
          <w:color w:val="000000" w:themeColor="text1"/>
          <w:sz w:val="24"/>
          <w:szCs w:val="24"/>
        </w:rPr>
        <w:t>m khách hàng về sản phẩm và dịch vụ</w:t>
      </w:r>
      <w:r w:rsidR="00E654B9" w:rsidRPr="00CB2280">
        <w:rPr>
          <w:rFonts w:ascii="Times New Roman" w:hAnsi="Times New Roman" w:cs="Times New Roman"/>
          <w:color w:val="000000" w:themeColor="text1"/>
          <w:sz w:val="24"/>
          <w:szCs w:val="24"/>
        </w:rPr>
        <w:t xml:space="preserve"> của đơn vị</w:t>
      </w:r>
    </w:p>
    <w:p w:rsidR="00700E7F" w:rsidRPr="00CB2280" w:rsidRDefault="00700E7F" w:rsidP="00497676">
      <w:pPr>
        <w:pStyle w:val="ListParagraph"/>
        <w:numPr>
          <w:ilvl w:val="0"/>
          <w:numId w:val="6"/>
        </w:numPr>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Phương pháp được sử dụng để phân </w:t>
      </w:r>
      <w:r w:rsidR="00E654B9" w:rsidRPr="00CB2280">
        <w:rPr>
          <w:rFonts w:ascii="Times New Roman" w:hAnsi="Times New Roman" w:cs="Times New Roman"/>
          <w:color w:val="000000" w:themeColor="text1"/>
          <w:sz w:val="24"/>
          <w:szCs w:val="24"/>
        </w:rPr>
        <w:t xml:space="preserve">phối </w:t>
      </w:r>
      <w:r w:rsidRPr="00CB2280">
        <w:rPr>
          <w:rFonts w:ascii="Times New Roman" w:hAnsi="Times New Roman" w:cs="Times New Roman"/>
          <w:color w:val="000000" w:themeColor="text1"/>
          <w:sz w:val="24"/>
          <w:szCs w:val="24"/>
        </w:rPr>
        <w:t>sản phẩm hoặc cung cấp dịch vụ, và</w:t>
      </w:r>
    </w:p>
    <w:p w:rsidR="00700E7F" w:rsidRPr="00CB2280" w:rsidRDefault="00720F59" w:rsidP="00497676">
      <w:pPr>
        <w:pStyle w:val="ListParagraph"/>
        <w:numPr>
          <w:ilvl w:val="0"/>
          <w:numId w:val="6"/>
        </w:numPr>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Trường điều kiện cho phép</w:t>
      </w:r>
      <w:r w:rsidR="00700E7F" w:rsidRPr="00CB2280">
        <w:rPr>
          <w:rFonts w:ascii="Times New Roman" w:hAnsi="Times New Roman" w:cs="Times New Roman"/>
          <w:color w:val="000000" w:themeColor="text1"/>
          <w:sz w:val="24"/>
          <w:szCs w:val="24"/>
        </w:rPr>
        <w:t>, bản chất của môi trường pháp lý, ví dụ ngân hàng, bảo hiểm, hoặc các dịch vụ công.</w:t>
      </w:r>
    </w:p>
    <w:p w:rsidR="00B851ED" w:rsidRPr="00CB2280" w:rsidRDefault="00700E7F" w:rsidP="006A38EB">
      <w:pPr>
        <w:spacing w:line="360" w:lineRule="auto"/>
        <w:ind w:firstLine="630"/>
        <w:jc w:val="both"/>
        <w:rPr>
          <w:rFonts w:ascii="Times New Roman" w:hAnsi="Times New Roman" w:cs="Times New Roman"/>
          <w:b/>
          <w:bCs/>
          <w:color w:val="000000" w:themeColor="text1"/>
          <w:sz w:val="28"/>
          <w:szCs w:val="28"/>
        </w:rPr>
      </w:pPr>
      <w:r w:rsidRPr="00CB2280">
        <w:rPr>
          <w:rFonts w:ascii="Times New Roman" w:hAnsi="Times New Roman" w:cs="Times New Roman"/>
          <w:b/>
          <w:bCs/>
          <w:color w:val="000000" w:themeColor="text1"/>
          <w:sz w:val="28"/>
          <w:szCs w:val="28"/>
        </w:rPr>
        <w:t>Các ngưỡng định lượng</w:t>
      </w:r>
    </w:p>
    <w:p w:rsidR="00B851ED" w:rsidRPr="00CB2280" w:rsidRDefault="00700E7F" w:rsidP="00497676">
      <w:pPr>
        <w:pStyle w:val="ListParagraph"/>
        <w:numPr>
          <w:ilvl w:val="0"/>
          <w:numId w:val="2"/>
        </w:numPr>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M</w:t>
      </w:r>
      <w:r w:rsidR="00720F59" w:rsidRPr="00CB2280">
        <w:rPr>
          <w:rFonts w:ascii="Times New Roman" w:hAnsi="Times New Roman" w:cs="Times New Roman"/>
          <w:color w:val="000000" w:themeColor="text1"/>
          <w:sz w:val="24"/>
          <w:szCs w:val="24"/>
        </w:rPr>
        <w:t>ộ</w:t>
      </w:r>
      <w:r w:rsidRPr="00CB2280">
        <w:rPr>
          <w:rFonts w:ascii="Times New Roman" w:hAnsi="Times New Roman" w:cs="Times New Roman"/>
          <w:color w:val="000000" w:themeColor="text1"/>
          <w:sz w:val="24"/>
          <w:szCs w:val="24"/>
        </w:rPr>
        <w:t xml:space="preserve">t đơn vị kinh tế sẽ báo cáo </w:t>
      </w:r>
      <w:r w:rsidR="006A38EB">
        <w:rPr>
          <w:rFonts w:ascii="Times New Roman" w:hAnsi="Times New Roman" w:cs="Times New Roman"/>
          <w:color w:val="000000" w:themeColor="text1"/>
          <w:sz w:val="24"/>
          <w:szCs w:val="24"/>
        </w:rPr>
        <w:t>riêng</w:t>
      </w:r>
      <w:r w:rsidRPr="00CB2280">
        <w:rPr>
          <w:rFonts w:ascii="Times New Roman" w:hAnsi="Times New Roman" w:cs="Times New Roman"/>
          <w:color w:val="000000" w:themeColor="text1"/>
          <w:sz w:val="24"/>
          <w:szCs w:val="24"/>
        </w:rPr>
        <w:t xml:space="preserve"> th</w:t>
      </w:r>
      <w:r w:rsidR="00C550B0" w:rsidRPr="00CB2280">
        <w:rPr>
          <w:rFonts w:ascii="Times New Roman" w:hAnsi="Times New Roman" w:cs="Times New Roman"/>
          <w:color w:val="000000" w:themeColor="text1"/>
          <w:sz w:val="24"/>
          <w:szCs w:val="24"/>
        </w:rPr>
        <w:t>ôn</w:t>
      </w:r>
      <w:r w:rsidRPr="00CB2280">
        <w:rPr>
          <w:rFonts w:ascii="Times New Roman" w:hAnsi="Times New Roman" w:cs="Times New Roman"/>
          <w:color w:val="000000" w:themeColor="text1"/>
          <w:sz w:val="24"/>
          <w:szCs w:val="24"/>
        </w:rPr>
        <w:t>g tin về một bộ phận hoạt động</w:t>
      </w:r>
      <w:r w:rsidR="006A38EB">
        <w:rPr>
          <w:rFonts w:ascii="Times New Roman" w:hAnsi="Times New Roman" w:cs="Times New Roman"/>
          <w:color w:val="000000" w:themeColor="text1"/>
          <w:sz w:val="24"/>
          <w:szCs w:val="24"/>
        </w:rPr>
        <w:t xml:space="preserve"> khi</w:t>
      </w:r>
      <w:r w:rsidRPr="00CB2280">
        <w:rPr>
          <w:rFonts w:ascii="Times New Roman" w:hAnsi="Times New Roman" w:cs="Times New Roman"/>
          <w:color w:val="000000" w:themeColor="text1"/>
          <w:sz w:val="24"/>
          <w:szCs w:val="24"/>
        </w:rPr>
        <w:t xml:space="preserve"> thỏa mãn bất kỳ một trong các ngưỡng định lượng dưới đây:</w:t>
      </w:r>
    </w:p>
    <w:p w:rsidR="00700E7F" w:rsidRPr="00CB2280" w:rsidRDefault="00700E7F" w:rsidP="00497676">
      <w:pPr>
        <w:pStyle w:val="ListParagraph"/>
        <w:numPr>
          <w:ilvl w:val="0"/>
          <w:numId w:val="7"/>
        </w:numPr>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Doanh thu được báo cáo của đơn vị đó, bao gồm cả doanh thu bán cho khách hàng bên ngoài và doanh thu bán nội bộ giữa các bộ phận, là 10% hoặc </w:t>
      </w:r>
      <w:r w:rsidR="006A38EB">
        <w:rPr>
          <w:rFonts w:ascii="Times New Roman" w:hAnsi="Times New Roman" w:cs="Times New Roman"/>
          <w:color w:val="000000" w:themeColor="text1"/>
          <w:sz w:val="24"/>
          <w:szCs w:val="24"/>
        </w:rPr>
        <w:t>cao</w:t>
      </w:r>
      <w:r w:rsidRPr="00CB2280">
        <w:rPr>
          <w:rFonts w:ascii="Times New Roman" w:hAnsi="Times New Roman" w:cs="Times New Roman"/>
          <w:color w:val="000000" w:themeColor="text1"/>
          <w:sz w:val="24"/>
          <w:szCs w:val="24"/>
        </w:rPr>
        <w:t xml:space="preserve"> hơn ngưỡng được thiết lập cho doanh thu trong và ngoài đơn vị của tất cả các bộ phận hoạt động.</w:t>
      </w:r>
    </w:p>
    <w:p w:rsidR="00700E7F" w:rsidRPr="00CB2280" w:rsidRDefault="00AE4790" w:rsidP="00497676">
      <w:pPr>
        <w:pStyle w:val="ListParagraph"/>
        <w:numPr>
          <w:ilvl w:val="0"/>
          <w:numId w:val="7"/>
        </w:numPr>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Số</w:t>
      </w:r>
      <w:r w:rsidR="00700E7F" w:rsidRPr="00CB2280">
        <w:rPr>
          <w:rFonts w:ascii="Times New Roman" w:hAnsi="Times New Roman" w:cs="Times New Roman"/>
          <w:color w:val="000000" w:themeColor="text1"/>
          <w:sz w:val="24"/>
          <w:szCs w:val="24"/>
        </w:rPr>
        <w:t xml:space="preserve"> lãi</w:t>
      </w:r>
      <w:r w:rsidRPr="00CB2280">
        <w:rPr>
          <w:rFonts w:ascii="Times New Roman" w:hAnsi="Times New Roman" w:cs="Times New Roman"/>
          <w:color w:val="000000" w:themeColor="text1"/>
          <w:sz w:val="24"/>
          <w:szCs w:val="24"/>
        </w:rPr>
        <w:t xml:space="preserve"> hoặc </w:t>
      </w:r>
      <w:r w:rsidR="00700E7F" w:rsidRPr="00CB2280">
        <w:rPr>
          <w:rFonts w:ascii="Times New Roman" w:hAnsi="Times New Roman" w:cs="Times New Roman"/>
          <w:color w:val="000000" w:themeColor="text1"/>
          <w:sz w:val="24"/>
          <w:szCs w:val="24"/>
        </w:rPr>
        <w:t xml:space="preserve">lỗ báo cáo là 10% hoặc </w:t>
      </w:r>
      <w:r w:rsidR="00AB1C1D" w:rsidRPr="00CB2280">
        <w:rPr>
          <w:rFonts w:ascii="Times New Roman" w:hAnsi="Times New Roman" w:cs="Times New Roman"/>
          <w:color w:val="000000" w:themeColor="text1"/>
          <w:sz w:val="24"/>
          <w:szCs w:val="24"/>
        </w:rPr>
        <w:t xml:space="preserve">cao hơn số lớn hơn trong hai </w:t>
      </w:r>
      <w:r w:rsidRPr="00CB2280">
        <w:rPr>
          <w:rFonts w:ascii="Times New Roman" w:hAnsi="Times New Roman" w:cs="Times New Roman"/>
          <w:color w:val="000000" w:themeColor="text1"/>
          <w:sz w:val="24"/>
          <w:szCs w:val="24"/>
        </w:rPr>
        <w:t>giá trị</w:t>
      </w:r>
      <w:r w:rsidR="00822D00" w:rsidRPr="00CB2280">
        <w:rPr>
          <w:rFonts w:ascii="Times New Roman" w:hAnsi="Times New Roman" w:cs="Times New Roman"/>
          <w:color w:val="000000" w:themeColor="text1"/>
          <w:sz w:val="24"/>
          <w:szCs w:val="24"/>
        </w:rPr>
        <w:t xml:space="preserve"> của (i) </w:t>
      </w:r>
      <w:r w:rsidR="006A38EB">
        <w:rPr>
          <w:rFonts w:ascii="Times New Roman" w:hAnsi="Times New Roman" w:cs="Times New Roman"/>
          <w:color w:val="000000" w:themeColor="text1"/>
          <w:sz w:val="24"/>
          <w:szCs w:val="24"/>
        </w:rPr>
        <w:t>lãi</w:t>
      </w:r>
      <w:r w:rsidR="00822D00" w:rsidRPr="00CB2280">
        <w:rPr>
          <w:rFonts w:ascii="Times New Roman" w:hAnsi="Times New Roman" w:cs="Times New Roman"/>
          <w:color w:val="000000" w:themeColor="text1"/>
          <w:sz w:val="24"/>
          <w:szCs w:val="24"/>
        </w:rPr>
        <w:t xml:space="preserve"> tổng hợp từ các bộ phận hoạt động không bị lỗ và (ii) lỗ báo cáo tổng hợp của các bộ phận hoạt động báo cáo lỗ.</w:t>
      </w:r>
    </w:p>
    <w:p w:rsidR="00AB1C1D" w:rsidRPr="006A38EB" w:rsidRDefault="00AB1C1D" w:rsidP="00497676">
      <w:pPr>
        <w:pStyle w:val="ListParagraph"/>
        <w:numPr>
          <w:ilvl w:val="0"/>
          <w:numId w:val="7"/>
        </w:numPr>
        <w:spacing w:line="360" w:lineRule="auto"/>
        <w:jc w:val="both"/>
        <w:rPr>
          <w:rFonts w:ascii="Times New Roman" w:hAnsi="Times New Roman" w:cs="Times New Roman"/>
          <w:color w:val="000000" w:themeColor="text1"/>
          <w:spacing w:val="-4"/>
          <w:sz w:val="24"/>
          <w:szCs w:val="24"/>
        </w:rPr>
      </w:pPr>
      <w:r w:rsidRPr="006A38EB">
        <w:rPr>
          <w:rFonts w:ascii="Times New Roman" w:hAnsi="Times New Roman" w:cs="Times New Roman"/>
          <w:color w:val="000000" w:themeColor="text1"/>
          <w:spacing w:val="-4"/>
          <w:sz w:val="24"/>
          <w:szCs w:val="24"/>
        </w:rPr>
        <w:t>Tài sản của</w:t>
      </w:r>
      <w:r w:rsidR="00893B56" w:rsidRPr="006A38EB">
        <w:rPr>
          <w:rFonts w:ascii="Times New Roman" w:hAnsi="Times New Roman" w:cs="Times New Roman"/>
          <w:color w:val="000000" w:themeColor="text1"/>
          <w:spacing w:val="-4"/>
          <w:sz w:val="24"/>
          <w:szCs w:val="24"/>
        </w:rPr>
        <w:t xml:space="preserve"> </w:t>
      </w:r>
      <w:r w:rsidR="00AE4790" w:rsidRPr="006A38EB">
        <w:rPr>
          <w:rFonts w:ascii="Times New Roman" w:hAnsi="Times New Roman" w:cs="Times New Roman"/>
          <w:color w:val="000000" w:themeColor="text1"/>
          <w:spacing w:val="-4"/>
          <w:sz w:val="24"/>
          <w:szCs w:val="24"/>
        </w:rPr>
        <w:t xml:space="preserve">đơn vị </w:t>
      </w:r>
      <w:r w:rsidR="00893B56" w:rsidRPr="006A38EB">
        <w:rPr>
          <w:rFonts w:ascii="Times New Roman" w:hAnsi="Times New Roman" w:cs="Times New Roman"/>
          <w:color w:val="000000" w:themeColor="text1"/>
          <w:spacing w:val="-4"/>
          <w:sz w:val="24"/>
          <w:szCs w:val="24"/>
        </w:rPr>
        <w:t>là 10% hoặc nhiều hơn giá trị tài sản của các bộ phận hoạt động cộng lại.</w:t>
      </w:r>
    </w:p>
    <w:p w:rsidR="00893B56" w:rsidRPr="00CB2280" w:rsidRDefault="00893B56" w:rsidP="00497676">
      <w:pPr>
        <w:spacing w:line="360" w:lineRule="auto"/>
        <w:ind w:left="630"/>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Các đơn vị hoạt động mà không thỏa mãn các ngưỡng định lượng có thể được xem xét phải báo cáo và công khai một cách riêng biệt nếu người quản lý tin rằng thông tin về bộ phận có thể hữu ích cho người dùng báo cáo tài chính.</w:t>
      </w:r>
    </w:p>
    <w:p w:rsidR="00700E7F" w:rsidRPr="00CB2280" w:rsidRDefault="0015255A" w:rsidP="00497676">
      <w:pPr>
        <w:pStyle w:val="ListParagraph"/>
        <w:numPr>
          <w:ilvl w:val="0"/>
          <w:numId w:val="2"/>
        </w:numPr>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Một đơn vị có thể kết hợp thông tin về các bộ phận hoạt động không thỏa mãn các ngưỡng định lượng với thông tin về các bộ phận hoạt động khác không đáp ứng </w:t>
      </w:r>
      <w:r w:rsidR="00AE4790" w:rsidRPr="00CB2280">
        <w:rPr>
          <w:rFonts w:ascii="Times New Roman" w:hAnsi="Times New Roman" w:cs="Times New Roman"/>
          <w:color w:val="000000" w:themeColor="text1"/>
          <w:sz w:val="24"/>
          <w:szCs w:val="24"/>
        </w:rPr>
        <w:t xml:space="preserve">được </w:t>
      </w:r>
      <w:r w:rsidRPr="00CB2280">
        <w:rPr>
          <w:rFonts w:ascii="Times New Roman" w:hAnsi="Times New Roman" w:cs="Times New Roman"/>
          <w:color w:val="000000" w:themeColor="text1"/>
          <w:sz w:val="24"/>
          <w:szCs w:val="24"/>
        </w:rPr>
        <w:t xml:space="preserve">các ngưỡng định lượng để </w:t>
      </w:r>
      <w:r w:rsidR="0025271D" w:rsidRPr="00CB2280">
        <w:rPr>
          <w:rFonts w:ascii="Times New Roman" w:hAnsi="Times New Roman" w:cs="Times New Roman"/>
          <w:color w:val="000000" w:themeColor="text1"/>
          <w:sz w:val="24"/>
          <w:szCs w:val="24"/>
        </w:rPr>
        <w:t xml:space="preserve">thiết lập các bộ phận phải báo cáo chỉ khi </w:t>
      </w:r>
      <w:r w:rsidR="004F3D42" w:rsidRPr="00CB2280">
        <w:rPr>
          <w:rFonts w:ascii="Times New Roman" w:hAnsi="Times New Roman" w:cs="Times New Roman"/>
          <w:color w:val="000000" w:themeColor="text1"/>
          <w:sz w:val="24"/>
          <w:szCs w:val="24"/>
        </w:rPr>
        <w:t>chúng</w:t>
      </w:r>
      <w:r w:rsidR="0025271D" w:rsidRPr="00CB2280">
        <w:rPr>
          <w:rFonts w:ascii="Times New Roman" w:hAnsi="Times New Roman" w:cs="Times New Roman"/>
          <w:color w:val="000000" w:themeColor="text1"/>
          <w:sz w:val="24"/>
          <w:szCs w:val="24"/>
        </w:rPr>
        <w:t xml:space="preserve"> có các đặc điểm kinh tế tương đồng và chia sẻ phần lớn các tiêu </w:t>
      </w:r>
      <w:r w:rsidR="004F3D42" w:rsidRPr="00CB2280">
        <w:rPr>
          <w:rFonts w:ascii="Times New Roman" w:hAnsi="Times New Roman" w:cs="Times New Roman"/>
          <w:color w:val="000000" w:themeColor="text1"/>
          <w:sz w:val="24"/>
          <w:szCs w:val="24"/>
        </w:rPr>
        <w:t>chí</w:t>
      </w:r>
      <w:r w:rsidR="0025271D" w:rsidRPr="00CB2280">
        <w:rPr>
          <w:rFonts w:ascii="Times New Roman" w:hAnsi="Times New Roman" w:cs="Times New Roman"/>
          <w:color w:val="000000" w:themeColor="text1"/>
          <w:sz w:val="24"/>
          <w:szCs w:val="24"/>
        </w:rPr>
        <w:t xml:space="preserve"> tổng hợp đã được liệt kê ở đoạn 12.</w:t>
      </w:r>
    </w:p>
    <w:p w:rsidR="0025271D" w:rsidRPr="00CB2280" w:rsidRDefault="0025271D" w:rsidP="00497676">
      <w:pPr>
        <w:pStyle w:val="ListParagraph"/>
        <w:numPr>
          <w:ilvl w:val="0"/>
          <w:numId w:val="2"/>
        </w:numPr>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lastRenderedPageBreak/>
        <w:t xml:space="preserve">Nếu tổng doanh thu với bên ngoài được các bộ phận hoạt động báo cáo chiếm tỷ trọng </w:t>
      </w:r>
      <w:r w:rsidR="00884943" w:rsidRPr="00CB2280">
        <w:rPr>
          <w:rFonts w:ascii="Times New Roman" w:hAnsi="Times New Roman" w:cs="Times New Roman"/>
          <w:color w:val="000000" w:themeColor="text1"/>
          <w:sz w:val="24"/>
          <w:szCs w:val="24"/>
        </w:rPr>
        <w:t>nhỏ</w:t>
      </w:r>
      <w:r w:rsidRPr="00CB2280">
        <w:rPr>
          <w:rFonts w:ascii="Times New Roman" w:hAnsi="Times New Roman" w:cs="Times New Roman"/>
          <w:color w:val="000000" w:themeColor="text1"/>
          <w:sz w:val="24"/>
          <w:szCs w:val="24"/>
        </w:rPr>
        <w:t xml:space="preserve"> hơn 75% tổng doanh thu của đơn vị, các bộ phận hoạt động bổ sung sẽ được </w:t>
      </w:r>
      <w:r w:rsidR="00884943" w:rsidRPr="00CB2280">
        <w:rPr>
          <w:rFonts w:ascii="Times New Roman" w:hAnsi="Times New Roman" w:cs="Times New Roman"/>
          <w:color w:val="000000" w:themeColor="text1"/>
          <w:sz w:val="24"/>
          <w:szCs w:val="24"/>
        </w:rPr>
        <w:t xml:space="preserve">coi là bộ phận báo cáo (thậm chí các bộ phận hoạt động này không thỏa mãn các tiêu chí đã nêu ở đoạn 13) cho đến khi ít nhất 75% doanh thu của đơn vị được </w:t>
      </w:r>
      <w:r w:rsidR="006A38EB">
        <w:rPr>
          <w:rFonts w:ascii="Times New Roman" w:hAnsi="Times New Roman" w:cs="Times New Roman"/>
          <w:color w:val="000000" w:themeColor="text1"/>
          <w:sz w:val="24"/>
          <w:szCs w:val="24"/>
        </w:rPr>
        <w:t>công khai</w:t>
      </w:r>
      <w:r w:rsidR="00884943" w:rsidRPr="00CB2280">
        <w:rPr>
          <w:rFonts w:ascii="Times New Roman" w:hAnsi="Times New Roman" w:cs="Times New Roman"/>
          <w:color w:val="000000" w:themeColor="text1"/>
          <w:sz w:val="24"/>
          <w:szCs w:val="24"/>
        </w:rPr>
        <w:t>.</w:t>
      </w:r>
    </w:p>
    <w:p w:rsidR="00884943" w:rsidRPr="00CB2280" w:rsidRDefault="00884943" w:rsidP="00497676">
      <w:pPr>
        <w:pStyle w:val="ListParagraph"/>
        <w:numPr>
          <w:ilvl w:val="0"/>
          <w:numId w:val="2"/>
        </w:numPr>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Thông tin về các hoạt động kinh doanh và bộ phận hoạt động khác mà không buộc phải báo cáo sẽ phải kết hợp và </w:t>
      </w:r>
      <w:r w:rsidR="00AD2684" w:rsidRPr="00CB2280">
        <w:rPr>
          <w:rFonts w:ascii="Times New Roman" w:hAnsi="Times New Roman" w:cs="Times New Roman"/>
          <w:color w:val="000000" w:themeColor="text1"/>
          <w:sz w:val="24"/>
          <w:szCs w:val="24"/>
        </w:rPr>
        <w:t>trình bày</w:t>
      </w:r>
      <w:r w:rsidRPr="00CB2280">
        <w:rPr>
          <w:rFonts w:ascii="Times New Roman" w:hAnsi="Times New Roman" w:cs="Times New Roman"/>
          <w:color w:val="000000" w:themeColor="text1"/>
          <w:sz w:val="24"/>
          <w:szCs w:val="24"/>
        </w:rPr>
        <w:t xml:space="preserve"> trong một nhóm có tên là “tổng cộng các bộ phận khác” trình bày tách biệt với các khoản mục đối chiếu khác trong phần đối chiếu theo yêu cầu của đoạn 28. </w:t>
      </w:r>
      <w:r w:rsidR="004F3D42" w:rsidRPr="00CB2280">
        <w:rPr>
          <w:rFonts w:ascii="Times New Roman" w:hAnsi="Times New Roman" w:cs="Times New Roman"/>
          <w:color w:val="000000" w:themeColor="text1"/>
          <w:sz w:val="24"/>
          <w:szCs w:val="24"/>
        </w:rPr>
        <w:t>N</w:t>
      </w:r>
      <w:r w:rsidRPr="00CB2280">
        <w:rPr>
          <w:rFonts w:ascii="Times New Roman" w:hAnsi="Times New Roman" w:cs="Times New Roman"/>
          <w:color w:val="000000" w:themeColor="text1"/>
          <w:sz w:val="24"/>
          <w:szCs w:val="24"/>
        </w:rPr>
        <w:t xml:space="preserve">guồn </w:t>
      </w:r>
      <w:r w:rsidR="004F3D42" w:rsidRPr="00CB2280">
        <w:rPr>
          <w:rFonts w:ascii="Times New Roman" w:hAnsi="Times New Roman" w:cs="Times New Roman"/>
          <w:color w:val="000000" w:themeColor="text1"/>
          <w:sz w:val="24"/>
          <w:szCs w:val="24"/>
        </w:rPr>
        <w:t xml:space="preserve">gốc các khoản </w:t>
      </w:r>
      <w:r w:rsidRPr="00CB2280">
        <w:rPr>
          <w:rFonts w:ascii="Times New Roman" w:hAnsi="Times New Roman" w:cs="Times New Roman"/>
          <w:color w:val="000000" w:themeColor="text1"/>
          <w:sz w:val="24"/>
          <w:szCs w:val="24"/>
        </w:rPr>
        <w:t xml:space="preserve">doanh thu được tính vào trong nhóm “tổng cộng các bộ phận khác” sẽ được </w:t>
      </w:r>
      <w:r w:rsidR="004F3D42" w:rsidRPr="00CB2280">
        <w:rPr>
          <w:rFonts w:ascii="Times New Roman" w:hAnsi="Times New Roman" w:cs="Times New Roman"/>
          <w:color w:val="000000" w:themeColor="text1"/>
          <w:sz w:val="24"/>
          <w:szCs w:val="24"/>
        </w:rPr>
        <w:t>trình bày</w:t>
      </w:r>
      <w:r w:rsidRPr="00CB2280">
        <w:rPr>
          <w:rFonts w:ascii="Times New Roman" w:hAnsi="Times New Roman" w:cs="Times New Roman"/>
          <w:color w:val="000000" w:themeColor="text1"/>
          <w:sz w:val="24"/>
          <w:szCs w:val="24"/>
        </w:rPr>
        <w:t>.</w:t>
      </w:r>
    </w:p>
    <w:p w:rsidR="00AD2684" w:rsidRPr="00CB2280" w:rsidRDefault="00AD2684" w:rsidP="00497676">
      <w:pPr>
        <w:pStyle w:val="ListParagraph"/>
        <w:numPr>
          <w:ilvl w:val="0"/>
          <w:numId w:val="2"/>
        </w:numPr>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Nếu quản lý đánh giá rằng một bộ phận hoạt động đã được xác định là một bộ phận báo cáo trong </w:t>
      </w:r>
      <w:r w:rsidR="009E724D">
        <w:rPr>
          <w:rFonts w:ascii="Times New Roman" w:hAnsi="Times New Roman" w:cs="Times New Roman"/>
          <w:color w:val="000000" w:themeColor="text1"/>
          <w:sz w:val="24"/>
          <w:szCs w:val="24"/>
        </w:rPr>
        <w:t>kỳ kế toán ngay</w:t>
      </w:r>
      <w:r w:rsidRPr="00CB2280">
        <w:rPr>
          <w:rFonts w:ascii="Times New Roman" w:hAnsi="Times New Roman" w:cs="Times New Roman"/>
          <w:color w:val="000000" w:themeColor="text1"/>
          <w:sz w:val="24"/>
          <w:szCs w:val="24"/>
        </w:rPr>
        <w:t xml:space="preserve"> trước đó </w:t>
      </w:r>
      <w:r w:rsidR="009E724D">
        <w:rPr>
          <w:rFonts w:ascii="Times New Roman" w:hAnsi="Times New Roman" w:cs="Times New Roman"/>
          <w:color w:val="000000" w:themeColor="text1"/>
          <w:sz w:val="24"/>
          <w:szCs w:val="24"/>
        </w:rPr>
        <w:t xml:space="preserve">vẫn tiếp tục có ý nghĩa </w:t>
      </w:r>
      <w:r w:rsidRPr="00CB2280">
        <w:rPr>
          <w:rFonts w:ascii="Times New Roman" w:hAnsi="Times New Roman" w:cs="Times New Roman"/>
          <w:color w:val="000000" w:themeColor="text1"/>
          <w:sz w:val="24"/>
          <w:szCs w:val="24"/>
        </w:rPr>
        <w:t xml:space="preserve">quan trọng, </w:t>
      </w:r>
      <w:r w:rsidR="009E724D">
        <w:rPr>
          <w:rFonts w:ascii="Times New Roman" w:hAnsi="Times New Roman" w:cs="Times New Roman"/>
          <w:color w:val="000000" w:themeColor="text1"/>
          <w:sz w:val="24"/>
          <w:szCs w:val="24"/>
        </w:rPr>
        <w:t xml:space="preserve">thì </w:t>
      </w:r>
      <w:r w:rsidRPr="00CB2280">
        <w:rPr>
          <w:rFonts w:ascii="Times New Roman" w:hAnsi="Times New Roman" w:cs="Times New Roman"/>
          <w:color w:val="000000" w:themeColor="text1"/>
          <w:sz w:val="24"/>
          <w:szCs w:val="24"/>
        </w:rPr>
        <w:t>thông tin về bộ phận đó sẽ được tiếp tục báo cáo riêng trong kỳ hiện tại thậm chí bộ phận đó không còn thỏa mãn các tiêu chí về báo cáo được liệt kê trong đoạn 13.</w:t>
      </w:r>
    </w:p>
    <w:p w:rsidR="00884943" w:rsidRPr="00CB2280" w:rsidRDefault="00D1660C" w:rsidP="00497676">
      <w:pPr>
        <w:pStyle w:val="ListParagraph"/>
        <w:numPr>
          <w:ilvl w:val="0"/>
          <w:numId w:val="2"/>
        </w:numPr>
        <w:shd w:val="clear" w:color="auto" w:fill="F8F9FA"/>
        <w:autoSpaceDE w:val="0"/>
        <w:autoSpaceDN w:val="0"/>
        <w:adjustRightInd w:val="0"/>
        <w:spacing w:after="0"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Nếu một bộ phận hoạt động được xác định là một đơn vị báo cáo trong </w:t>
      </w:r>
      <w:r w:rsidR="004F3D42" w:rsidRPr="00CB2280">
        <w:rPr>
          <w:rFonts w:ascii="Times New Roman" w:hAnsi="Times New Roman" w:cs="Times New Roman"/>
          <w:color w:val="000000" w:themeColor="text1"/>
          <w:sz w:val="24"/>
          <w:szCs w:val="24"/>
        </w:rPr>
        <w:t>năm</w:t>
      </w:r>
      <w:r w:rsidRPr="00CB2280">
        <w:rPr>
          <w:rFonts w:ascii="Times New Roman" w:hAnsi="Times New Roman" w:cs="Times New Roman"/>
          <w:color w:val="000000" w:themeColor="text1"/>
          <w:sz w:val="24"/>
          <w:szCs w:val="24"/>
        </w:rPr>
        <w:t xml:space="preserve"> hiện tại thỏa mãn các ngưỡng định lượng, dữ liệu bộ phận </w:t>
      </w:r>
      <w:r w:rsidR="004F3D42" w:rsidRPr="00CB2280">
        <w:rPr>
          <w:rFonts w:ascii="Times New Roman" w:hAnsi="Times New Roman" w:cs="Times New Roman"/>
          <w:color w:val="000000" w:themeColor="text1"/>
          <w:sz w:val="24"/>
          <w:szCs w:val="24"/>
        </w:rPr>
        <w:t>đã</w:t>
      </w:r>
      <w:r w:rsidRPr="00CB2280">
        <w:rPr>
          <w:rFonts w:ascii="Times New Roman" w:hAnsi="Times New Roman" w:cs="Times New Roman"/>
          <w:color w:val="000000" w:themeColor="text1"/>
          <w:sz w:val="24"/>
          <w:szCs w:val="24"/>
        </w:rPr>
        <w:t xml:space="preserve"> được trình bày</w:t>
      </w:r>
      <w:r w:rsidR="004F3D42" w:rsidRPr="00CB2280">
        <w:rPr>
          <w:rFonts w:ascii="Times New Roman" w:hAnsi="Times New Roman" w:cs="Times New Roman"/>
          <w:color w:val="000000" w:themeColor="text1"/>
          <w:sz w:val="24"/>
          <w:szCs w:val="24"/>
        </w:rPr>
        <w:t xml:space="preserve"> trong năm trước</w:t>
      </w:r>
      <w:r w:rsidRPr="00CB2280">
        <w:rPr>
          <w:rFonts w:ascii="Times New Roman" w:hAnsi="Times New Roman" w:cs="Times New Roman"/>
          <w:color w:val="000000" w:themeColor="text1"/>
          <w:sz w:val="24"/>
          <w:szCs w:val="24"/>
        </w:rPr>
        <w:t xml:space="preserve"> với mục đích so sánh sẽ được trình bày </w:t>
      </w:r>
      <w:r w:rsidR="004F3D42" w:rsidRPr="00CB2280">
        <w:rPr>
          <w:rFonts w:ascii="Times New Roman" w:hAnsi="Times New Roman" w:cs="Times New Roman"/>
          <w:color w:val="000000" w:themeColor="text1"/>
          <w:sz w:val="24"/>
          <w:szCs w:val="24"/>
        </w:rPr>
        <w:t>l</w:t>
      </w:r>
      <w:r w:rsidRPr="00CB2280">
        <w:rPr>
          <w:rFonts w:ascii="Times New Roman" w:hAnsi="Times New Roman" w:cs="Times New Roman"/>
          <w:color w:val="000000" w:themeColor="text1"/>
          <w:sz w:val="24"/>
          <w:szCs w:val="24"/>
        </w:rPr>
        <w:t xml:space="preserve">ại </w:t>
      </w:r>
      <w:r w:rsidR="009E724D">
        <w:rPr>
          <w:rFonts w:ascii="Times New Roman" w:hAnsi="Times New Roman" w:cs="Times New Roman"/>
          <w:color w:val="000000" w:themeColor="text1"/>
          <w:sz w:val="24"/>
          <w:szCs w:val="24"/>
        </w:rPr>
        <w:t xml:space="preserve">và </w:t>
      </w:r>
      <w:r w:rsidR="004F3D42" w:rsidRPr="00CB2280">
        <w:rPr>
          <w:rFonts w:ascii="Times New Roman" w:hAnsi="Times New Roman" w:cs="Times New Roman"/>
          <w:color w:val="000000" w:themeColor="text1"/>
          <w:sz w:val="24"/>
          <w:szCs w:val="24"/>
        </w:rPr>
        <w:t>xem</w:t>
      </w:r>
      <w:r w:rsidRPr="00CB2280">
        <w:rPr>
          <w:rFonts w:ascii="Times New Roman" w:hAnsi="Times New Roman" w:cs="Times New Roman"/>
          <w:color w:val="000000" w:themeColor="text1"/>
          <w:sz w:val="24"/>
          <w:szCs w:val="24"/>
        </w:rPr>
        <w:t xml:space="preserve"> bộ phận báo cáo mới như là bộ phận báo cáo riêng</w:t>
      </w:r>
      <w:r w:rsidR="009A4B80" w:rsidRPr="00CB2280">
        <w:rPr>
          <w:rFonts w:ascii="Times New Roman" w:hAnsi="Times New Roman" w:cs="Times New Roman"/>
          <w:color w:val="000000" w:themeColor="text1"/>
          <w:sz w:val="24"/>
          <w:szCs w:val="24"/>
        </w:rPr>
        <w:t>, thậm chí bộ phận đó</w:t>
      </w:r>
      <w:r w:rsidR="004F3D42" w:rsidRPr="00CB2280">
        <w:rPr>
          <w:rFonts w:ascii="Times New Roman" w:hAnsi="Times New Roman" w:cs="Times New Roman"/>
          <w:color w:val="000000" w:themeColor="text1"/>
          <w:sz w:val="24"/>
          <w:szCs w:val="24"/>
        </w:rPr>
        <w:t xml:space="preserve"> trong năm trước</w:t>
      </w:r>
      <w:r w:rsidR="009A4B80" w:rsidRPr="00CB2280">
        <w:rPr>
          <w:rFonts w:ascii="Times New Roman" w:hAnsi="Times New Roman" w:cs="Times New Roman"/>
          <w:color w:val="000000" w:themeColor="text1"/>
          <w:sz w:val="24"/>
          <w:szCs w:val="24"/>
        </w:rPr>
        <w:t xml:space="preserve"> không thỏa mãn các tiêu chí báo báo đã nêu ở đoạn 13</w:t>
      </w:r>
      <w:r w:rsidR="00304C29" w:rsidRPr="00CB2280">
        <w:rPr>
          <w:rFonts w:ascii="Times New Roman" w:hAnsi="Times New Roman" w:cs="Times New Roman"/>
          <w:color w:val="000000" w:themeColor="text1"/>
          <w:sz w:val="24"/>
          <w:szCs w:val="24"/>
        </w:rPr>
        <w:t>, trừ phi th</w:t>
      </w:r>
      <w:r w:rsidR="004F3D42" w:rsidRPr="00CB2280">
        <w:rPr>
          <w:rFonts w:ascii="Times New Roman" w:hAnsi="Times New Roman" w:cs="Times New Roman"/>
          <w:color w:val="000000" w:themeColor="text1"/>
          <w:sz w:val="24"/>
          <w:szCs w:val="24"/>
        </w:rPr>
        <w:t>ôn</w:t>
      </w:r>
      <w:r w:rsidR="00304C29" w:rsidRPr="00CB2280">
        <w:rPr>
          <w:rFonts w:ascii="Times New Roman" w:hAnsi="Times New Roman" w:cs="Times New Roman"/>
          <w:color w:val="000000" w:themeColor="text1"/>
          <w:sz w:val="24"/>
          <w:szCs w:val="24"/>
        </w:rPr>
        <w:t xml:space="preserve">g tin cần thiết không có sẵn và chi phí phát triển nó sẽ là </w:t>
      </w:r>
      <w:r w:rsidR="004F3D42" w:rsidRPr="00CB2280">
        <w:rPr>
          <w:rFonts w:ascii="Times New Roman" w:hAnsi="Times New Roman" w:cs="Times New Roman"/>
          <w:color w:val="000000" w:themeColor="text1"/>
          <w:sz w:val="24"/>
          <w:szCs w:val="24"/>
        </w:rPr>
        <w:t>quá</w:t>
      </w:r>
      <w:r w:rsidR="00304C29" w:rsidRPr="00CB2280">
        <w:rPr>
          <w:rFonts w:ascii="Times New Roman" w:hAnsi="Times New Roman" w:cs="Times New Roman"/>
          <w:color w:val="000000" w:themeColor="text1"/>
          <w:sz w:val="24"/>
          <w:szCs w:val="24"/>
        </w:rPr>
        <w:t xml:space="preserve"> cao.</w:t>
      </w:r>
    </w:p>
    <w:p w:rsidR="000F689F" w:rsidRPr="00CB2280" w:rsidRDefault="000F689F" w:rsidP="00497676">
      <w:pPr>
        <w:pStyle w:val="ListParagraph"/>
        <w:numPr>
          <w:ilvl w:val="0"/>
          <w:numId w:val="2"/>
        </w:numPr>
        <w:shd w:val="clear" w:color="auto" w:fill="F8F9FA"/>
        <w:autoSpaceDE w:val="0"/>
        <w:autoSpaceDN w:val="0"/>
        <w:adjustRightInd w:val="0"/>
        <w:spacing w:after="0"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Có thể có một giới hạn </w:t>
      </w:r>
      <w:r w:rsidR="00FB247D" w:rsidRPr="00CB2280">
        <w:rPr>
          <w:rFonts w:ascii="Times New Roman" w:hAnsi="Times New Roman" w:cs="Times New Roman"/>
          <w:color w:val="000000" w:themeColor="text1"/>
          <w:sz w:val="24"/>
          <w:szCs w:val="24"/>
        </w:rPr>
        <w:t xml:space="preserve">mang tính </w:t>
      </w:r>
      <w:r w:rsidRPr="00CB2280">
        <w:rPr>
          <w:rFonts w:ascii="Times New Roman" w:hAnsi="Times New Roman" w:cs="Times New Roman"/>
          <w:color w:val="000000" w:themeColor="text1"/>
          <w:sz w:val="24"/>
          <w:szCs w:val="24"/>
        </w:rPr>
        <w:t xml:space="preserve">thực tế cho các bộ phận báo cáo </w:t>
      </w:r>
      <w:r w:rsidR="00FB247D" w:rsidRPr="00CB2280">
        <w:rPr>
          <w:rFonts w:ascii="Times New Roman" w:hAnsi="Times New Roman" w:cs="Times New Roman"/>
          <w:color w:val="000000" w:themeColor="text1"/>
          <w:sz w:val="24"/>
          <w:szCs w:val="24"/>
        </w:rPr>
        <w:t xml:space="preserve">khi </w:t>
      </w:r>
      <w:r w:rsidRPr="00CB2280">
        <w:rPr>
          <w:rFonts w:ascii="Times New Roman" w:hAnsi="Times New Roman" w:cs="Times New Roman"/>
          <w:color w:val="000000" w:themeColor="text1"/>
          <w:sz w:val="24"/>
          <w:szCs w:val="24"/>
        </w:rPr>
        <w:t xml:space="preserve">một đơn vị công khai </w:t>
      </w:r>
      <w:r w:rsidR="00FB247D" w:rsidRPr="00CB2280">
        <w:rPr>
          <w:rFonts w:ascii="Times New Roman" w:hAnsi="Times New Roman" w:cs="Times New Roman"/>
          <w:color w:val="000000" w:themeColor="text1"/>
          <w:sz w:val="24"/>
          <w:szCs w:val="24"/>
        </w:rPr>
        <w:t xml:space="preserve">thông tin </w:t>
      </w:r>
      <w:r w:rsidRPr="00CB2280">
        <w:rPr>
          <w:rFonts w:ascii="Times New Roman" w:hAnsi="Times New Roman" w:cs="Times New Roman"/>
          <w:color w:val="000000" w:themeColor="text1"/>
          <w:sz w:val="24"/>
          <w:szCs w:val="24"/>
        </w:rPr>
        <w:t xml:space="preserve">riêng </w:t>
      </w:r>
      <w:r w:rsidR="00FB247D" w:rsidRPr="00CB2280">
        <w:rPr>
          <w:rFonts w:ascii="Times New Roman" w:hAnsi="Times New Roman" w:cs="Times New Roman"/>
          <w:color w:val="000000" w:themeColor="text1"/>
          <w:sz w:val="24"/>
          <w:szCs w:val="24"/>
        </w:rPr>
        <w:t xml:space="preserve">quá </w:t>
      </w:r>
      <w:r w:rsidRPr="00CB2280">
        <w:rPr>
          <w:rFonts w:ascii="Times New Roman" w:hAnsi="Times New Roman" w:cs="Times New Roman"/>
          <w:color w:val="000000" w:themeColor="text1"/>
          <w:sz w:val="24"/>
          <w:szCs w:val="24"/>
        </w:rPr>
        <w:t>chi tiết. Mặc dầu không có giới hạn chính xác nào được xác định, vì số lượng bộ phận có thể báo cáo tuân theo đoạn 13 đến 18 nhiều hơn 10</w:t>
      </w:r>
      <w:r w:rsidR="00FB247D" w:rsidRPr="00CB2280">
        <w:rPr>
          <w:rFonts w:ascii="Times New Roman" w:hAnsi="Times New Roman" w:cs="Times New Roman"/>
          <w:color w:val="000000" w:themeColor="text1"/>
          <w:sz w:val="24"/>
          <w:szCs w:val="24"/>
        </w:rPr>
        <w:t xml:space="preserve"> bộ phận</w:t>
      </w:r>
      <w:r w:rsidRPr="00CB2280">
        <w:rPr>
          <w:rFonts w:ascii="Times New Roman" w:hAnsi="Times New Roman" w:cs="Times New Roman"/>
          <w:color w:val="000000" w:themeColor="text1"/>
          <w:sz w:val="24"/>
          <w:szCs w:val="24"/>
        </w:rPr>
        <w:t xml:space="preserve">, đơn vị nên xem xét liệu </w:t>
      </w:r>
      <w:r w:rsidR="00FB247D" w:rsidRPr="00CB2280">
        <w:rPr>
          <w:rFonts w:ascii="Times New Roman" w:hAnsi="Times New Roman" w:cs="Times New Roman"/>
          <w:color w:val="000000" w:themeColor="text1"/>
          <w:sz w:val="24"/>
          <w:szCs w:val="24"/>
        </w:rPr>
        <w:t xml:space="preserve">đơn vị công khai vượt quá </w:t>
      </w:r>
      <w:r w:rsidRPr="00CB2280">
        <w:rPr>
          <w:rFonts w:ascii="Times New Roman" w:hAnsi="Times New Roman" w:cs="Times New Roman"/>
          <w:color w:val="000000" w:themeColor="text1"/>
          <w:sz w:val="24"/>
          <w:szCs w:val="24"/>
        </w:rPr>
        <w:t>các giới hạn thực tế.</w:t>
      </w:r>
    </w:p>
    <w:p w:rsidR="000F689F" w:rsidRPr="00CB2280" w:rsidRDefault="007914E8" w:rsidP="00497676">
      <w:pPr>
        <w:autoSpaceDE w:val="0"/>
        <w:autoSpaceDN w:val="0"/>
        <w:adjustRightInd w:val="0"/>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rPr>
        <w:pict>
          <v:line id="Straight Connector 9" o:spid="_x0000_s1033" style="position:absolute;left:0;text-align:left;z-index:251669504;visibility:visible" from="5pt,20.35pt" to="469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" strokecolor="black [3200]" strokeweight=".5pt">
            <v:stroke joinstyle="miter"/>
          </v:line>
        </w:pict>
      </w:r>
      <w:r w:rsidR="000F689F" w:rsidRPr="00CB2280">
        <w:rPr>
          <w:rFonts w:ascii="Times New Roman" w:hAnsi="Times New Roman" w:cs="Times New Roman"/>
          <w:b/>
          <w:bCs/>
          <w:color w:val="000000" w:themeColor="text1"/>
          <w:sz w:val="28"/>
          <w:szCs w:val="28"/>
        </w:rPr>
        <w:t>Công khai</w:t>
      </w:r>
    </w:p>
    <w:p w:rsidR="000F689F" w:rsidRPr="00CB2280" w:rsidRDefault="000E17D8" w:rsidP="00497676">
      <w:pPr>
        <w:pStyle w:val="ListParagraph"/>
        <w:numPr>
          <w:ilvl w:val="0"/>
          <w:numId w:val="2"/>
        </w:numPr>
        <w:autoSpaceDE w:val="0"/>
        <w:autoSpaceDN w:val="0"/>
        <w:adjustRightInd w:val="0"/>
        <w:spacing w:line="360" w:lineRule="auto"/>
        <w:jc w:val="both"/>
        <w:rPr>
          <w:rFonts w:ascii="Times New Roman" w:hAnsi="Times New Roman" w:cs="Times New Roman"/>
          <w:b/>
          <w:bCs/>
          <w:color w:val="000000" w:themeColor="text1"/>
          <w:sz w:val="24"/>
          <w:szCs w:val="24"/>
        </w:rPr>
      </w:pPr>
      <w:r w:rsidRPr="00CB2280">
        <w:rPr>
          <w:rFonts w:ascii="Times New Roman" w:hAnsi="Times New Roman" w:cs="Times New Roman"/>
          <w:b/>
          <w:bCs/>
          <w:color w:val="000000" w:themeColor="text1"/>
          <w:sz w:val="24"/>
          <w:szCs w:val="24"/>
        </w:rPr>
        <w:t>Một đơn vị sẽ công khai thông tin để đảm bảo cho người dùng báo cáo tài chính đánh giá bản chất và ảnh hưởng tài chính của các hoạt động kinh doanh mà đơn vị đó tham gia và môi trường kinh tế mà đơn vị đó đang hoạt động.</w:t>
      </w:r>
    </w:p>
    <w:p w:rsidR="000E0AC5" w:rsidRPr="00CB2280" w:rsidRDefault="00E83A65" w:rsidP="00497676">
      <w:pPr>
        <w:pStyle w:val="ListParagraph"/>
        <w:numPr>
          <w:ilvl w:val="0"/>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Để </w:t>
      </w:r>
      <w:r w:rsidR="009E724D">
        <w:rPr>
          <w:rFonts w:ascii="Times New Roman" w:hAnsi="Times New Roman" w:cs="Times New Roman"/>
          <w:color w:val="000000" w:themeColor="text1"/>
          <w:sz w:val="24"/>
          <w:szCs w:val="24"/>
        </w:rPr>
        <w:t xml:space="preserve">một nguyên tắc trong đoạn 20 </w:t>
      </w:r>
      <w:r w:rsidRPr="00CB2280">
        <w:rPr>
          <w:rFonts w:ascii="Times New Roman" w:hAnsi="Times New Roman" w:cs="Times New Roman"/>
          <w:color w:val="000000" w:themeColor="text1"/>
          <w:sz w:val="24"/>
          <w:szCs w:val="24"/>
        </w:rPr>
        <w:t xml:space="preserve">có hiệu lực, </w:t>
      </w:r>
      <w:r w:rsidR="00D447E8" w:rsidRPr="00CB2280">
        <w:rPr>
          <w:rFonts w:ascii="Times New Roman" w:hAnsi="Times New Roman" w:cs="Times New Roman"/>
          <w:color w:val="000000" w:themeColor="text1"/>
          <w:sz w:val="24"/>
          <w:szCs w:val="24"/>
        </w:rPr>
        <w:t>một đơn vị sẽ công khai</w:t>
      </w:r>
      <w:r w:rsidR="000E0AC5" w:rsidRPr="00CB2280">
        <w:rPr>
          <w:rFonts w:ascii="Times New Roman" w:hAnsi="Times New Roman" w:cs="Times New Roman"/>
          <w:color w:val="000000" w:themeColor="text1"/>
          <w:sz w:val="24"/>
          <w:szCs w:val="24"/>
        </w:rPr>
        <w:t xml:space="preserve"> các nội dung sau cho mỗi </w:t>
      </w:r>
      <w:r w:rsidR="009E724D">
        <w:rPr>
          <w:rFonts w:ascii="Times New Roman" w:hAnsi="Times New Roman" w:cs="Times New Roman"/>
          <w:color w:val="000000" w:themeColor="text1"/>
          <w:sz w:val="24"/>
          <w:szCs w:val="24"/>
        </w:rPr>
        <w:t>kỳ kế toán</w:t>
      </w:r>
      <w:r w:rsidR="000E0AC5" w:rsidRPr="00CB2280">
        <w:rPr>
          <w:rFonts w:ascii="Times New Roman" w:hAnsi="Times New Roman" w:cs="Times New Roman"/>
          <w:color w:val="000000" w:themeColor="text1"/>
          <w:sz w:val="24"/>
          <w:szCs w:val="24"/>
        </w:rPr>
        <w:t xml:space="preserve"> mà tại đó Báo cáo thu nhập toàn diện được trình bày: </w:t>
      </w:r>
    </w:p>
    <w:p w:rsidR="000E0AC5" w:rsidRPr="00CB2280" w:rsidRDefault="000E0AC5"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Thông tin chung như mô tả ở đoạn 22</w:t>
      </w:r>
    </w:p>
    <w:p w:rsidR="000E0AC5" w:rsidRPr="00CB2280" w:rsidRDefault="000E0AC5"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lastRenderedPageBreak/>
        <w:t>Thông tin báo cáo về lãi/lỗ của bộ phận, bao gồm doanh thu, chi phí đã được tính đến trong chỉ tiêu lãi/lỗ của bộ phận</w:t>
      </w:r>
      <w:r w:rsidR="00817B23" w:rsidRPr="00CB2280">
        <w:rPr>
          <w:rFonts w:ascii="Times New Roman" w:hAnsi="Times New Roman" w:cs="Times New Roman"/>
          <w:color w:val="000000" w:themeColor="text1"/>
          <w:sz w:val="24"/>
          <w:szCs w:val="24"/>
        </w:rPr>
        <w:t>, tài sản, công nợ, và cơ sở đo lường đã được báo cáo, như được mô tả ở đoạn 23-27; và</w:t>
      </w:r>
    </w:p>
    <w:p w:rsidR="00817B23" w:rsidRPr="00CB2280" w:rsidRDefault="00817B23"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Đối chiếu tổng doanh thu của bộ phận, lãi hoặc lỗ được báo cáo, tài sản và công nợ của bộ phận và các khoản mục trọng yếu của bộ phận </w:t>
      </w:r>
      <w:r w:rsidR="00CB79AD" w:rsidRPr="00CB2280">
        <w:rPr>
          <w:rFonts w:ascii="Times New Roman" w:hAnsi="Times New Roman" w:cs="Times New Roman"/>
          <w:color w:val="000000" w:themeColor="text1"/>
          <w:sz w:val="24"/>
          <w:szCs w:val="24"/>
        </w:rPr>
        <w:t>tương ứng với các khoản mục của đơn vị như mô tả tr</w:t>
      </w:r>
      <w:r w:rsidR="00FB247D" w:rsidRPr="00CB2280">
        <w:rPr>
          <w:rFonts w:ascii="Times New Roman" w:hAnsi="Times New Roman" w:cs="Times New Roman"/>
          <w:color w:val="000000" w:themeColor="text1"/>
          <w:sz w:val="24"/>
          <w:szCs w:val="24"/>
        </w:rPr>
        <w:t>o</w:t>
      </w:r>
      <w:r w:rsidR="00CB79AD" w:rsidRPr="00CB2280">
        <w:rPr>
          <w:rFonts w:ascii="Times New Roman" w:hAnsi="Times New Roman" w:cs="Times New Roman"/>
          <w:color w:val="000000" w:themeColor="text1"/>
          <w:sz w:val="24"/>
          <w:szCs w:val="24"/>
        </w:rPr>
        <w:t>ng đoạn 28.</w:t>
      </w:r>
    </w:p>
    <w:p w:rsidR="00123CC8" w:rsidRPr="00CB2280" w:rsidRDefault="00123CC8" w:rsidP="00497676">
      <w:pPr>
        <w:autoSpaceDE w:val="0"/>
        <w:autoSpaceDN w:val="0"/>
        <w:adjustRightInd w:val="0"/>
        <w:spacing w:line="360" w:lineRule="auto"/>
        <w:ind w:left="1080"/>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Đối chiếu các khoản trên báo cáo tình hình tài chính của bộ phận báo cáo với các khoản mục tương ứng trên báo cáo tình hình tài chính của </w:t>
      </w:r>
      <w:r w:rsidR="0084089A">
        <w:rPr>
          <w:rFonts w:ascii="Times New Roman" w:hAnsi="Times New Roman" w:cs="Times New Roman"/>
          <w:color w:val="000000" w:themeColor="text1"/>
          <w:sz w:val="24"/>
          <w:szCs w:val="24"/>
        </w:rPr>
        <w:t xml:space="preserve">toàn </w:t>
      </w:r>
      <w:r w:rsidRPr="00CB2280">
        <w:rPr>
          <w:rFonts w:ascii="Times New Roman" w:hAnsi="Times New Roman" w:cs="Times New Roman"/>
          <w:color w:val="000000" w:themeColor="text1"/>
          <w:sz w:val="24"/>
          <w:szCs w:val="24"/>
        </w:rPr>
        <w:t xml:space="preserve">đơn vị cần phải được thực hiện vào thời điểm mà báo cáo tình hình tài chính được trình bày. Thông tin cho các giai đoạn trước đó cần được trình bày lại theo như </w:t>
      </w:r>
      <w:r w:rsidR="0084089A">
        <w:rPr>
          <w:rFonts w:ascii="Times New Roman" w:hAnsi="Times New Roman" w:cs="Times New Roman"/>
          <w:color w:val="000000" w:themeColor="text1"/>
          <w:sz w:val="24"/>
          <w:szCs w:val="24"/>
        </w:rPr>
        <w:t>quy định</w:t>
      </w:r>
      <w:r w:rsidRPr="00CB2280">
        <w:rPr>
          <w:rFonts w:ascii="Times New Roman" w:hAnsi="Times New Roman" w:cs="Times New Roman"/>
          <w:color w:val="000000" w:themeColor="text1"/>
          <w:sz w:val="24"/>
          <w:szCs w:val="24"/>
        </w:rPr>
        <w:t xml:space="preserve"> ở đoạn 29 và 30.</w:t>
      </w:r>
    </w:p>
    <w:p w:rsidR="001768FF" w:rsidRPr="00CB2280" w:rsidRDefault="001768FF" w:rsidP="0084089A">
      <w:pPr>
        <w:autoSpaceDE w:val="0"/>
        <w:autoSpaceDN w:val="0"/>
        <w:adjustRightInd w:val="0"/>
        <w:spacing w:line="360" w:lineRule="auto"/>
        <w:ind w:firstLine="720"/>
        <w:jc w:val="both"/>
        <w:rPr>
          <w:rFonts w:ascii="Times New Roman" w:hAnsi="Times New Roman" w:cs="Times New Roman"/>
          <w:b/>
          <w:bCs/>
          <w:color w:val="000000" w:themeColor="text1"/>
          <w:sz w:val="28"/>
          <w:szCs w:val="28"/>
        </w:rPr>
      </w:pPr>
      <w:r w:rsidRPr="00CB2280">
        <w:rPr>
          <w:rFonts w:ascii="Times New Roman" w:hAnsi="Times New Roman" w:cs="Times New Roman"/>
          <w:b/>
          <w:bCs/>
          <w:color w:val="000000" w:themeColor="text1"/>
          <w:sz w:val="28"/>
          <w:szCs w:val="28"/>
        </w:rPr>
        <w:t>Thông tin chung</w:t>
      </w:r>
    </w:p>
    <w:p w:rsidR="000E0AC5" w:rsidRPr="00CB2280" w:rsidRDefault="001768FF" w:rsidP="00497676">
      <w:pPr>
        <w:pStyle w:val="ListParagraph"/>
        <w:numPr>
          <w:ilvl w:val="0"/>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Một đơn vị sẽ công khai các thông tin dưới đây:</w:t>
      </w:r>
    </w:p>
    <w:p w:rsidR="001768FF" w:rsidRPr="00CB2280" w:rsidRDefault="001768FF"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Các nhân tố được sử dụng để nhận biết các bộ phận báo cáo của đơn vị, bao gồm cơ sở của tổ chức (ví dụ, liệu quản lý được lựa chọn để tổ chức đơn vị </w:t>
      </w:r>
      <w:r w:rsidR="00FB247D" w:rsidRPr="00CB2280">
        <w:rPr>
          <w:rFonts w:ascii="Times New Roman" w:hAnsi="Times New Roman" w:cs="Times New Roman"/>
          <w:color w:val="000000" w:themeColor="text1"/>
          <w:sz w:val="24"/>
          <w:szCs w:val="24"/>
        </w:rPr>
        <w:t>theo</w:t>
      </w:r>
      <w:r w:rsidRPr="00CB2280">
        <w:rPr>
          <w:rFonts w:ascii="Times New Roman" w:hAnsi="Times New Roman" w:cs="Times New Roman"/>
          <w:color w:val="000000" w:themeColor="text1"/>
          <w:sz w:val="24"/>
          <w:szCs w:val="24"/>
        </w:rPr>
        <w:t xml:space="preserve"> sản phẩm và dịch vụ, khu vực địa lý, môi trường pháp lý, hoặc một sự kết hợp các nhân tố và liệu các bộ phận hoạt động có được tổng hợp</w:t>
      </w:r>
      <w:r w:rsidR="0084089A">
        <w:rPr>
          <w:rFonts w:ascii="Times New Roman" w:hAnsi="Times New Roman" w:cs="Times New Roman"/>
          <w:color w:val="000000" w:themeColor="text1"/>
          <w:sz w:val="24"/>
          <w:szCs w:val="24"/>
        </w:rPr>
        <w:t>)</w:t>
      </w:r>
      <w:r w:rsidRPr="00CB2280">
        <w:rPr>
          <w:rFonts w:ascii="Times New Roman" w:hAnsi="Times New Roman" w:cs="Times New Roman"/>
          <w:color w:val="000000" w:themeColor="text1"/>
          <w:sz w:val="24"/>
          <w:szCs w:val="24"/>
        </w:rPr>
        <w:t>.</w:t>
      </w:r>
    </w:p>
    <w:p w:rsidR="00D669C6" w:rsidRPr="00CB2280" w:rsidRDefault="00B4203C" w:rsidP="00497676">
      <w:pPr>
        <w:pStyle w:val="ListParagraph"/>
        <w:numPr>
          <w:ilvl w:val="0"/>
          <w:numId w:val="13"/>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Các đánh giá của quản lý</w:t>
      </w:r>
      <w:r w:rsidR="00265A76" w:rsidRPr="00CB2280">
        <w:rPr>
          <w:rFonts w:ascii="Times New Roman" w:hAnsi="Times New Roman" w:cs="Times New Roman"/>
          <w:color w:val="000000" w:themeColor="text1"/>
          <w:sz w:val="24"/>
          <w:szCs w:val="24"/>
        </w:rPr>
        <w:t xml:space="preserve"> </w:t>
      </w:r>
      <w:r w:rsidR="002E2FCC" w:rsidRPr="00CB2280">
        <w:rPr>
          <w:rFonts w:ascii="Times New Roman" w:hAnsi="Times New Roman" w:cs="Times New Roman"/>
          <w:color w:val="000000" w:themeColor="text1"/>
          <w:sz w:val="24"/>
          <w:szCs w:val="24"/>
        </w:rPr>
        <w:t>trong việc áp dụng tiêu chí tổng hợp</w:t>
      </w:r>
      <w:r w:rsidR="00547985" w:rsidRPr="00CB2280">
        <w:rPr>
          <w:rFonts w:ascii="Times New Roman" w:hAnsi="Times New Roman" w:cs="Times New Roman"/>
          <w:color w:val="000000" w:themeColor="text1"/>
          <w:sz w:val="24"/>
          <w:szCs w:val="24"/>
        </w:rPr>
        <w:t xml:space="preserve"> được </w:t>
      </w:r>
      <w:r w:rsidR="0084089A">
        <w:rPr>
          <w:rFonts w:ascii="Times New Roman" w:hAnsi="Times New Roman" w:cs="Times New Roman"/>
          <w:color w:val="000000" w:themeColor="text1"/>
          <w:sz w:val="24"/>
          <w:szCs w:val="24"/>
        </w:rPr>
        <w:t>quy định</w:t>
      </w:r>
      <w:r w:rsidR="00547985" w:rsidRPr="00CB2280">
        <w:rPr>
          <w:rFonts w:ascii="Times New Roman" w:hAnsi="Times New Roman" w:cs="Times New Roman"/>
          <w:color w:val="000000" w:themeColor="text1"/>
          <w:sz w:val="24"/>
          <w:szCs w:val="24"/>
        </w:rPr>
        <w:t xml:space="preserve"> trong đoạn 12. Điều này bao gồm mô tả ngắn gọn về các bộ phận hoạt động đã được tổng hợp theo cách thức này và các chỉ số kinh tế đã được </w:t>
      </w:r>
      <w:r w:rsidR="000C6277" w:rsidRPr="00CB2280">
        <w:rPr>
          <w:rFonts w:ascii="Times New Roman" w:hAnsi="Times New Roman" w:cs="Times New Roman"/>
          <w:color w:val="000000" w:themeColor="text1"/>
          <w:sz w:val="24"/>
          <w:szCs w:val="24"/>
        </w:rPr>
        <w:t>sử dụng để</w:t>
      </w:r>
      <w:r w:rsidR="00547985" w:rsidRPr="00CB2280">
        <w:rPr>
          <w:rFonts w:ascii="Times New Roman" w:hAnsi="Times New Roman" w:cs="Times New Roman"/>
          <w:color w:val="000000" w:themeColor="text1"/>
          <w:sz w:val="24"/>
          <w:szCs w:val="24"/>
        </w:rPr>
        <w:t xml:space="preserve"> xác định </w:t>
      </w:r>
      <w:r w:rsidR="000C6277" w:rsidRPr="00CB2280">
        <w:rPr>
          <w:rFonts w:ascii="Times New Roman" w:hAnsi="Times New Roman" w:cs="Times New Roman"/>
          <w:color w:val="000000" w:themeColor="text1"/>
          <w:sz w:val="24"/>
          <w:szCs w:val="24"/>
        </w:rPr>
        <w:t xml:space="preserve">rằng các bộ phận hoạt động </w:t>
      </w:r>
      <w:r w:rsidR="00FB247D" w:rsidRPr="00CB2280">
        <w:rPr>
          <w:rFonts w:ascii="Times New Roman" w:hAnsi="Times New Roman" w:cs="Times New Roman"/>
          <w:color w:val="000000" w:themeColor="text1"/>
          <w:sz w:val="24"/>
          <w:szCs w:val="24"/>
        </w:rPr>
        <w:t>có cùng</w:t>
      </w:r>
      <w:r w:rsidR="000C6277" w:rsidRPr="00CB2280">
        <w:rPr>
          <w:rFonts w:ascii="Times New Roman" w:hAnsi="Times New Roman" w:cs="Times New Roman"/>
          <w:color w:val="000000" w:themeColor="text1"/>
          <w:sz w:val="24"/>
          <w:szCs w:val="24"/>
        </w:rPr>
        <w:t xml:space="preserve"> các đặc điểm kinh tế tương tự; và</w:t>
      </w:r>
    </w:p>
    <w:p w:rsidR="00D669C6" w:rsidRPr="00CB2280" w:rsidRDefault="00D45794"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84089A">
        <w:rPr>
          <w:rFonts w:ascii="Times New Roman" w:hAnsi="Times New Roman" w:cs="Times New Roman"/>
          <w:color w:val="000000" w:themeColor="text1"/>
          <w:spacing w:val="-4"/>
          <w:sz w:val="24"/>
          <w:szCs w:val="24"/>
        </w:rPr>
        <w:t xml:space="preserve">Các loại sản phẩm và dịch vụ mà qua đó bộ phận báo cáo </w:t>
      </w:r>
      <w:r w:rsidR="0084089A" w:rsidRPr="0084089A">
        <w:rPr>
          <w:rFonts w:ascii="Times New Roman" w:hAnsi="Times New Roman" w:cs="Times New Roman"/>
          <w:color w:val="000000" w:themeColor="text1"/>
          <w:spacing w:val="-4"/>
          <w:sz w:val="24"/>
          <w:szCs w:val="24"/>
        </w:rPr>
        <w:t xml:space="preserve">có </w:t>
      </w:r>
      <w:r w:rsidRPr="0084089A">
        <w:rPr>
          <w:rFonts w:ascii="Times New Roman" w:hAnsi="Times New Roman" w:cs="Times New Roman"/>
          <w:color w:val="000000" w:themeColor="text1"/>
          <w:spacing w:val="-4"/>
          <w:sz w:val="24"/>
          <w:szCs w:val="24"/>
        </w:rPr>
        <w:t>được doanh thu của mình</w:t>
      </w:r>
      <w:r w:rsidRPr="00CB2280">
        <w:rPr>
          <w:rFonts w:ascii="Times New Roman" w:hAnsi="Times New Roman" w:cs="Times New Roman"/>
          <w:color w:val="000000" w:themeColor="text1"/>
          <w:sz w:val="24"/>
          <w:szCs w:val="24"/>
        </w:rPr>
        <w:t>.</w:t>
      </w:r>
    </w:p>
    <w:p w:rsidR="00253921" w:rsidRPr="00CB2280" w:rsidRDefault="00253921" w:rsidP="0084089A">
      <w:pPr>
        <w:autoSpaceDE w:val="0"/>
        <w:autoSpaceDN w:val="0"/>
        <w:adjustRightInd w:val="0"/>
        <w:spacing w:line="360" w:lineRule="auto"/>
        <w:ind w:left="720" w:firstLine="360"/>
        <w:jc w:val="both"/>
        <w:rPr>
          <w:rFonts w:ascii="Times New Roman" w:hAnsi="Times New Roman" w:cs="Times New Roman"/>
          <w:b/>
          <w:bCs/>
          <w:color w:val="000000" w:themeColor="text1"/>
          <w:sz w:val="28"/>
          <w:szCs w:val="28"/>
        </w:rPr>
      </w:pPr>
      <w:r w:rsidRPr="00CB2280">
        <w:rPr>
          <w:rFonts w:ascii="Times New Roman" w:hAnsi="Times New Roman" w:cs="Times New Roman"/>
          <w:b/>
          <w:bCs/>
          <w:color w:val="000000" w:themeColor="text1"/>
          <w:sz w:val="28"/>
          <w:szCs w:val="28"/>
        </w:rPr>
        <w:t>Thông tin về lãi hoặc lỗ, tài sản và công nợ</w:t>
      </w:r>
    </w:p>
    <w:p w:rsidR="001768FF" w:rsidRPr="00CB2280" w:rsidRDefault="000E5893" w:rsidP="00497676">
      <w:pPr>
        <w:pStyle w:val="ListParagraph"/>
        <w:numPr>
          <w:ilvl w:val="0"/>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Một đơn vị sẽ </w:t>
      </w:r>
      <w:r w:rsidR="00BD060C" w:rsidRPr="00CB2280">
        <w:rPr>
          <w:rFonts w:ascii="Times New Roman" w:hAnsi="Times New Roman" w:cs="Times New Roman"/>
          <w:color w:val="000000" w:themeColor="text1"/>
          <w:sz w:val="24"/>
          <w:szCs w:val="24"/>
        </w:rPr>
        <w:t>trình bày</w:t>
      </w:r>
      <w:r w:rsidRPr="00CB2280">
        <w:rPr>
          <w:rFonts w:ascii="Times New Roman" w:hAnsi="Times New Roman" w:cs="Times New Roman"/>
          <w:color w:val="000000" w:themeColor="text1"/>
          <w:sz w:val="24"/>
          <w:szCs w:val="24"/>
        </w:rPr>
        <w:t xml:space="preserve"> chỉ tiêu lãi hoặc lỗ</w:t>
      </w:r>
      <w:r w:rsidR="00704126" w:rsidRPr="00CB2280">
        <w:rPr>
          <w:rFonts w:ascii="Times New Roman" w:hAnsi="Times New Roman" w:cs="Times New Roman"/>
          <w:color w:val="000000" w:themeColor="text1"/>
          <w:sz w:val="24"/>
          <w:szCs w:val="24"/>
        </w:rPr>
        <w:t xml:space="preserve"> cho từng bộ phận báo cáo. Một đơn vị sẽ </w:t>
      </w:r>
      <w:r w:rsidR="00BD060C" w:rsidRPr="00CB2280">
        <w:rPr>
          <w:rFonts w:ascii="Times New Roman" w:hAnsi="Times New Roman" w:cs="Times New Roman"/>
          <w:color w:val="000000" w:themeColor="text1"/>
          <w:sz w:val="24"/>
          <w:szCs w:val="24"/>
        </w:rPr>
        <w:t>công khai</w:t>
      </w:r>
      <w:r w:rsidR="00704126" w:rsidRPr="00CB2280">
        <w:rPr>
          <w:rFonts w:ascii="Times New Roman" w:hAnsi="Times New Roman" w:cs="Times New Roman"/>
          <w:color w:val="000000" w:themeColor="text1"/>
          <w:sz w:val="24"/>
          <w:szCs w:val="24"/>
        </w:rPr>
        <w:t xml:space="preserve"> chỉ tiêu tổng tài sản và công nợ cho từng bộ phận báo cáo nếu các khoản đó được cung cấp định kỳ cho </w:t>
      </w:r>
      <w:r w:rsidR="00FB247D" w:rsidRPr="00CB2280">
        <w:rPr>
          <w:rFonts w:ascii="Times New Roman" w:hAnsi="Times New Roman" w:cs="Times New Roman"/>
          <w:color w:val="000000" w:themeColor="text1"/>
          <w:sz w:val="24"/>
          <w:szCs w:val="24"/>
        </w:rPr>
        <w:t>Người điều hành</w:t>
      </w:r>
      <w:r w:rsidR="00704126" w:rsidRPr="00CB2280">
        <w:rPr>
          <w:rFonts w:ascii="Times New Roman" w:hAnsi="Times New Roman" w:cs="Times New Roman"/>
          <w:color w:val="000000" w:themeColor="text1"/>
          <w:sz w:val="24"/>
          <w:szCs w:val="24"/>
        </w:rPr>
        <w:t xml:space="preserve">. Một đơn vị cũng sẽ công khai các khoản dưới đây về từng bộ phận báo cáo nếu các khoản </w:t>
      </w:r>
      <w:r w:rsidR="00BD060C" w:rsidRPr="00CB2280">
        <w:rPr>
          <w:rFonts w:ascii="Times New Roman" w:hAnsi="Times New Roman" w:cs="Times New Roman"/>
          <w:color w:val="000000" w:themeColor="text1"/>
          <w:sz w:val="24"/>
          <w:szCs w:val="24"/>
        </w:rPr>
        <w:t xml:space="preserve">mục </w:t>
      </w:r>
      <w:r w:rsidR="00704126" w:rsidRPr="00CB2280">
        <w:rPr>
          <w:rFonts w:ascii="Times New Roman" w:hAnsi="Times New Roman" w:cs="Times New Roman"/>
          <w:color w:val="000000" w:themeColor="text1"/>
          <w:sz w:val="24"/>
          <w:szCs w:val="24"/>
        </w:rPr>
        <w:t xml:space="preserve">cụ thể được </w:t>
      </w:r>
      <w:r w:rsidR="00BD060C" w:rsidRPr="00CB2280">
        <w:rPr>
          <w:rFonts w:ascii="Times New Roman" w:hAnsi="Times New Roman" w:cs="Times New Roman"/>
          <w:color w:val="000000" w:themeColor="text1"/>
          <w:sz w:val="24"/>
          <w:szCs w:val="24"/>
        </w:rPr>
        <w:t xml:space="preserve">sử dụng để </w:t>
      </w:r>
      <w:r w:rsidR="00FB247D" w:rsidRPr="00CB2280">
        <w:rPr>
          <w:rFonts w:ascii="Times New Roman" w:hAnsi="Times New Roman" w:cs="Times New Roman"/>
          <w:color w:val="000000" w:themeColor="text1"/>
          <w:sz w:val="24"/>
          <w:szCs w:val="24"/>
        </w:rPr>
        <w:t>xác định</w:t>
      </w:r>
      <w:r w:rsidR="00704126" w:rsidRPr="00CB2280">
        <w:rPr>
          <w:rFonts w:ascii="Times New Roman" w:hAnsi="Times New Roman" w:cs="Times New Roman"/>
          <w:color w:val="000000" w:themeColor="text1"/>
          <w:sz w:val="24"/>
          <w:szCs w:val="24"/>
        </w:rPr>
        <w:t xml:space="preserve"> lãi hoặc lỗ của bộ phận </w:t>
      </w:r>
      <w:r w:rsidR="00BD060C" w:rsidRPr="00CB2280">
        <w:rPr>
          <w:rFonts w:ascii="Times New Roman" w:hAnsi="Times New Roman" w:cs="Times New Roman"/>
          <w:color w:val="000000" w:themeColor="text1"/>
          <w:sz w:val="24"/>
          <w:szCs w:val="24"/>
        </w:rPr>
        <w:t>và được</w:t>
      </w:r>
      <w:r w:rsidR="00704126" w:rsidRPr="00CB2280">
        <w:rPr>
          <w:rFonts w:ascii="Times New Roman" w:hAnsi="Times New Roman" w:cs="Times New Roman"/>
          <w:color w:val="000000" w:themeColor="text1"/>
          <w:sz w:val="24"/>
          <w:szCs w:val="24"/>
        </w:rPr>
        <w:t xml:space="preserve"> </w:t>
      </w:r>
      <w:r w:rsidR="00FB247D" w:rsidRPr="00CB2280">
        <w:rPr>
          <w:rFonts w:ascii="Times New Roman" w:hAnsi="Times New Roman" w:cs="Times New Roman"/>
          <w:color w:val="000000" w:themeColor="text1"/>
          <w:sz w:val="24"/>
          <w:szCs w:val="24"/>
        </w:rPr>
        <w:t>Người điều hành</w:t>
      </w:r>
      <w:r w:rsidR="00704126" w:rsidRPr="00CB2280">
        <w:rPr>
          <w:rFonts w:ascii="Times New Roman" w:hAnsi="Times New Roman" w:cs="Times New Roman"/>
          <w:color w:val="000000" w:themeColor="text1"/>
          <w:sz w:val="24"/>
          <w:szCs w:val="24"/>
        </w:rPr>
        <w:t xml:space="preserve"> đánh giá, hoặc </w:t>
      </w:r>
      <w:r w:rsidR="00BD060C" w:rsidRPr="00CB2280">
        <w:rPr>
          <w:rFonts w:ascii="Times New Roman" w:hAnsi="Times New Roman" w:cs="Times New Roman"/>
          <w:color w:val="000000" w:themeColor="text1"/>
          <w:sz w:val="24"/>
          <w:szCs w:val="24"/>
        </w:rPr>
        <w:t xml:space="preserve">nếu không sẽ cung cấp định </w:t>
      </w:r>
      <w:r w:rsidR="00BD060C" w:rsidRPr="00CB2280">
        <w:rPr>
          <w:rFonts w:ascii="Times New Roman" w:hAnsi="Times New Roman" w:cs="Times New Roman"/>
          <w:color w:val="000000" w:themeColor="text1"/>
          <w:sz w:val="24"/>
          <w:szCs w:val="24"/>
        </w:rPr>
        <w:lastRenderedPageBreak/>
        <w:t xml:space="preserve">kỳ cho </w:t>
      </w:r>
      <w:r w:rsidR="0035037E" w:rsidRPr="00CB2280">
        <w:rPr>
          <w:rFonts w:ascii="Times New Roman" w:hAnsi="Times New Roman" w:cs="Times New Roman"/>
          <w:color w:val="000000" w:themeColor="text1"/>
          <w:sz w:val="24"/>
          <w:szCs w:val="24"/>
        </w:rPr>
        <w:t>Người điều hành</w:t>
      </w:r>
      <w:r w:rsidR="00BD060C" w:rsidRPr="00CB2280">
        <w:rPr>
          <w:rFonts w:ascii="Times New Roman" w:hAnsi="Times New Roman" w:cs="Times New Roman"/>
          <w:color w:val="000000" w:themeColor="text1"/>
          <w:sz w:val="24"/>
          <w:szCs w:val="24"/>
        </w:rPr>
        <w:t>, ngay cả khi không bao gồm trong chỉ tiêu đo lường lãi hoặc lỗ của bộ phận</w:t>
      </w:r>
      <w:r w:rsidR="00A66187" w:rsidRPr="00CB2280">
        <w:rPr>
          <w:rFonts w:ascii="Times New Roman" w:hAnsi="Times New Roman" w:cs="Times New Roman"/>
          <w:color w:val="000000" w:themeColor="text1"/>
          <w:sz w:val="24"/>
          <w:szCs w:val="24"/>
        </w:rPr>
        <w:t xml:space="preserve"> đó</w:t>
      </w:r>
      <w:r w:rsidR="00BD060C" w:rsidRPr="00CB2280">
        <w:rPr>
          <w:rFonts w:ascii="Times New Roman" w:hAnsi="Times New Roman" w:cs="Times New Roman"/>
          <w:color w:val="000000" w:themeColor="text1"/>
          <w:sz w:val="24"/>
          <w:szCs w:val="24"/>
        </w:rPr>
        <w:t>.</w:t>
      </w:r>
    </w:p>
    <w:p w:rsidR="00A66187" w:rsidRPr="00CB2280" w:rsidRDefault="00A66187"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Doanh thu từ các khách hàng bên ngoài</w:t>
      </w:r>
    </w:p>
    <w:p w:rsidR="00A66187" w:rsidRPr="00CB2280" w:rsidRDefault="00A66187"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Doanh thu từ những giao dịch với các bộ phận hoạt động khác trong cùng đơn vị.</w:t>
      </w:r>
    </w:p>
    <w:p w:rsidR="00A66187" w:rsidRPr="00CB2280" w:rsidRDefault="00A66187"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Doanh thu tiền lãi</w:t>
      </w:r>
    </w:p>
    <w:p w:rsidR="00A66187" w:rsidRPr="00CB2280" w:rsidRDefault="00A66187"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Chi phí lãi vay</w:t>
      </w:r>
    </w:p>
    <w:p w:rsidR="00A66187" w:rsidRPr="00CB2280" w:rsidRDefault="00A66187"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Chi phí khấu hao TSCĐ hữu hình và </w:t>
      </w:r>
      <w:r w:rsidR="00FB247D" w:rsidRPr="00CB2280">
        <w:rPr>
          <w:rFonts w:ascii="Times New Roman" w:hAnsi="Times New Roman" w:cs="Times New Roman"/>
          <w:color w:val="000000" w:themeColor="text1"/>
          <w:sz w:val="24"/>
          <w:szCs w:val="24"/>
        </w:rPr>
        <w:t>v</w:t>
      </w:r>
      <w:r w:rsidRPr="00CB2280">
        <w:rPr>
          <w:rFonts w:ascii="Times New Roman" w:hAnsi="Times New Roman" w:cs="Times New Roman"/>
          <w:color w:val="000000" w:themeColor="text1"/>
          <w:sz w:val="24"/>
          <w:szCs w:val="24"/>
        </w:rPr>
        <w:t>ô hình</w:t>
      </w:r>
    </w:p>
    <w:p w:rsidR="00A66187" w:rsidRPr="00CB2280" w:rsidRDefault="00A66187"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Các khoản thu nhập và chi phí trọng yếu trình bày theo đoạn 97 của IAS 1, Trình bày báo cáo tài chính (theo bản được chỉnh sửa năm 2007).</w:t>
      </w:r>
    </w:p>
    <w:p w:rsidR="00A66187" w:rsidRPr="00CB2280" w:rsidRDefault="00A66187"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Phần lợi ích của đơn vị trong lãi hoặc lỗ của đơn vị trong liên doanh, liên kết được xác định theo phương pháp vốn chủ sở hữu.</w:t>
      </w:r>
    </w:p>
    <w:p w:rsidR="00A66187" w:rsidRPr="00CB2280" w:rsidRDefault="00A66187"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Chi phí thuế thu nhập doanh nghiệp hoặc thu nhập; và</w:t>
      </w:r>
    </w:p>
    <w:p w:rsidR="00A66187" w:rsidRPr="00CB2280" w:rsidRDefault="00A66187"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Các khoản mục phi tiền tệ trọng yếu ngoài khấu hao TSCĐ hữu hình và vô hình.</w:t>
      </w:r>
    </w:p>
    <w:p w:rsidR="00BD5539" w:rsidRPr="00CB2280" w:rsidRDefault="00BD5539" w:rsidP="00497676">
      <w:pPr>
        <w:pStyle w:val="ListParagraph"/>
        <w:autoSpaceDE w:val="0"/>
        <w:autoSpaceDN w:val="0"/>
        <w:adjustRightInd w:val="0"/>
        <w:spacing w:line="360" w:lineRule="auto"/>
        <w:ind w:left="1440"/>
        <w:jc w:val="both"/>
        <w:rPr>
          <w:rFonts w:ascii="Times New Roman" w:hAnsi="Times New Roman" w:cs="Times New Roman"/>
          <w:color w:val="000000" w:themeColor="text1"/>
          <w:sz w:val="24"/>
          <w:szCs w:val="24"/>
        </w:rPr>
      </w:pPr>
    </w:p>
    <w:p w:rsidR="00FF56F3" w:rsidRPr="00CB2280" w:rsidRDefault="00A66187" w:rsidP="00497676">
      <w:pPr>
        <w:autoSpaceDE w:val="0"/>
        <w:autoSpaceDN w:val="0"/>
        <w:adjustRightInd w:val="0"/>
        <w:spacing w:line="360" w:lineRule="auto"/>
        <w:ind w:left="720"/>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Một đơn vị sẽ báo cáo doanh thu </w:t>
      </w:r>
      <w:r w:rsidR="00FB247D" w:rsidRPr="00CB2280">
        <w:rPr>
          <w:rFonts w:ascii="Times New Roman" w:hAnsi="Times New Roman" w:cs="Times New Roman"/>
          <w:color w:val="000000" w:themeColor="text1"/>
          <w:sz w:val="24"/>
          <w:szCs w:val="24"/>
        </w:rPr>
        <w:t>tách biệt</w:t>
      </w:r>
      <w:r w:rsidRPr="00CB2280">
        <w:rPr>
          <w:rFonts w:ascii="Times New Roman" w:hAnsi="Times New Roman" w:cs="Times New Roman"/>
          <w:color w:val="000000" w:themeColor="text1"/>
          <w:sz w:val="24"/>
          <w:szCs w:val="24"/>
        </w:rPr>
        <w:t xml:space="preserve"> với chi phí lãi vay cho mỗi </w:t>
      </w:r>
      <w:r w:rsidR="00FB247D" w:rsidRPr="00CB2280">
        <w:rPr>
          <w:rFonts w:ascii="Times New Roman" w:hAnsi="Times New Roman" w:cs="Times New Roman"/>
          <w:color w:val="000000" w:themeColor="text1"/>
          <w:sz w:val="24"/>
          <w:szCs w:val="24"/>
        </w:rPr>
        <w:t>bộ phận</w:t>
      </w:r>
      <w:r w:rsidRPr="00CB2280">
        <w:rPr>
          <w:rFonts w:ascii="Times New Roman" w:hAnsi="Times New Roman" w:cs="Times New Roman"/>
          <w:color w:val="000000" w:themeColor="text1"/>
          <w:sz w:val="24"/>
          <w:szCs w:val="24"/>
        </w:rPr>
        <w:t xml:space="preserve"> báo cáo trừ khi phần lớn doanh thu của bộ phận đến từ khoản lãi tiền gửi </w:t>
      </w:r>
      <w:r w:rsidR="00FB247D" w:rsidRPr="00CB2280">
        <w:rPr>
          <w:rFonts w:ascii="Times New Roman" w:hAnsi="Times New Roman" w:cs="Times New Roman"/>
          <w:color w:val="000000" w:themeColor="text1"/>
          <w:sz w:val="24"/>
          <w:szCs w:val="24"/>
        </w:rPr>
        <w:t xml:space="preserve">Người điều hành </w:t>
      </w:r>
      <w:r w:rsidR="007C3E9A" w:rsidRPr="00CB2280">
        <w:rPr>
          <w:rFonts w:ascii="Times New Roman" w:hAnsi="Times New Roman" w:cs="Times New Roman"/>
          <w:color w:val="000000" w:themeColor="text1"/>
          <w:sz w:val="24"/>
          <w:szCs w:val="24"/>
        </w:rPr>
        <w:t xml:space="preserve">dựa chủ </w:t>
      </w:r>
      <w:r w:rsidR="00FB247D" w:rsidRPr="00CB2280">
        <w:rPr>
          <w:rFonts w:ascii="Times New Roman" w:hAnsi="Times New Roman" w:cs="Times New Roman"/>
          <w:color w:val="000000" w:themeColor="text1"/>
          <w:sz w:val="24"/>
          <w:szCs w:val="24"/>
        </w:rPr>
        <w:t xml:space="preserve">yếu </w:t>
      </w:r>
      <w:r w:rsidR="007C3E9A" w:rsidRPr="00CB2280">
        <w:rPr>
          <w:rFonts w:ascii="Times New Roman" w:hAnsi="Times New Roman" w:cs="Times New Roman"/>
          <w:color w:val="000000" w:themeColor="text1"/>
          <w:sz w:val="24"/>
          <w:szCs w:val="24"/>
        </w:rPr>
        <w:t xml:space="preserve">vào doanh thu thuần lãi tiền gửi để đánh giá hiệu quả hoạt động của bộ phận và ra quyết định về phân bổ </w:t>
      </w:r>
      <w:r w:rsidR="00FB247D" w:rsidRPr="00CB2280">
        <w:rPr>
          <w:rFonts w:ascii="Times New Roman" w:hAnsi="Times New Roman" w:cs="Times New Roman"/>
          <w:color w:val="000000" w:themeColor="text1"/>
          <w:sz w:val="24"/>
          <w:szCs w:val="24"/>
        </w:rPr>
        <w:t xml:space="preserve">nguồn lực </w:t>
      </w:r>
      <w:r w:rsidR="007C3E9A" w:rsidRPr="00CB2280">
        <w:rPr>
          <w:rFonts w:ascii="Times New Roman" w:hAnsi="Times New Roman" w:cs="Times New Roman"/>
          <w:color w:val="000000" w:themeColor="text1"/>
          <w:sz w:val="24"/>
          <w:szCs w:val="24"/>
        </w:rPr>
        <w:t xml:space="preserve">cho bộ phận. Trong tình huống đó, một bộ phận sẽ báo cáo doanh thu lãi tiền gửi thuần (trừ chi phí lãi vay) và công khai rằng </w:t>
      </w:r>
      <w:r w:rsidR="00BD5539" w:rsidRPr="00CB2280">
        <w:rPr>
          <w:rFonts w:ascii="Times New Roman" w:hAnsi="Times New Roman" w:cs="Times New Roman"/>
          <w:color w:val="000000" w:themeColor="text1"/>
          <w:sz w:val="24"/>
          <w:szCs w:val="24"/>
        </w:rPr>
        <w:t>đơn vị</w:t>
      </w:r>
      <w:r w:rsidR="007C3E9A" w:rsidRPr="00CB2280">
        <w:rPr>
          <w:rFonts w:ascii="Times New Roman" w:hAnsi="Times New Roman" w:cs="Times New Roman"/>
          <w:color w:val="000000" w:themeColor="text1"/>
          <w:sz w:val="24"/>
          <w:szCs w:val="24"/>
        </w:rPr>
        <w:t xml:space="preserve"> đã làm như vậy.</w:t>
      </w:r>
    </w:p>
    <w:p w:rsidR="00BD5539" w:rsidRPr="00CB2280" w:rsidRDefault="00BD5539" w:rsidP="00497676">
      <w:pPr>
        <w:pStyle w:val="ListParagraph"/>
        <w:numPr>
          <w:ilvl w:val="0"/>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Một đơn vị sẽ </w:t>
      </w:r>
      <w:r w:rsidR="004C26E8" w:rsidRPr="00CB2280">
        <w:rPr>
          <w:rFonts w:ascii="Times New Roman" w:hAnsi="Times New Roman" w:cs="Times New Roman"/>
          <w:color w:val="000000" w:themeColor="text1"/>
          <w:sz w:val="24"/>
          <w:szCs w:val="24"/>
        </w:rPr>
        <w:t>c</w:t>
      </w:r>
      <w:r w:rsidRPr="00CB2280">
        <w:rPr>
          <w:rFonts w:ascii="Times New Roman" w:hAnsi="Times New Roman" w:cs="Times New Roman"/>
          <w:color w:val="000000" w:themeColor="text1"/>
          <w:sz w:val="24"/>
          <w:szCs w:val="24"/>
        </w:rPr>
        <w:t xml:space="preserve">ông khai các khoản sau về từng bộ phận báo cáo nếu các khoản cụ thể được tính đến khi đo lường tài sản của bộ phận và được đánh giá bởi </w:t>
      </w:r>
      <w:r w:rsidR="004C26E8" w:rsidRPr="00CB2280">
        <w:rPr>
          <w:rFonts w:ascii="Times New Roman" w:hAnsi="Times New Roman" w:cs="Times New Roman"/>
          <w:color w:val="000000" w:themeColor="text1"/>
          <w:sz w:val="24"/>
          <w:szCs w:val="24"/>
        </w:rPr>
        <w:t>Người điều hành</w:t>
      </w:r>
      <w:r w:rsidRPr="00CB2280">
        <w:rPr>
          <w:rFonts w:ascii="Times New Roman" w:hAnsi="Times New Roman" w:cs="Times New Roman"/>
          <w:color w:val="000000" w:themeColor="text1"/>
          <w:sz w:val="24"/>
          <w:szCs w:val="24"/>
        </w:rPr>
        <w:t xml:space="preserve">, hoặc nếu không sẽ cung cấp định kỳ cho </w:t>
      </w:r>
      <w:r w:rsidR="004C26E8" w:rsidRPr="00CB2280">
        <w:rPr>
          <w:rFonts w:ascii="Times New Roman" w:hAnsi="Times New Roman" w:cs="Times New Roman"/>
          <w:color w:val="000000" w:themeColor="text1"/>
          <w:sz w:val="24"/>
          <w:szCs w:val="24"/>
        </w:rPr>
        <w:t>Người điều hành</w:t>
      </w:r>
      <w:r w:rsidRPr="00CB2280">
        <w:rPr>
          <w:rFonts w:ascii="Times New Roman" w:hAnsi="Times New Roman" w:cs="Times New Roman"/>
          <w:color w:val="000000" w:themeColor="text1"/>
          <w:sz w:val="24"/>
          <w:szCs w:val="24"/>
        </w:rPr>
        <w:t xml:space="preserve">, ngay cả khi không bao gồm trong chỉ tiêu </w:t>
      </w:r>
      <w:r w:rsidR="004C6845" w:rsidRPr="00CB2280">
        <w:rPr>
          <w:rFonts w:ascii="Times New Roman" w:hAnsi="Times New Roman" w:cs="Times New Roman"/>
          <w:color w:val="000000" w:themeColor="text1"/>
          <w:sz w:val="24"/>
          <w:szCs w:val="24"/>
        </w:rPr>
        <w:t>tài sản</w:t>
      </w:r>
      <w:r w:rsidRPr="00CB2280">
        <w:rPr>
          <w:rFonts w:ascii="Times New Roman" w:hAnsi="Times New Roman" w:cs="Times New Roman"/>
          <w:color w:val="000000" w:themeColor="text1"/>
          <w:sz w:val="24"/>
          <w:szCs w:val="24"/>
        </w:rPr>
        <w:t xml:space="preserve"> của bộ phận đó</w:t>
      </w:r>
      <w:r w:rsidR="004C6845" w:rsidRPr="00CB2280">
        <w:rPr>
          <w:rFonts w:ascii="Times New Roman" w:hAnsi="Times New Roman" w:cs="Times New Roman"/>
          <w:color w:val="000000" w:themeColor="text1"/>
          <w:sz w:val="24"/>
          <w:szCs w:val="24"/>
        </w:rPr>
        <w:t>:</w:t>
      </w:r>
    </w:p>
    <w:p w:rsidR="004C6845" w:rsidRPr="00CB2280" w:rsidRDefault="004C6845"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Giá trị khoản đầu tư trong đơn vị liên doanh, liên kết xác định bằng phương pháp vốn chủ sở hữu, và</w:t>
      </w:r>
    </w:p>
    <w:p w:rsidR="004C6845" w:rsidRPr="00CB2280" w:rsidRDefault="004C6845"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lastRenderedPageBreak/>
        <w:t xml:space="preserve">Giá trị các khoản </w:t>
      </w:r>
      <w:r w:rsidR="003D37FD" w:rsidRPr="00CB2280">
        <w:rPr>
          <w:rFonts w:ascii="Times New Roman" w:hAnsi="Times New Roman" w:cs="Times New Roman"/>
          <w:color w:val="000000" w:themeColor="text1"/>
          <w:sz w:val="24"/>
          <w:szCs w:val="24"/>
        </w:rPr>
        <w:t>bổ sung vào tài sản dài hạn</w:t>
      </w:r>
      <w:r w:rsidR="003D37FD" w:rsidRPr="00CB2280">
        <w:rPr>
          <w:rStyle w:val="FootnoteReference"/>
          <w:rFonts w:ascii="Times New Roman" w:hAnsi="Times New Roman" w:cs="Times New Roman"/>
          <w:color w:val="000000" w:themeColor="text1"/>
          <w:sz w:val="24"/>
          <w:szCs w:val="24"/>
        </w:rPr>
        <w:footnoteReference w:id="2"/>
      </w:r>
      <w:r w:rsidR="003D37FD" w:rsidRPr="00CB2280">
        <w:rPr>
          <w:rFonts w:ascii="Times New Roman" w:hAnsi="Times New Roman" w:cs="Times New Roman"/>
          <w:color w:val="000000" w:themeColor="text1"/>
          <w:sz w:val="24"/>
          <w:szCs w:val="24"/>
        </w:rPr>
        <w:t xml:space="preserve"> ngoài các công cụ tài chính, tài sản thuế thu nhập hoãn lãi, tài sản lợi ích xác định thuần (xem IAS lợi ích của người lao động) và các quyền phát sinh theo các hợp đồng bảo hiểm.</w:t>
      </w:r>
    </w:p>
    <w:p w:rsidR="005E58EE" w:rsidRPr="00CB2280" w:rsidRDefault="007914E8" w:rsidP="00497676">
      <w:pPr>
        <w:autoSpaceDE w:val="0"/>
        <w:autoSpaceDN w:val="0"/>
        <w:adjustRightInd w:val="0"/>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rPr>
        <w:pict>
          <v:line id="Straight Connector 10" o:spid="_x0000_s1032" style="position:absolute;left:0;text-align:left;z-index:251670528;visibility:visible" from="1.5pt,20.9pt" to="465.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" strokecolor="black [3200]" strokeweight=".5pt">
            <v:stroke joinstyle="miter"/>
          </v:line>
        </w:pict>
      </w:r>
      <w:r w:rsidR="005E58EE" w:rsidRPr="00CB2280">
        <w:rPr>
          <w:rFonts w:ascii="Times New Roman" w:hAnsi="Times New Roman" w:cs="Times New Roman"/>
          <w:b/>
          <w:bCs/>
          <w:color w:val="000000" w:themeColor="text1"/>
          <w:sz w:val="28"/>
          <w:szCs w:val="28"/>
        </w:rPr>
        <w:t>Đo lường và đánh giá</w:t>
      </w:r>
    </w:p>
    <w:p w:rsidR="004C6845" w:rsidRPr="00CB2280" w:rsidRDefault="003747B5" w:rsidP="00497676">
      <w:pPr>
        <w:pStyle w:val="ListParagraph"/>
        <w:numPr>
          <w:ilvl w:val="0"/>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Số lượng khoản mục mỗi bộ phận báo cáo sẽ là chỉ tiêu </w:t>
      </w:r>
      <w:r w:rsidR="004C26E8" w:rsidRPr="00CB2280">
        <w:rPr>
          <w:rFonts w:ascii="Times New Roman" w:hAnsi="Times New Roman" w:cs="Times New Roman"/>
          <w:color w:val="000000" w:themeColor="text1"/>
          <w:sz w:val="24"/>
          <w:szCs w:val="24"/>
        </w:rPr>
        <w:t>sử dụng</w:t>
      </w:r>
      <w:r w:rsidRPr="00CB2280">
        <w:rPr>
          <w:rFonts w:ascii="Times New Roman" w:hAnsi="Times New Roman" w:cs="Times New Roman"/>
          <w:color w:val="000000" w:themeColor="text1"/>
          <w:sz w:val="24"/>
          <w:szCs w:val="24"/>
        </w:rPr>
        <w:t xml:space="preserve"> cho </w:t>
      </w:r>
      <w:r w:rsidR="004C26E8" w:rsidRPr="00CB2280">
        <w:rPr>
          <w:rFonts w:ascii="Times New Roman" w:hAnsi="Times New Roman" w:cs="Times New Roman"/>
          <w:color w:val="000000" w:themeColor="text1"/>
          <w:sz w:val="24"/>
          <w:szCs w:val="24"/>
        </w:rPr>
        <w:t>Người điều hành</w:t>
      </w:r>
      <w:r w:rsidRPr="00CB2280">
        <w:rPr>
          <w:rFonts w:ascii="Times New Roman" w:hAnsi="Times New Roman" w:cs="Times New Roman"/>
          <w:color w:val="000000" w:themeColor="text1"/>
          <w:sz w:val="24"/>
          <w:szCs w:val="24"/>
        </w:rPr>
        <w:t xml:space="preserve"> </w:t>
      </w:r>
      <w:r w:rsidR="004C26E8" w:rsidRPr="00CB2280">
        <w:rPr>
          <w:rFonts w:ascii="Times New Roman" w:hAnsi="Times New Roman" w:cs="Times New Roman"/>
          <w:color w:val="000000" w:themeColor="text1"/>
          <w:sz w:val="24"/>
          <w:szCs w:val="24"/>
        </w:rPr>
        <w:t>nhằm</w:t>
      </w:r>
      <w:r w:rsidRPr="00CB2280">
        <w:rPr>
          <w:rFonts w:ascii="Times New Roman" w:hAnsi="Times New Roman" w:cs="Times New Roman"/>
          <w:color w:val="000000" w:themeColor="text1"/>
          <w:sz w:val="24"/>
          <w:szCs w:val="24"/>
        </w:rPr>
        <w:t xml:space="preserve"> quyết định phân bổ nguồn lực cho bộ phận và đánh giá hiệu quả hoạt động. </w:t>
      </w:r>
      <w:r w:rsidR="004C26E8" w:rsidRPr="00CB2280">
        <w:rPr>
          <w:rFonts w:ascii="Times New Roman" w:hAnsi="Times New Roman" w:cs="Times New Roman"/>
          <w:color w:val="000000" w:themeColor="text1"/>
          <w:sz w:val="24"/>
          <w:szCs w:val="24"/>
        </w:rPr>
        <w:t>Các khoản đ</w:t>
      </w:r>
      <w:r w:rsidRPr="00CB2280">
        <w:rPr>
          <w:rFonts w:ascii="Times New Roman" w:hAnsi="Times New Roman" w:cs="Times New Roman"/>
          <w:color w:val="000000" w:themeColor="text1"/>
          <w:sz w:val="24"/>
          <w:szCs w:val="24"/>
        </w:rPr>
        <w:t xml:space="preserve">iều chỉnh và loại </w:t>
      </w:r>
      <w:r w:rsidR="004C26E8" w:rsidRPr="00CB2280">
        <w:rPr>
          <w:rFonts w:ascii="Times New Roman" w:hAnsi="Times New Roman" w:cs="Times New Roman"/>
          <w:color w:val="000000" w:themeColor="text1"/>
          <w:sz w:val="24"/>
          <w:szCs w:val="24"/>
        </w:rPr>
        <w:t xml:space="preserve">trừ được </w:t>
      </w:r>
      <w:r w:rsidRPr="00CB2280">
        <w:rPr>
          <w:rFonts w:ascii="Times New Roman" w:hAnsi="Times New Roman" w:cs="Times New Roman"/>
          <w:color w:val="000000" w:themeColor="text1"/>
          <w:sz w:val="24"/>
          <w:szCs w:val="24"/>
        </w:rPr>
        <w:t xml:space="preserve">thực hiện </w:t>
      </w:r>
      <w:r w:rsidR="004C26E8" w:rsidRPr="00CB2280">
        <w:rPr>
          <w:rFonts w:ascii="Times New Roman" w:hAnsi="Times New Roman" w:cs="Times New Roman"/>
          <w:color w:val="000000" w:themeColor="text1"/>
          <w:sz w:val="24"/>
          <w:szCs w:val="24"/>
        </w:rPr>
        <w:t>khi</w:t>
      </w:r>
      <w:r w:rsidRPr="00CB2280">
        <w:rPr>
          <w:rFonts w:ascii="Times New Roman" w:hAnsi="Times New Roman" w:cs="Times New Roman"/>
          <w:color w:val="000000" w:themeColor="text1"/>
          <w:sz w:val="24"/>
          <w:szCs w:val="24"/>
        </w:rPr>
        <w:t xml:space="preserve"> lập </w:t>
      </w:r>
      <w:r w:rsidR="00B2013D" w:rsidRPr="00CB2280">
        <w:rPr>
          <w:rFonts w:ascii="Times New Roman" w:hAnsi="Times New Roman" w:cs="Times New Roman"/>
          <w:color w:val="000000" w:themeColor="text1"/>
          <w:sz w:val="24"/>
          <w:szCs w:val="24"/>
        </w:rPr>
        <w:t xml:space="preserve">báo cáo tài chính của bộ phận và </w:t>
      </w:r>
      <w:r w:rsidR="00BB3E5D" w:rsidRPr="00CB2280">
        <w:rPr>
          <w:rFonts w:ascii="Times New Roman" w:hAnsi="Times New Roman" w:cs="Times New Roman"/>
          <w:color w:val="000000" w:themeColor="text1"/>
          <w:sz w:val="24"/>
          <w:szCs w:val="24"/>
        </w:rPr>
        <w:t xml:space="preserve">việc </w:t>
      </w:r>
      <w:r w:rsidR="00B2013D" w:rsidRPr="00CB2280">
        <w:rPr>
          <w:rFonts w:ascii="Times New Roman" w:hAnsi="Times New Roman" w:cs="Times New Roman"/>
          <w:color w:val="000000" w:themeColor="text1"/>
          <w:sz w:val="24"/>
          <w:szCs w:val="24"/>
        </w:rPr>
        <w:t xml:space="preserve">phân bổ doanh thu, chi phí, và lãi lỗ khác </w:t>
      </w:r>
      <w:r w:rsidR="00BB3E5D" w:rsidRPr="00CB2280">
        <w:rPr>
          <w:rFonts w:ascii="Times New Roman" w:hAnsi="Times New Roman" w:cs="Times New Roman"/>
          <w:color w:val="000000" w:themeColor="text1"/>
          <w:sz w:val="24"/>
          <w:szCs w:val="24"/>
        </w:rPr>
        <w:t xml:space="preserve">của đơn vị cho các bộ phận hoạt động chỉ </w:t>
      </w:r>
      <w:r w:rsidR="00B2013D" w:rsidRPr="00CB2280">
        <w:rPr>
          <w:rFonts w:ascii="Times New Roman" w:hAnsi="Times New Roman" w:cs="Times New Roman"/>
          <w:color w:val="000000" w:themeColor="text1"/>
          <w:sz w:val="24"/>
          <w:szCs w:val="24"/>
        </w:rPr>
        <w:t xml:space="preserve">được </w:t>
      </w:r>
      <w:r w:rsidR="00BB3E5D" w:rsidRPr="00CB2280">
        <w:rPr>
          <w:rFonts w:ascii="Times New Roman" w:hAnsi="Times New Roman" w:cs="Times New Roman"/>
          <w:color w:val="000000" w:themeColor="text1"/>
          <w:sz w:val="24"/>
          <w:szCs w:val="24"/>
        </w:rPr>
        <w:t>thực hiện</w:t>
      </w:r>
      <w:r w:rsidR="00B2013D" w:rsidRPr="00CB2280">
        <w:rPr>
          <w:rFonts w:ascii="Times New Roman" w:hAnsi="Times New Roman" w:cs="Times New Roman"/>
          <w:color w:val="000000" w:themeColor="text1"/>
          <w:sz w:val="24"/>
          <w:szCs w:val="24"/>
        </w:rPr>
        <w:t xml:space="preserve"> </w:t>
      </w:r>
      <w:r w:rsidR="00BB3E5D" w:rsidRPr="00CB2280">
        <w:rPr>
          <w:rFonts w:ascii="Times New Roman" w:hAnsi="Times New Roman" w:cs="Times New Roman"/>
          <w:color w:val="000000" w:themeColor="text1"/>
          <w:sz w:val="24"/>
          <w:szCs w:val="24"/>
        </w:rPr>
        <w:t>nếu</w:t>
      </w:r>
      <w:r w:rsidR="00B2013D" w:rsidRPr="00CB2280">
        <w:rPr>
          <w:rFonts w:ascii="Times New Roman" w:hAnsi="Times New Roman" w:cs="Times New Roman"/>
          <w:color w:val="000000" w:themeColor="text1"/>
          <w:sz w:val="24"/>
          <w:szCs w:val="24"/>
        </w:rPr>
        <w:t xml:space="preserve"> chúng đã được bao gồm trong chỉ tiêu lãi hoặc lỗ của bộ phận mà </w:t>
      </w:r>
      <w:r w:rsidR="00BB3E5D" w:rsidRPr="00CB2280">
        <w:rPr>
          <w:rFonts w:ascii="Times New Roman" w:hAnsi="Times New Roman" w:cs="Times New Roman"/>
          <w:color w:val="000000" w:themeColor="text1"/>
          <w:sz w:val="24"/>
          <w:szCs w:val="24"/>
        </w:rPr>
        <w:t>Người điều hành</w:t>
      </w:r>
      <w:r w:rsidR="00B2013D" w:rsidRPr="00CB2280">
        <w:rPr>
          <w:rFonts w:ascii="Times New Roman" w:hAnsi="Times New Roman" w:cs="Times New Roman"/>
          <w:color w:val="000000" w:themeColor="text1"/>
          <w:sz w:val="24"/>
          <w:szCs w:val="24"/>
        </w:rPr>
        <w:t xml:space="preserve"> sử dụng. Tương tự, chỉ những tài sản và công nợ được tính đ</w:t>
      </w:r>
      <w:r w:rsidR="00BB3E5D" w:rsidRPr="00CB2280">
        <w:rPr>
          <w:rFonts w:ascii="Times New Roman" w:hAnsi="Times New Roman" w:cs="Times New Roman"/>
          <w:color w:val="000000" w:themeColor="text1"/>
          <w:sz w:val="24"/>
          <w:szCs w:val="24"/>
        </w:rPr>
        <w:t>ế</w:t>
      </w:r>
      <w:r w:rsidR="00B2013D" w:rsidRPr="00CB2280">
        <w:rPr>
          <w:rFonts w:ascii="Times New Roman" w:hAnsi="Times New Roman" w:cs="Times New Roman"/>
          <w:color w:val="000000" w:themeColor="text1"/>
          <w:sz w:val="24"/>
          <w:szCs w:val="24"/>
        </w:rPr>
        <w:t xml:space="preserve">n trong chỉ tiêu tài sản và công nợ của bộ phận </w:t>
      </w:r>
      <w:r w:rsidR="00BB3E5D" w:rsidRPr="00CB2280">
        <w:rPr>
          <w:rFonts w:ascii="Times New Roman" w:hAnsi="Times New Roman" w:cs="Times New Roman"/>
          <w:color w:val="000000" w:themeColor="text1"/>
          <w:sz w:val="24"/>
          <w:szCs w:val="24"/>
        </w:rPr>
        <w:t xml:space="preserve">nếu Người điều hành </w:t>
      </w:r>
      <w:r w:rsidR="003C67FD" w:rsidRPr="00CB2280">
        <w:rPr>
          <w:rFonts w:ascii="Times New Roman" w:hAnsi="Times New Roman" w:cs="Times New Roman"/>
          <w:color w:val="000000" w:themeColor="text1"/>
          <w:sz w:val="24"/>
          <w:szCs w:val="24"/>
        </w:rPr>
        <w:t>sử dụng các thông tin này</w:t>
      </w:r>
      <w:r w:rsidR="00B2013D" w:rsidRPr="00CB2280">
        <w:rPr>
          <w:rFonts w:ascii="Times New Roman" w:hAnsi="Times New Roman" w:cs="Times New Roman"/>
          <w:color w:val="000000" w:themeColor="text1"/>
          <w:sz w:val="24"/>
          <w:szCs w:val="24"/>
        </w:rPr>
        <w:t xml:space="preserve">. Nếu các khoản tiền được phân bổ cho lãi hoặc lỗ </w:t>
      </w:r>
      <w:r w:rsidR="00A31336" w:rsidRPr="00CB2280">
        <w:rPr>
          <w:rFonts w:ascii="Times New Roman" w:hAnsi="Times New Roman" w:cs="Times New Roman"/>
          <w:color w:val="000000" w:themeColor="text1"/>
          <w:sz w:val="24"/>
          <w:szCs w:val="24"/>
        </w:rPr>
        <w:t xml:space="preserve">của </w:t>
      </w:r>
      <w:r w:rsidR="00B2013D" w:rsidRPr="00CB2280">
        <w:rPr>
          <w:rFonts w:ascii="Times New Roman" w:hAnsi="Times New Roman" w:cs="Times New Roman"/>
          <w:color w:val="000000" w:themeColor="text1"/>
          <w:sz w:val="24"/>
          <w:szCs w:val="24"/>
        </w:rPr>
        <w:t>bộ</w:t>
      </w:r>
      <w:r w:rsidR="00A31336" w:rsidRPr="00CB2280">
        <w:rPr>
          <w:rFonts w:ascii="Times New Roman" w:hAnsi="Times New Roman" w:cs="Times New Roman"/>
          <w:color w:val="000000" w:themeColor="text1"/>
          <w:sz w:val="24"/>
          <w:szCs w:val="24"/>
        </w:rPr>
        <w:t xml:space="preserve"> </w:t>
      </w:r>
      <w:r w:rsidR="003C67FD" w:rsidRPr="00CB2280">
        <w:rPr>
          <w:rFonts w:ascii="Times New Roman" w:hAnsi="Times New Roman" w:cs="Times New Roman"/>
          <w:color w:val="000000" w:themeColor="text1"/>
          <w:sz w:val="24"/>
          <w:szCs w:val="24"/>
        </w:rPr>
        <w:t xml:space="preserve">phận hoạt động </w:t>
      </w:r>
      <w:r w:rsidR="00A31336" w:rsidRPr="00CB2280">
        <w:rPr>
          <w:rFonts w:ascii="Times New Roman" w:hAnsi="Times New Roman" w:cs="Times New Roman"/>
          <w:color w:val="000000" w:themeColor="text1"/>
          <w:sz w:val="24"/>
          <w:szCs w:val="24"/>
        </w:rPr>
        <w:t>thì</w:t>
      </w:r>
      <w:r w:rsidR="00B2013D" w:rsidRPr="00CB2280">
        <w:rPr>
          <w:rFonts w:ascii="Times New Roman" w:hAnsi="Times New Roman" w:cs="Times New Roman"/>
          <w:color w:val="000000" w:themeColor="text1"/>
          <w:sz w:val="24"/>
          <w:szCs w:val="24"/>
        </w:rPr>
        <w:t xml:space="preserve"> tài sản hoặc công nợ</w:t>
      </w:r>
      <w:r w:rsidR="00A31336" w:rsidRPr="00CB2280">
        <w:rPr>
          <w:rFonts w:ascii="Times New Roman" w:hAnsi="Times New Roman" w:cs="Times New Roman"/>
          <w:color w:val="000000" w:themeColor="text1"/>
          <w:sz w:val="24"/>
          <w:szCs w:val="24"/>
        </w:rPr>
        <w:t xml:space="preserve"> sẽ được phân bổ</w:t>
      </w:r>
      <w:r w:rsidR="003C67FD" w:rsidRPr="00CB2280">
        <w:rPr>
          <w:rFonts w:ascii="Times New Roman" w:hAnsi="Times New Roman" w:cs="Times New Roman"/>
          <w:color w:val="000000" w:themeColor="text1"/>
          <w:sz w:val="24"/>
          <w:szCs w:val="24"/>
        </w:rPr>
        <w:t xml:space="preserve"> cho bộ phận đó</w:t>
      </w:r>
      <w:r w:rsidR="00A31336" w:rsidRPr="00CB2280">
        <w:rPr>
          <w:rFonts w:ascii="Times New Roman" w:hAnsi="Times New Roman" w:cs="Times New Roman"/>
          <w:color w:val="000000" w:themeColor="text1"/>
          <w:sz w:val="24"/>
          <w:szCs w:val="24"/>
        </w:rPr>
        <w:t xml:space="preserve"> theo một cơ sở hợp lý.</w:t>
      </w:r>
    </w:p>
    <w:p w:rsidR="004E7BAD" w:rsidRPr="00CB2280" w:rsidRDefault="004E7BAD" w:rsidP="00497676">
      <w:pPr>
        <w:pStyle w:val="ListParagraph"/>
        <w:numPr>
          <w:ilvl w:val="0"/>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Nếu </w:t>
      </w:r>
      <w:r w:rsidR="003C67FD" w:rsidRPr="00CB2280">
        <w:rPr>
          <w:rFonts w:ascii="Times New Roman" w:hAnsi="Times New Roman" w:cs="Times New Roman"/>
          <w:color w:val="000000" w:themeColor="text1"/>
          <w:sz w:val="24"/>
          <w:szCs w:val="24"/>
        </w:rPr>
        <w:t xml:space="preserve">Người điều hành </w:t>
      </w:r>
      <w:r w:rsidR="00C370B8" w:rsidRPr="00CB2280">
        <w:rPr>
          <w:rFonts w:ascii="Times New Roman" w:hAnsi="Times New Roman" w:cs="Times New Roman"/>
          <w:color w:val="000000" w:themeColor="text1"/>
          <w:sz w:val="24"/>
          <w:szCs w:val="24"/>
        </w:rPr>
        <w:t>chỉ sử dụng chỉ tiêu lãi hoặc lỗ của bộ ph</w:t>
      </w:r>
      <w:r w:rsidR="003C67FD" w:rsidRPr="00CB2280">
        <w:rPr>
          <w:rFonts w:ascii="Times New Roman" w:hAnsi="Times New Roman" w:cs="Times New Roman"/>
          <w:color w:val="000000" w:themeColor="text1"/>
          <w:sz w:val="24"/>
          <w:szCs w:val="24"/>
        </w:rPr>
        <w:t>ậ</w:t>
      </w:r>
      <w:r w:rsidR="00C370B8" w:rsidRPr="00CB2280">
        <w:rPr>
          <w:rFonts w:ascii="Times New Roman" w:hAnsi="Times New Roman" w:cs="Times New Roman"/>
          <w:color w:val="000000" w:themeColor="text1"/>
          <w:sz w:val="24"/>
          <w:szCs w:val="24"/>
        </w:rPr>
        <w:t>n, tài sản hoặc công nợ bộ ph</w:t>
      </w:r>
      <w:r w:rsidR="003C67FD" w:rsidRPr="00CB2280">
        <w:rPr>
          <w:rFonts w:ascii="Times New Roman" w:hAnsi="Times New Roman" w:cs="Times New Roman"/>
          <w:color w:val="000000" w:themeColor="text1"/>
          <w:sz w:val="24"/>
          <w:szCs w:val="24"/>
        </w:rPr>
        <w:t>ậ</w:t>
      </w:r>
      <w:r w:rsidR="00C370B8" w:rsidRPr="00CB2280">
        <w:rPr>
          <w:rFonts w:ascii="Times New Roman" w:hAnsi="Times New Roman" w:cs="Times New Roman"/>
          <w:color w:val="000000" w:themeColor="text1"/>
          <w:sz w:val="24"/>
          <w:szCs w:val="24"/>
        </w:rPr>
        <w:t xml:space="preserve">n trong việc đánh giá hiệu quả hoạt động và quyết định phương pháp phân bổ nguồn lực thì lãi lỗ, tài sản và công nợ của bộ phận sẽ được báo cáo theo </w:t>
      </w:r>
      <w:r w:rsidR="003E173A" w:rsidRPr="00CB2280">
        <w:rPr>
          <w:rFonts w:ascii="Times New Roman" w:hAnsi="Times New Roman" w:cs="Times New Roman"/>
          <w:color w:val="000000" w:themeColor="text1"/>
          <w:sz w:val="24"/>
          <w:szCs w:val="24"/>
        </w:rPr>
        <w:t xml:space="preserve">các </w:t>
      </w:r>
      <w:r w:rsidR="00C370B8" w:rsidRPr="00CB2280">
        <w:rPr>
          <w:rFonts w:ascii="Times New Roman" w:hAnsi="Times New Roman" w:cs="Times New Roman"/>
          <w:color w:val="000000" w:themeColor="text1"/>
          <w:sz w:val="24"/>
          <w:szCs w:val="24"/>
        </w:rPr>
        <w:t xml:space="preserve">chỉ tiêu đó. </w:t>
      </w:r>
      <w:r w:rsidR="003E173A" w:rsidRPr="00CB2280">
        <w:rPr>
          <w:rFonts w:ascii="Times New Roman" w:hAnsi="Times New Roman" w:cs="Times New Roman"/>
          <w:color w:val="000000" w:themeColor="text1"/>
          <w:sz w:val="24"/>
          <w:szCs w:val="24"/>
        </w:rPr>
        <w:t xml:space="preserve">Nếu </w:t>
      </w:r>
      <w:r w:rsidR="003C67FD" w:rsidRPr="00CB2280">
        <w:rPr>
          <w:rFonts w:ascii="Times New Roman" w:hAnsi="Times New Roman" w:cs="Times New Roman"/>
          <w:color w:val="000000" w:themeColor="text1"/>
          <w:sz w:val="24"/>
          <w:szCs w:val="24"/>
        </w:rPr>
        <w:t>Người điều hành</w:t>
      </w:r>
      <w:r w:rsidR="003E173A" w:rsidRPr="00CB2280">
        <w:rPr>
          <w:rFonts w:ascii="Times New Roman" w:hAnsi="Times New Roman" w:cs="Times New Roman"/>
          <w:color w:val="000000" w:themeColor="text1"/>
          <w:sz w:val="24"/>
          <w:szCs w:val="24"/>
        </w:rPr>
        <w:t xml:space="preserve"> sử dụng nhiều hơn một tiêu chí của bộ phận về lãi hoặc lỗ, tài sản hoặc công nợ thì các chỉ tiêu báo cáo sẽ là những chỉ tiêu mà quản lý tin rằng chúng được xác định tuân theo các nguyên tắc đo lường nhất quán với những nguyên tắc đã được sử dụng </w:t>
      </w:r>
      <w:r w:rsidR="008677D1">
        <w:rPr>
          <w:rFonts w:ascii="Times New Roman" w:hAnsi="Times New Roman" w:cs="Times New Roman"/>
          <w:color w:val="000000" w:themeColor="text1"/>
          <w:sz w:val="24"/>
          <w:szCs w:val="24"/>
        </w:rPr>
        <w:t>để</w:t>
      </w:r>
      <w:r w:rsidR="003E173A" w:rsidRPr="00CB2280">
        <w:rPr>
          <w:rFonts w:ascii="Times New Roman" w:hAnsi="Times New Roman" w:cs="Times New Roman"/>
          <w:color w:val="000000" w:themeColor="text1"/>
          <w:sz w:val="24"/>
          <w:szCs w:val="24"/>
        </w:rPr>
        <w:t xml:space="preserve"> đo lường các chỉ tiêu tương ứng trên báo cáo tài chính của đơn vị.</w:t>
      </w:r>
    </w:p>
    <w:p w:rsidR="003E173A" w:rsidRPr="00CB2280" w:rsidRDefault="00DF45B1" w:rsidP="00497676">
      <w:pPr>
        <w:pStyle w:val="ListParagraph"/>
        <w:numPr>
          <w:ilvl w:val="0"/>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Một đơn vị sẽ giải thích về việc đánh giá lãi hoặc lỗ, tài sản và công nợ của bộ phận cho từng bộ ph</w:t>
      </w:r>
      <w:r w:rsidR="003C67FD" w:rsidRPr="00CB2280">
        <w:rPr>
          <w:rFonts w:ascii="Times New Roman" w:hAnsi="Times New Roman" w:cs="Times New Roman"/>
          <w:color w:val="000000" w:themeColor="text1"/>
          <w:sz w:val="24"/>
          <w:szCs w:val="24"/>
        </w:rPr>
        <w:t>ậ</w:t>
      </w:r>
      <w:r w:rsidRPr="00CB2280">
        <w:rPr>
          <w:rFonts w:ascii="Times New Roman" w:hAnsi="Times New Roman" w:cs="Times New Roman"/>
          <w:color w:val="000000" w:themeColor="text1"/>
          <w:sz w:val="24"/>
          <w:szCs w:val="24"/>
        </w:rPr>
        <w:t>n báo cáo. Ở mức tối thiểu, một đơn vị sẽ cung cấp các nội dung sau:</w:t>
      </w:r>
    </w:p>
    <w:p w:rsidR="00DF45B1" w:rsidRPr="00CB2280" w:rsidRDefault="00DF45B1"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Cơ sở kế toán cho các nghiệp vụ giữa các bộ phận báo cáo</w:t>
      </w:r>
    </w:p>
    <w:p w:rsidR="00533037" w:rsidRPr="00CB2280" w:rsidRDefault="00DF45B1"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Bản chất của những khoản khác biệt </w:t>
      </w:r>
      <w:r w:rsidR="003C67FD" w:rsidRPr="00CB2280">
        <w:rPr>
          <w:rFonts w:ascii="Times New Roman" w:hAnsi="Times New Roman" w:cs="Times New Roman"/>
          <w:color w:val="000000" w:themeColor="text1"/>
          <w:sz w:val="24"/>
          <w:szCs w:val="24"/>
        </w:rPr>
        <w:t>về</w:t>
      </w:r>
      <w:r w:rsidRPr="00CB2280">
        <w:rPr>
          <w:rFonts w:ascii="Times New Roman" w:hAnsi="Times New Roman" w:cs="Times New Roman"/>
          <w:color w:val="000000" w:themeColor="text1"/>
          <w:sz w:val="24"/>
          <w:szCs w:val="24"/>
        </w:rPr>
        <w:t xml:space="preserve"> lãi hoặc lỗ của bộ phận và khoản lãi hoặc lỗ trước thuế của đơn vị hoặc lợi nhuận và các hoạt động bị chấm dứt (nếu không rõ ràng t</w:t>
      </w:r>
      <w:r w:rsidR="003C67FD" w:rsidRPr="00CB2280">
        <w:rPr>
          <w:rFonts w:ascii="Times New Roman" w:hAnsi="Times New Roman" w:cs="Times New Roman"/>
          <w:color w:val="000000" w:themeColor="text1"/>
          <w:sz w:val="24"/>
          <w:szCs w:val="24"/>
        </w:rPr>
        <w:t xml:space="preserve">heo </w:t>
      </w:r>
      <w:r w:rsidRPr="00CB2280">
        <w:rPr>
          <w:rFonts w:ascii="Times New Roman" w:hAnsi="Times New Roman" w:cs="Times New Roman"/>
          <w:color w:val="000000" w:themeColor="text1"/>
          <w:sz w:val="24"/>
          <w:szCs w:val="24"/>
        </w:rPr>
        <w:t xml:space="preserve">những </w:t>
      </w:r>
      <w:r w:rsidR="003C67FD" w:rsidRPr="00CB2280">
        <w:rPr>
          <w:rFonts w:ascii="Times New Roman" w:hAnsi="Times New Roman" w:cs="Times New Roman"/>
          <w:color w:val="000000" w:themeColor="text1"/>
          <w:sz w:val="24"/>
          <w:szCs w:val="24"/>
        </w:rPr>
        <w:t xml:space="preserve">quy định </w:t>
      </w:r>
      <w:r w:rsidRPr="00CB2280">
        <w:rPr>
          <w:rFonts w:ascii="Times New Roman" w:hAnsi="Times New Roman" w:cs="Times New Roman"/>
          <w:color w:val="000000" w:themeColor="text1"/>
          <w:sz w:val="24"/>
          <w:szCs w:val="24"/>
        </w:rPr>
        <w:t>đối chiếu ở đoạn 28). Những khác biệt này có thể bao gồm các chính sách kế toán và các</w:t>
      </w:r>
      <w:r w:rsidR="00533037" w:rsidRPr="00CB2280">
        <w:rPr>
          <w:rFonts w:ascii="Times New Roman" w:hAnsi="Times New Roman" w:cs="Times New Roman"/>
          <w:color w:val="000000" w:themeColor="text1"/>
          <w:sz w:val="24"/>
          <w:szCs w:val="24"/>
        </w:rPr>
        <w:t xml:space="preserve"> phương pháp sử dụng để phân bổ chi phí phát sinh chung cần thiết để hiểu được thông tin bộ phận được báo cáo.</w:t>
      </w:r>
    </w:p>
    <w:p w:rsidR="00DF45B1" w:rsidRPr="00CB2280" w:rsidRDefault="00DF45B1"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lastRenderedPageBreak/>
        <w:t xml:space="preserve"> </w:t>
      </w:r>
      <w:r w:rsidR="00533037" w:rsidRPr="00CB2280">
        <w:rPr>
          <w:rFonts w:ascii="Times New Roman" w:hAnsi="Times New Roman" w:cs="Times New Roman"/>
          <w:color w:val="000000" w:themeColor="text1"/>
          <w:sz w:val="24"/>
          <w:szCs w:val="24"/>
        </w:rPr>
        <w:t xml:space="preserve">Bản chất của </w:t>
      </w:r>
      <w:r w:rsidR="003C67FD" w:rsidRPr="00CB2280">
        <w:rPr>
          <w:rFonts w:ascii="Times New Roman" w:hAnsi="Times New Roman" w:cs="Times New Roman"/>
          <w:color w:val="000000" w:themeColor="text1"/>
          <w:sz w:val="24"/>
          <w:szCs w:val="24"/>
        </w:rPr>
        <w:t>những</w:t>
      </w:r>
      <w:r w:rsidR="00533037" w:rsidRPr="00CB2280">
        <w:rPr>
          <w:rFonts w:ascii="Times New Roman" w:hAnsi="Times New Roman" w:cs="Times New Roman"/>
          <w:color w:val="000000" w:themeColor="text1"/>
          <w:sz w:val="24"/>
          <w:szCs w:val="24"/>
        </w:rPr>
        <w:t xml:space="preserve"> khác biệt </w:t>
      </w:r>
      <w:r w:rsidR="003C67FD" w:rsidRPr="00CB2280">
        <w:rPr>
          <w:rFonts w:ascii="Times New Roman" w:hAnsi="Times New Roman" w:cs="Times New Roman"/>
          <w:color w:val="000000" w:themeColor="text1"/>
          <w:sz w:val="24"/>
          <w:szCs w:val="24"/>
        </w:rPr>
        <w:t>từ</w:t>
      </w:r>
      <w:r w:rsidR="00533037" w:rsidRPr="00CB2280">
        <w:rPr>
          <w:rFonts w:ascii="Times New Roman" w:hAnsi="Times New Roman" w:cs="Times New Roman"/>
          <w:color w:val="000000" w:themeColor="text1"/>
          <w:sz w:val="24"/>
          <w:szCs w:val="24"/>
        </w:rPr>
        <w:t xml:space="preserve"> việc đánh giá tài sản của bộ phận </w:t>
      </w:r>
      <w:r w:rsidR="003C67FD" w:rsidRPr="00CB2280">
        <w:rPr>
          <w:rFonts w:ascii="Times New Roman" w:hAnsi="Times New Roman" w:cs="Times New Roman"/>
          <w:color w:val="000000" w:themeColor="text1"/>
          <w:sz w:val="24"/>
          <w:szCs w:val="24"/>
        </w:rPr>
        <w:t xml:space="preserve">hoạt động </w:t>
      </w:r>
      <w:r w:rsidR="00533037" w:rsidRPr="00CB2280">
        <w:rPr>
          <w:rFonts w:ascii="Times New Roman" w:hAnsi="Times New Roman" w:cs="Times New Roman"/>
          <w:color w:val="000000" w:themeColor="text1"/>
          <w:sz w:val="24"/>
          <w:szCs w:val="24"/>
        </w:rPr>
        <w:t>và tài sản của đơn vị (</w:t>
      </w:r>
      <w:r w:rsidR="003C67FD" w:rsidRPr="00CB2280">
        <w:rPr>
          <w:rFonts w:ascii="Times New Roman" w:hAnsi="Times New Roman" w:cs="Times New Roman"/>
          <w:color w:val="000000" w:themeColor="text1"/>
          <w:sz w:val="24"/>
          <w:szCs w:val="24"/>
        </w:rPr>
        <w:t>nếu không rõ ràng theo những quy định đối chiếu ở đoạn 28</w:t>
      </w:r>
      <w:r w:rsidR="00533037" w:rsidRPr="00CB2280">
        <w:rPr>
          <w:rFonts w:ascii="Times New Roman" w:hAnsi="Times New Roman" w:cs="Times New Roman"/>
          <w:color w:val="000000" w:themeColor="text1"/>
          <w:sz w:val="24"/>
          <w:szCs w:val="24"/>
        </w:rPr>
        <w:t xml:space="preserve">). Những khác biệt này có thể bao gồm các chính sách kế toán và phương pháp phân bổ </w:t>
      </w:r>
      <w:r w:rsidRPr="00CB2280">
        <w:rPr>
          <w:rFonts w:ascii="Times New Roman" w:hAnsi="Times New Roman" w:cs="Times New Roman"/>
          <w:color w:val="000000" w:themeColor="text1"/>
          <w:sz w:val="24"/>
          <w:szCs w:val="24"/>
        </w:rPr>
        <w:t xml:space="preserve">tài sản sử dụng chung cần thiết </w:t>
      </w:r>
      <w:r w:rsidR="003C67FD" w:rsidRPr="00CB2280">
        <w:rPr>
          <w:rFonts w:ascii="Times New Roman" w:hAnsi="Times New Roman" w:cs="Times New Roman"/>
          <w:color w:val="000000" w:themeColor="text1"/>
          <w:sz w:val="24"/>
          <w:szCs w:val="24"/>
        </w:rPr>
        <w:t xml:space="preserve">cho </w:t>
      </w:r>
      <w:r w:rsidRPr="00CB2280">
        <w:rPr>
          <w:rFonts w:ascii="Times New Roman" w:hAnsi="Times New Roman" w:cs="Times New Roman"/>
          <w:color w:val="000000" w:themeColor="text1"/>
          <w:sz w:val="24"/>
          <w:szCs w:val="24"/>
        </w:rPr>
        <w:t>bộ phận</w:t>
      </w:r>
      <w:r w:rsidR="00533037" w:rsidRPr="00CB2280">
        <w:rPr>
          <w:rFonts w:ascii="Times New Roman" w:hAnsi="Times New Roman" w:cs="Times New Roman"/>
          <w:color w:val="000000" w:themeColor="text1"/>
          <w:sz w:val="24"/>
          <w:szCs w:val="24"/>
        </w:rPr>
        <w:t xml:space="preserve"> </w:t>
      </w:r>
      <w:r w:rsidR="003C67FD" w:rsidRPr="00CB2280">
        <w:rPr>
          <w:rFonts w:ascii="Times New Roman" w:hAnsi="Times New Roman" w:cs="Times New Roman"/>
          <w:color w:val="000000" w:themeColor="text1"/>
          <w:sz w:val="24"/>
          <w:szCs w:val="24"/>
        </w:rPr>
        <w:t xml:space="preserve">hoạt động </w:t>
      </w:r>
      <w:r w:rsidR="00533037" w:rsidRPr="00CB2280">
        <w:rPr>
          <w:rFonts w:ascii="Times New Roman" w:hAnsi="Times New Roman" w:cs="Times New Roman"/>
          <w:color w:val="000000" w:themeColor="text1"/>
          <w:sz w:val="24"/>
          <w:szCs w:val="24"/>
        </w:rPr>
        <w:t>đã báo cáo</w:t>
      </w:r>
      <w:r w:rsidRPr="00CB2280">
        <w:rPr>
          <w:rFonts w:ascii="Times New Roman" w:hAnsi="Times New Roman" w:cs="Times New Roman"/>
          <w:color w:val="000000" w:themeColor="text1"/>
          <w:sz w:val="24"/>
          <w:szCs w:val="24"/>
        </w:rPr>
        <w:t>.</w:t>
      </w:r>
    </w:p>
    <w:p w:rsidR="00533037" w:rsidRPr="00CB2280" w:rsidRDefault="00533037"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Bản chất của bất kỳ khoản khác biệt nào </w:t>
      </w:r>
      <w:r w:rsidR="003C67FD" w:rsidRPr="00CB2280">
        <w:rPr>
          <w:rFonts w:ascii="Times New Roman" w:hAnsi="Times New Roman" w:cs="Times New Roman"/>
          <w:color w:val="000000" w:themeColor="text1"/>
          <w:sz w:val="24"/>
          <w:szCs w:val="24"/>
        </w:rPr>
        <w:t>phát sinh khi</w:t>
      </w:r>
      <w:r w:rsidRPr="00CB2280">
        <w:rPr>
          <w:rFonts w:ascii="Times New Roman" w:hAnsi="Times New Roman" w:cs="Times New Roman"/>
          <w:color w:val="000000" w:themeColor="text1"/>
          <w:sz w:val="24"/>
          <w:szCs w:val="24"/>
        </w:rPr>
        <w:t xml:space="preserve"> đánh giá công nợ của bộ phận báo cáo và công nợ của đơn vị báo cáo (</w:t>
      </w:r>
      <w:r w:rsidR="003C67FD" w:rsidRPr="00CB2280">
        <w:rPr>
          <w:rFonts w:ascii="Times New Roman" w:hAnsi="Times New Roman" w:cs="Times New Roman"/>
          <w:color w:val="000000" w:themeColor="text1"/>
          <w:sz w:val="24"/>
          <w:szCs w:val="24"/>
        </w:rPr>
        <w:t>nếu không rõ ràng theo những quy định đối chiếu ở đoạn 28</w:t>
      </w:r>
      <w:r w:rsidRPr="00CB2280">
        <w:rPr>
          <w:rFonts w:ascii="Times New Roman" w:hAnsi="Times New Roman" w:cs="Times New Roman"/>
          <w:color w:val="000000" w:themeColor="text1"/>
          <w:sz w:val="24"/>
          <w:szCs w:val="24"/>
        </w:rPr>
        <w:t xml:space="preserve">). Những khác biệt này có thể bao gồm các chính sách kế toán và phương pháp phân bổ các khoản nợ sử dụng chung cần thiết </w:t>
      </w:r>
      <w:r w:rsidR="003C67FD" w:rsidRPr="00CB2280">
        <w:rPr>
          <w:rFonts w:ascii="Times New Roman" w:hAnsi="Times New Roman" w:cs="Times New Roman"/>
          <w:color w:val="000000" w:themeColor="text1"/>
          <w:sz w:val="24"/>
          <w:szCs w:val="24"/>
        </w:rPr>
        <w:t>cho</w:t>
      </w:r>
      <w:r w:rsidRPr="00CB2280">
        <w:rPr>
          <w:rFonts w:ascii="Times New Roman" w:hAnsi="Times New Roman" w:cs="Times New Roman"/>
          <w:color w:val="000000" w:themeColor="text1"/>
          <w:sz w:val="24"/>
          <w:szCs w:val="24"/>
        </w:rPr>
        <w:t xml:space="preserve"> bộ phận</w:t>
      </w:r>
      <w:r w:rsidR="003C67FD" w:rsidRPr="00CB2280">
        <w:rPr>
          <w:rFonts w:ascii="Times New Roman" w:hAnsi="Times New Roman" w:cs="Times New Roman"/>
          <w:color w:val="000000" w:themeColor="text1"/>
          <w:sz w:val="24"/>
          <w:szCs w:val="24"/>
        </w:rPr>
        <w:t xml:space="preserve"> hoạt động đã</w:t>
      </w:r>
      <w:r w:rsidRPr="00CB2280">
        <w:rPr>
          <w:rFonts w:ascii="Times New Roman" w:hAnsi="Times New Roman" w:cs="Times New Roman"/>
          <w:color w:val="000000" w:themeColor="text1"/>
          <w:sz w:val="24"/>
          <w:szCs w:val="24"/>
        </w:rPr>
        <w:t xml:space="preserve"> báo cáo.</w:t>
      </w:r>
    </w:p>
    <w:p w:rsidR="00533037" w:rsidRPr="00CB2280" w:rsidRDefault="00533037"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Bản chất của bất kỳ khoản thay đổi từ các </w:t>
      </w:r>
      <w:r w:rsidR="003C67FD" w:rsidRPr="00CB2280">
        <w:rPr>
          <w:rFonts w:ascii="Times New Roman" w:hAnsi="Times New Roman" w:cs="Times New Roman"/>
          <w:color w:val="000000" w:themeColor="text1"/>
          <w:sz w:val="24"/>
          <w:szCs w:val="24"/>
        </w:rPr>
        <w:t>kỳ kế toán</w:t>
      </w:r>
      <w:r w:rsidRPr="00CB2280">
        <w:rPr>
          <w:rFonts w:ascii="Times New Roman" w:hAnsi="Times New Roman" w:cs="Times New Roman"/>
          <w:color w:val="000000" w:themeColor="text1"/>
          <w:sz w:val="24"/>
          <w:szCs w:val="24"/>
        </w:rPr>
        <w:t xml:space="preserve"> trước </w:t>
      </w:r>
      <w:r w:rsidR="003C67FD" w:rsidRPr="00CB2280">
        <w:rPr>
          <w:rFonts w:ascii="Times New Roman" w:hAnsi="Times New Roman" w:cs="Times New Roman"/>
          <w:color w:val="000000" w:themeColor="text1"/>
          <w:sz w:val="24"/>
          <w:szCs w:val="24"/>
        </w:rPr>
        <w:t>từ những</w:t>
      </w:r>
      <w:r w:rsidRPr="00CB2280">
        <w:rPr>
          <w:rFonts w:ascii="Times New Roman" w:hAnsi="Times New Roman" w:cs="Times New Roman"/>
          <w:color w:val="000000" w:themeColor="text1"/>
          <w:sz w:val="24"/>
          <w:szCs w:val="24"/>
        </w:rPr>
        <w:t xml:space="preserve"> phương pháp đánh giá </w:t>
      </w:r>
      <w:r w:rsidR="003C67FD" w:rsidRPr="00CB2280">
        <w:rPr>
          <w:rFonts w:ascii="Times New Roman" w:hAnsi="Times New Roman" w:cs="Times New Roman"/>
          <w:color w:val="000000" w:themeColor="text1"/>
          <w:sz w:val="24"/>
          <w:szCs w:val="24"/>
        </w:rPr>
        <w:t xml:space="preserve">đã </w:t>
      </w:r>
      <w:r w:rsidRPr="00CB2280">
        <w:rPr>
          <w:rFonts w:ascii="Times New Roman" w:hAnsi="Times New Roman" w:cs="Times New Roman"/>
          <w:color w:val="000000" w:themeColor="text1"/>
          <w:sz w:val="24"/>
          <w:szCs w:val="24"/>
        </w:rPr>
        <w:t>sử dụng để xác định lãi hoặc lỗ bộ phận báo cáo và sự ảnh hưởng, nếu có, của những thay đổi này tới việc đo lường</w:t>
      </w:r>
      <w:r w:rsidR="00D06BDB" w:rsidRPr="00CB2280">
        <w:rPr>
          <w:rFonts w:ascii="Times New Roman" w:hAnsi="Times New Roman" w:cs="Times New Roman"/>
          <w:color w:val="000000" w:themeColor="text1"/>
          <w:sz w:val="24"/>
          <w:szCs w:val="24"/>
        </w:rPr>
        <w:t xml:space="preserve"> lãi hoặc lỗ bộ phận.</w:t>
      </w:r>
    </w:p>
    <w:p w:rsidR="00D06BDB" w:rsidRPr="00CB2280" w:rsidRDefault="00D06BDB"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Bản chất và ảnh hưởng của các khoản phân bổ không cân xứng tới các bộ phận phải báo cáo. Ví dụ, một đơn vị có thể phân bổ chi phí khấu hao cho một bộ phận mà không phân bổ các tài sản tương ứng cho bộ phận đó.</w:t>
      </w:r>
    </w:p>
    <w:p w:rsidR="00D06BDB" w:rsidRPr="00CB2280" w:rsidRDefault="00D06BDB" w:rsidP="008677D1">
      <w:pPr>
        <w:autoSpaceDE w:val="0"/>
        <w:autoSpaceDN w:val="0"/>
        <w:adjustRightInd w:val="0"/>
        <w:spacing w:line="360" w:lineRule="auto"/>
        <w:ind w:firstLine="360"/>
        <w:jc w:val="both"/>
        <w:rPr>
          <w:rFonts w:ascii="Times New Roman" w:hAnsi="Times New Roman" w:cs="Times New Roman"/>
          <w:b/>
          <w:bCs/>
          <w:color w:val="000000" w:themeColor="text1"/>
          <w:sz w:val="28"/>
          <w:szCs w:val="28"/>
        </w:rPr>
      </w:pPr>
      <w:r w:rsidRPr="00CB2280">
        <w:rPr>
          <w:rFonts w:ascii="Times New Roman" w:hAnsi="Times New Roman" w:cs="Times New Roman"/>
          <w:b/>
          <w:bCs/>
          <w:color w:val="000000" w:themeColor="text1"/>
          <w:sz w:val="28"/>
          <w:szCs w:val="28"/>
        </w:rPr>
        <w:t>Đối chiếu</w:t>
      </w:r>
      <w:r w:rsidR="006C3217" w:rsidRPr="00CB2280">
        <w:rPr>
          <w:rFonts w:ascii="Times New Roman" w:hAnsi="Times New Roman" w:cs="Times New Roman"/>
          <w:b/>
          <w:bCs/>
          <w:color w:val="000000" w:themeColor="text1"/>
          <w:sz w:val="28"/>
          <w:szCs w:val="28"/>
        </w:rPr>
        <w:t>/Các cân đối</w:t>
      </w:r>
    </w:p>
    <w:p w:rsidR="00DF45B1" w:rsidRPr="00CB2280" w:rsidRDefault="00D06BDB" w:rsidP="00497676">
      <w:pPr>
        <w:pStyle w:val="ListParagraph"/>
        <w:numPr>
          <w:ilvl w:val="0"/>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Một đơn </w:t>
      </w:r>
      <w:r w:rsidR="00EE73A9" w:rsidRPr="00CB2280">
        <w:rPr>
          <w:rFonts w:ascii="Times New Roman" w:hAnsi="Times New Roman" w:cs="Times New Roman"/>
          <w:color w:val="000000" w:themeColor="text1"/>
          <w:sz w:val="24"/>
          <w:szCs w:val="24"/>
        </w:rPr>
        <w:t xml:space="preserve">vị sẽ cung cấp </w:t>
      </w:r>
      <w:r w:rsidR="006C3217" w:rsidRPr="00CB2280">
        <w:rPr>
          <w:rFonts w:ascii="Times New Roman" w:hAnsi="Times New Roman" w:cs="Times New Roman"/>
          <w:color w:val="000000" w:themeColor="text1"/>
          <w:sz w:val="24"/>
          <w:szCs w:val="24"/>
        </w:rPr>
        <w:t xml:space="preserve">những cân đối </w:t>
      </w:r>
      <w:r w:rsidR="00ED2972" w:rsidRPr="00CB2280">
        <w:rPr>
          <w:rFonts w:ascii="Times New Roman" w:hAnsi="Times New Roman" w:cs="Times New Roman"/>
          <w:color w:val="000000" w:themeColor="text1"/>
          <w:sz w:val="24"/>
          <w:szCs w:val="24"/>
        </w:rPr>
        <w:t>liên quan đến</w:t>
      </w:r>
      <w:r w:rsidR="006C3217" w:rsidRPr="00CB2280">
        <w:rPr>
          <w:rFonts w:ascii="Times New Roman" w:hAnsi="Times New Roman" w:cs="Times New Roman"/>
          <w:color w:val="000000" w:themeColor="text1"/>
          <w:sz w:val="24"/>
          <w:szCs w:val="24"/>
        </w:rPr>
        <w:t xml:space="preserve"> tất cả </w:t>
      </w:r>
      <w:r w:rsidR="00EE73A9" w:rsidRPr="00CB2280">
        <w:rPr>
          <w:rFonts w:ascii="Times New Roman" w:hAnsi="Times New Roman" w:cs="Times New Roman"/>
          <w:color w:val="000000" w:themeColor="text1"/>
          <w:sz w:val="24"/>
          <w:szCs w:val="24"/>
        </w:rPr>
        <w:t>các khoản sau:</w:t>
      </w:r>
    </w:p>
    <w:p w:rsidR="00ED2972" w:rsidRPr="00CB2280" w:rsidRDefault="00ED2972"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Tổng doanh thu của </w:t>
      </w:r>
      <w:r w:rsidR="00E8669E" w:rsidRPr="00CB2280">
        <w:rPr>
          <w:rFonts w:ascii="Times New Roman" w:hAnsi="Times New Roman" w:cs="Times New Roman"/>
          <w:color w:val="000000" w:themeColor="text1"/>
          <w:sz w:val="24"/>
          <w:szCs w:val="24"/>
        </w:rPr>
        <w:t xml:space="preserve">các </w:t>
      </w:r>
      <w:r w:rsidRPr="00CB2280">
        <w:rPr>
          <w:rFonts w:ascii="Times New Roman" w:hAnsi="Times New Roman" w:cs="Times New Roman"/>
          <w:color w:val="000000" w:themeColor="text1"/>
          <w:sz w:val="24"/>
          <w:szCs w:val="24"/>
        </w:rPr>
        <w:t xml:space="preserve">bộ phận </w:t>
      </w:r>
      <w:r w:rsidR="00E8669E" w:rsidRPr="00CB2280">
        <w:rPr>
          <w:rFonts w:ascii="Times New Roman" w:hAnsi="Times New Roman" w:cs="Times New Roman"/>
          <w:color w:val="000000" w:themeColor="text1"/>
          <w:sz w:val="24"/>
          <w:szCs w:val="24"/>
        </w:rPr>
        <w:t xml:space="preserve">hoạt động </w:t>
      </w:r>
      <w:r w:rsidRPr="00CB2280">
        <w:rPr>
          <w:rFonts w:ascii="Times New Roman" w:hAnsi="Times New Roman" w:cs="Times New Roman"/>
          <w:color w:val="000000" w:themeColor="text1"/>
          <w:sz w:val="24"/>
          <w:szCs w:val="24"/>
        </w:rPr>
        <w:t xml:space="preserve">trong tổng doanh thu của </w:t>
      </w:r>
      <w:r w:rsidR="00E8669E" w:rsidRPr="00CB2280">
        <w:rPr>
          <w:rFonts w:ascii="Times New Roman" w:hAnsi="Times New Roman" w:cs="Times New Roman"/>
          <w:color w:val="000000" w:themeColor="text1"/>
          <w:sz w:val="24"/>
          <w:szCs w:val="24"/>
        </w:rPr>
        <w:t xml:space="preserve">toàn </w:t>
      </w:r>
      <w:r w:rsidRPr="00CB2280">
        <w:rPr>
          <w:rFonts w:ascii="Times New Roman" w:hAnsi="Times New Roman" w:cs="Times New Roman"/>
          <w:color w:val="000000" w:themeColor="text1"/>
          <w:sz w:val="24"/>
          <w:szCs w:val="24"/>
        </w:rPr>
        <w:t>đơn vị</w:t>
      </w:r>
    </w:p>
    <w:p w:rsidR="00ED2972" w:rsidRPr="00CB2280" w:rsidRDefault="00ED2972"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Tổng chỉ tiêu lãi hoặc lỗ của của</w:t>
      </w:r>
      <w:r w:rsidR="00C7718D" w:rsidRPr="00CB2280">
        <w:rPr>
          <w:rFonts w:ascii="Times New Roman" w:hAnsi="Times New Roman" w:cs="Times New Roman"/>
          <w:color w:val="000000" w:themeColor="text1"/>
          <w:sz w:val="24"/>
          <w:szCs w:val="24"/>
        </w:rPr>
        <w:t xml:space="preserve"> các</w:t>
      </w:r>
      <w:r w:rsidRPr="00CB2280">
        <w:rPr>
          <w:rFonts w:ascii="Times New Roman" w:hAnsi="Times New Roman" w:cs="Times New Roman"/>
          <w:color w:val="000000" w:themeColor="text1"/>
          <w:sz w:val="24"/>
          <w:szCs w:val="24"/>
        </w:rPr>
        <w:t xml:space="preserve"> bộ phận </w:t>
      </w:r>
      <w:r w:rsidR="00C7718D" w:rsidRPr="00CB2280">
        <w:rPr>
          <w:rFonts w:ascii="Times New Roman" w:hAnsi="Times New Roman" w:cs="Times New Roman"/>
          <w:color w:val="000000" w:themeColor="text1"/>
          <w:sz w:val="24"/>
          <w:szCs w:val="24"/>
        </w:rPr>
        <w:t xml:space="preserve">báo cáo </w:t>
      </w:r>
      <w:r w:rsidRPr="00CB2280">
        <w:rPr>
          <w:rFonts w:ascii="Times New Roman" w:hAnsi="Times New Roman" w:cs="Times New Roman"/>
          <w:color w:val="000000" w:themeColor="text1"/>
          <w:sz w:val="24"/>
          <w:szCs w:val="24"/>
        </w:rPr>
        <w:t xml:space="preserve">trong tổng số lãi hoặc lỗ trước thuế và hoạt động bị </w:t>
      </w:r>
      <w:r w:rsidR="00B53215" w:rsidRPr="00CB2280">
        <w:rPr>
          <w:rFonts w:ascii="Times New Roman" w:hAnsi="Times New Roman" w:cs="Times New Roman"/>
          <w:color w:val="000000" w:themeColor="text1"/>
          <w:sz w:val="24"/>
          <w:szCs w:val="24"/>
        </w:rPr>
        <w:t>chấm dứt</w:t>
      </w:r>
      <w:r w:rsidRPr="00CB2280">
        <w:rPr>
          <w:rFonts w:ascii="Times New Roman" w:hAnsi="Times New Roman" w:cs="Times New Roman"/>
          <w:color w:val="000000" w:themeColor="text1"/>
          <w:sz w:val="24"/>
          <w:szCs w:val="24"/>
        </w:rPr>
        <w:t xml:space="preserve"> của đơn vị. Tuy nhiên, nếu một đơn vị phân bổ</w:t>
      </w:r>
      <w:r w:rsidR="00B53215" w:rsidRPr="00CB2280">
        <w:rPr>
          <w:rFonts w:ascii="Times New Roman" w:hAnsi="Times New Roman" w:cs="Times New Roman"/>
          <w:color w:val="000000" w:themeColor="text1"/>
          <w:sz w:val="24"/>
          <w:szCs w:val="24"/>
        </w:rPr>
        <w:t xml:space="preserve"> cho</w:t>
      </w:r>
      <w:r w:rsidRPr="00CB2280">
        <w:rPr>
          <w:rFonts w:ascii="Times New Roman" w:hAnsi="Times New Roman" w:cs="Times New Roman"/>
          <w:color w:val="000000" w:themeColor="text1"/>
          <w:sz w:val="24"/>
          <w:szCs w:val="24"/>
        </w:rPr>
        <w:t xml:space="preserve"> các bộ phận báo cáo </w:t>
      </w:r>
      <w:r w:rsidR="00B53215" w:rsidRPr="00CB2280">
        <w:rPr>
          <w:rFonts w:ascii="Times New Roman" w:hAnsi="Times New Roman" w:cs="Times New Roman"/>
          <w:color w:val="000000" w:themeColor="text1"/>
          <w:sz w:val="24"/>
          <w:szCs w:val="24"/>
        </w:rPr>
        <w:t>những khoản như chi phí thuế thu nhập doanh nghiệp, đơn vị sẽ phải đối chiếu tổng ch</w:t>
      </w:r>
      <w:r w:rsidR="00950EE4">
        <w:rPr>
          <w:rFonts w:ascii="Times New Roman" w:hAnsi="Times New Roman" w:cs="Times New Roman"/>
          <w:color w:val="000000" w:themeColor="text1"/>
          <w:sz w:val="24"/>
          <w:szCs w:val="24"/>
        </w:rPr>
        <w:t>ỉ</w:t>
      </w:r>
      <w:r w:rsidR="00B53215" w:rsidRPr="00CB2280">
        <w:rPr>
          <w:rFonts w:ascii="Times New Roman" w:hAnsi="Times New Roman" w:cs="Times New Roman"/>
          <w:color w:val="000000" w:themeColor="text1"/>
          <w:sz w:val="24"/>
          <w:szCs w:val="24"/>
        </w:rPr>
        <w:t xml:space="preserve"> tiêu lãi hoặc lỗ với lãi hoặc lỗ của </w:t>
      </w:r>
      <w:r w:rsidR="00E8669E" w:rsidRPr="00CB2280">
        <w:rPr>
          <w:rFonts w:ascii="Times New Roman" w:hAnsi="Times New Roman" w:cs="Times New Roman"/>
          <w:color w:val="000000" w:themeColor="text1"/>
          <w:sz w:val="24"/>
          <w:szCs w:val="24"/>
        </w:rPr>
        <w:t xml:space="preserve">toàn </w:t>
      </w:r>
      <w:r w:rsidR="00B53215" w:rsidRPr="00CB2280">
        <w:rPr>
          <w:rFonts w:ascii="Times New Roman" w:hAnsi="Times New Roman" w:cs="Times New Roman"/>
          <w:color w:val="000000" w:themeColor="text1"/>
          <w:sz w:val="24"/>
          <w:szCs w:val="24"/>
        </w:rPr>
        <w:t xml:space="preserve">đơn vị </w:t>
      </w:r>
      <w:r w:rsidR="00D13F55" w:rsidRPr="00CB2280">
        <w:rPr>
          <w:rFonts w:ascii="Times New Roman" w:hAnsi="Times New Roman" w:cs="Times New Roman"/>
          <w:color w:val="000000" w:themeColor="text1"/>
          <w:sz w:val="24"/>
          <w:szCs w:val="24"/>
        </w:rPr>
        <w:t xml:space="preserve">sau những </w:t>
      </w:r>
      <w:r w:rsidR="00E8669E" w:rsidRPr="00CB2280">
        <w:rPr>
          <w:rFonts w:ascii="Times New Roman" w:hAnsi="Times New Roman" w:cs="Times New Roman"/>
          <w:color w:val="000000" w:themeColor="text1"/>
          <w:sz w:val="24"/>
          <w:szCs w:val="24"/>
        </w:rPr>
        <w:t>khoản phân bổ</w:t>
      </w:r>
      <w:r w:rsidR="00D13F55" w:rsidRPr="00CB2280">
        <w:rPr>
          <w:rFonts w:ascii="Times New Roman" w:hAnsi="Times New Roman" w:cs="Times New Roman"/>
          <w:color w:val="000000" w:themeColor="text1"/>
          <w:sz w:val="24"/>
          <w:szCs w:val="24"/>
        </w:rPr>
        <w:t xml:space="preserve"> đó.</w:t>
      </w:r>
    </w:p>
    <w:p w:rsidR="00D13F55" w:rsidRPr="00CB2280" w:rsidRDefault="00D13F55"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Tổng tài sản của</w:t>
      </w:r>
      <w:r w:rsidR="00C7718D" w:rsidRPr="00CB2280">
        <w:rPr>
          <w:rFonts w:ascii="Times New Roman" w:hAnsi="Times New Roman" w:cs="Times New Roman"/>
          <w:color w:val="000000" w:themeColor="text1"/>
          <w:sz w:val="24"/>
          <w:szCs w:val="24"/>
        </w:rPr>
        <w:t xml:space="preserve"> các</w:t>
      </w:r>
      <w:r w:rsidRPr="00CB2280">
        <w:rPr>
          <w:rFonts w:ascii="Times New Roman" w:hAnsi="Times New Roman" w:cs="Times New Roman"/>
          <w:color w:val="000000" w:themeColor="text1"/>
          <w:sz w:val="24"/>
          <w:szCs w:val="24"/>
        </w:rPr>
        <w:t xml:space="preserve"> bộ phận báo cáo với tổng tài sản của </w:t>
      </w:r>
      <w:r w:rsidR="00E8669E" w:rsidRPr="00CB2280">
        <w:rPr>
          <w:rFonts w:ascii="Times New Roman" w:hAnsi="Times New Roman" w:cs="Times New Roman"/>
          <w:color w:val="000000" w:themeColor="text1"/>
          <w:sz w:val="24"/>
          <w:szCs w:val="24"/>
        </w:rPr>
        <w:t xml:space="preserve">toàn </w:t>
      </w:r>
      <w:r w:rsidRPr="00CB2280">
        <w:rPr>
          <w:rFonts w:ascii="Times New Roman" w:hAnsi="Times New Roman" w:cs="Times New Roman"/>
          <w:color w:val="000000" w:themeColor="text1"/>
          <w:sz w:val="24"/>
          <w:szCs w:val="24"/>
        </w:rPr>
        <w:t>đơn vị nếu tài sản của bộ ph</w:t>
      </w:r>
      <w:r w:rsidR="00E8669E" w:rsidRPr="00CB2280">
        <w:rPr>
          <w:rFonts w:ascii="Times New Roman" w:hAnsi="Times New Roman" w:cs="Times New Roman"/>
          <w:color w:val="000000" w:themeColor="text1"/>
          <w:sz w:val="24"/>
          <w:szCs w:val="24"/>
        </w:rPr>
        <w:t>ậ</w:t>
      </w:r>
      <w:r w:rsidRPr="00CB2280">
        <w:rPr>
          <w:rFonts w:ascii="Times New Roman" w:hAnsi="Times New Roman" w:cs="Times New Roman"/>
          <w:color w:val="000000" w:themeColor="text1"/>
          <w:sz w:val="24"/>
          <w:szCs w:val="24"/>
        </w:rPr>
        <w:t>n được báo cáo tuân theo quy định ở đoạn 23.</w:t>
      </w:r>
    </w:p>
    <w:p w:rsidR="00D13F55" w:rsidRPr="00CB2280" w:rsidRDefault="00C7718D"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Tổng công nợ của các bộ phận báo cáo với tổng công nợ của </w:t>
      </w:r>
      <w:r w:rsidR="00E8669E" w:rsidRPr="00CB2280">
        <w:rPr>
          <w:rFonts w:ascii="Times New Roman" w:hAnsi="Times New Roman" w:cs="Times New Roman"/>
          <w:color w:val="000000" w:themeColor="text1"/>
          <w:sz w:val="24"/>
          <w:szCs w:val="24"/>
        </w:rPr>
        <w:t xml:space="preserve">toàn </w:t>
      </w:r>
      <w:r w:rsidRPr="00CB2280">
        <w:rPr>
          <w:rFonts w:ascii="Times New Roman" w:hAnsi="Times New Roman" w:cs="Times New Roman"/>
          <w:color w:val="000000" w:themeColor="text1"/>
          <w:sz w:val="24"/>
          <w:szCs w:val="24"/>
        </w:rPr>
        <w:t>đơn vị nếu công nợ bộ phận được báo cáo tuân theo đoạn 23.</w:t>
      </w:r>
    </w:p>
    <w:p w:rsidR="00C7718D" w:rsidRPr="00CB2280" w:rsidRDefault="00C7718D"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Tổng các khoản mục trọng yếu của các bộ phận báo cáo phải được công khai tương ứng với khoản mục của </w:t>
      </w:r>
      <w:r w:rsidR="00E8669E" w:rsidRPr="00CB2280">
        <w:rPr>
          <w:rFonts w:ascii="Times New Roman" w:hAnsi="Times New Roman" w:cs="Times New Roman"/>
          <w:color w:val="000000" w:themeColor="text1"/>
          <w:sz w:val="24"/>
          <w:szCs w:val="24"/>
        </w:rPr>
        <w:t xml:space="preserve">toàn </w:t>
      </w:r>
      <w:r w:rsidRPr="00CB2280">
        <w:rPr>
          <w:rFonts w:ascii="Times New Roman" w:hAnsi="Times New Roman" w:cs="Times New Roman"/>
          <w:color w:val="000000" w:themeColor="text1"/>
          <w:sz w:val="24"/>
          <w:szCs w:val="24"/>
        </w:rPr>
        <w:t>đơn vị.</w:t>
      </w:r>
    </w:p>
    <w:p w:rsidR="00C7718D" w:rsidRPr="00CB2280" w:rsidRDefault="00C7718D" w:rsidP="00497676">
      <w:pPr>
        <w:autoSpaceDE w:val="0"/>
        <w:autoSpaceDN w:val="0"/>
        <w:adjustRightInd w:val="0"/>
        <w:spacing w:line="360" w:lineRule="auto"/>
        <w:ind w:left="720"/>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lastRenderedPageBreak/>
        <w:t xml:space="preserve">Tất cả các khoản mục </w:t>
      </w:r>
      <w:r w:rsidR="00D827BE" w:rsidRPr="00CB2280">
        <w:rPr>
          <w:rFonts w:ascii="Times New Roman" w:hAnsi="Times New Roman" w:cs="Times New Roman"/>
          <w:color w:val="000000" w:themeColor="text1"/>
          <w:sz w:val="24"/>
          <w:szCs w:val="24"/>
        </w:rPr>
        <w:t xml:space="preserve">trọng yếu được </w:t>
      </w:r>
      <w:r w:rsidRPr="00CB2280">
        <w:rPr>
          <w:rFonts w:ascii="Times New Roman" w:hAnsi="Times New Roman" w:cs="Times New Roman"/>
          <w:color w:val="000000" w:themeColor="text1"/>
          <w:sz w:val="24"/>
          <w:szCs w:val="24"/>
        </w:rPr>
        <w:t xml:space="preserve">đối chiếu có thể được nhận biết và mô tả </w:t>
      </w:r>
      <w:r w:rsidR="00950EE4">
        <w:rPr>
          <w:rFonts w:ascii="Times New Roman" w:hAnsi="Times New Roman" w:cs="Times New Roman"/>
          <w:color w:val="000000" w:themeColor="text1"/>
          <w:sz w:val="24"/>
          <w:szCs w:val="24"/>
        </w:rPr>
        <w:t>riêng</w:t>
      </w:r>
      <w:r w:rsidRPr="00CB2280">
        <w:rPr>
          <w:rFonts w:ascii="Times New Roman" w:hAnsi="Times New Roman" w:cs="Times New Roman"/>
          <w:color w:val="000000" w:themeColor="text1"/>
          <w:sz w:val="24"/>
          <w:szCs w:val="24"/>
        </w:rPr>
        <w:t>.Ví dụ,</w:t>
      </w:r>
      <w:r w:rsidR="00D827BE" w:rsidRPr="00CB2280">
        <w:rPr>
          <w:rFonts w:ascii="Times New Roman" w:hAnsi="Times New Roman" w:cs="Times New Roman"/>
          <w:color w:val="000000" w:themeColor="text1"/>
          <w:sz w:val="24"/>
          <w:szCs w:val="24"/>
        </w:rPr>
        <w:t xml:space="preserve"> giá trị của mỗi điều chỉnh trọng yếu bắt buộc để đảm bảo cân đối lãi hoặc lỗ của bộ phận báo cáo và đơn vị sẽ phải được nhận </w:t>
      </w:r>
      <w:r w:rsidR="00E8669E" w:rsidRPr="00CB2280">
        <w:rPr>
          <w:rFonts w:ascii="Times New Roman" w:hAnsi="Times New Roman" w:cs="Times New Roman"/>
          <w:color w:val="000000" w:themeColor="text1"/>
          <w:sz w:val="24"/>
          <w:szCs w:val="24"/>
        </w:rPr>
        <w:t>diện</w:t>
      </w:r>
      <w:r w:rsidR="00D827BE" w:rsidRPr="00CB2280">
        <w:rPr>
          <w:rFonts w:ascii="Times New Roman" w:hAnsi="Times New Roman" w:cs="Times New Roman"/>
          <w:color w:val="000000" w:themeColor="text1"/>
          <w:sz w:val="24"/>
          <w:szCs w:val="24"/>
        </w:rPr>
        <w:t xml:space="preserve"> và mô tả tách biệt.</w:t>
      </w:r>
    </w:p>
    <w:p w:rsidR="00D827BE" w:rsidRPr="00CB2280" w:rsidRDefault="00D827BE" w:rsidP="00950EE4">
      <w:pPr>
        <w:autoSpaceDE w:val="0"/>
        <w:autoSpaceDN w:val="0"/>
        <w:adjustRightInd w:val="0"/>
        <w:spacing w:line="360" w:lineRule="auto"/>
        <w:ind w:firstLine="720"/>
        <w:jc w:val="both"/>
        <w:rPr>
          <w:rFonts w:ascii="Times New Roman" w:hAnsi="Times New Roman" w:cs="Times New Roman"/>
          <w:b/>
          <w:bCs/>
          <w:color w:val="000000" w:themeColor="text1"/>
          <w:sz w:val="28"/>
          <w:szCs w:val="28"/>
        </w:rPr>
      </w:pPr>
      <w:r w:rsidRPr="00CB2280">
        <w:rPr>
          <w:rFonts w:ascii="Times New Roman" w:hAnsi="Times New Roman" w:cs="Times New Roman"/>
          <w:b/>
          <w:bCs/>
          <w:color w:val="000000" w:themeColor="text1"/>
          <w:sz w:val="28"/>
          <w:szCs w:val="28"/>
        </w:rPr>
        <w:t>Trình bày lại thông tin đã báo cáo trước kia</w:t>
      </w:r>
    </w:p>
    <w:p w:rsidR="00ED2972" w:rsidRPr="00CB2280" w:rsidRDefault="00D827BE" w:rsidP="00497676">
      <w:pPr>
        <w:pStyle w:val="ListParagraph"/>
        <w:numPr>
          <w:ilvl w:val="0"/>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Nếu một đơn vị thay đổi cấu trúc tổ chức trong nội bộ theo cách thức </w:t>
      </w:r>
      <w:r w:rsidR="00E8669E" w:rsidRPr="00CB2280">
        <w:rPr>
          <w:rFonts w:ascii="Times New Roman" w:hAnsi="Times New Roman" w:cs="Times New Roman"/>
          <w:color w:val="000000" w:themeColor="text1"/>
          <w:sz w:val="24"/>
          <w:szCs w:val="24"/>
        </w:rPr>
        <w:t>dẫn đến</w:t>
      </w:r>
      <w:r w:rsidR="009E1591" w:rsidRPr="00CB2280">
        <w:rPr>
          <w:rFonts w:ascii="Times New Roman" w:hAnsi="Times New Roman" w:cs="Times New Roman"/>
          <w:color w:val="000000" w:themeColor="text1"/>
          <w:sz w:val="24"/>
          <w:szCs w:val="24"/>
        </w:rPr>
        <w:t xml:space="preserve"> </w:t>
      </w:r>
      <w:r w:rsidR="00950EE4">
        <w:rPr>
          <w:rFonts w:ascii="Times New Roman" w:hAnsi="Times New Roman" w:cs="Times New Roman"/>
          <w:color w:val="000000" w:themeColor="text1"/>
          <w:sz w:val="24"/>
          <w:szCs w:val="24"/>
        </w:rPr>
        <w:t>quan hệ</w:t>
      </w:r>
      <w:r w:rsidR="009E1591" w:rsidRPr="00CB2280">
        <w:rPr>
          <w:rFonts w:ascii="Times New Roman" w:hAnsi="Times New Roman" w:cs="Times New Roman"/>
          <w:color w:val="000000" w:themeColor="text1"/>
          <w:sz w:val="24"/>
          <w:szCs w:val="24"/>
        </w:rPr>
        <w:t xml:space="preserve"> của đơn vị với các bộ phận báo cáo có sự thay đổi, thì những thông tin tương ứng về những kỳ</w:t>
      </w:r>
      <w:r w:rsidR="00E8669E" w:rsidRPr="00CB2280">
        <w:rPr>
          <w:rFonts w:ascii="Times New Roman" w:hAnsi="Times New Roman" w:cs="Times New Roman"/>
          <w:color w:val="000000" w:themeColor="text1"/>
          <w:sz w:val="24"/>
          <w:szCs w:val="24"/>
        </w:rPr>
        <w:t xml:space="preserve"> kế toán</w:t>
      </w:r>
      <w:r w:rsidR="009E1591" w:rsidRPr="00CB2280">
        <w:rPr>
          <w:rFonts w:ascii="Times New Roman" w:hAnsi="Times New Roman" w:cs="Times New Roman"/>
          <w:color w:val="000000" w:themeColor="text1"/>
          <w:sz w:val="24"/>
          <w:szCs w:val="24"/>
        </w:rPr>
        <w:t xml:space="preserve"> trước kia, bao gồm cả giữa niên độ sẽ phải được trình bày lại trừ khi thông tin không sẵn có và chi phí để có được những thông tin này là quá cao.</w:t>
      </w:r>
      <w:r w:rsidR="00EA10C6" w:rsidRPr="00CB2280">
        <w:rPr>
          <w:rFonts w:ascii="Times New Roman" w:hAnsi="Times New Roman" w:cs="Times New Roman"/>
          <w:color w:val="000000" w:themeColor="text1"/>
          <w:sz w:val="24"/>
          <w:szCs w:val="24"/>
        </w:rPr>
        <w:t xml:space="preserve"> Việc xác định liệu thông tin là không sẵn có hoặc chi phí phát triển thông tin là quá cao sẽ được thực hiện cho từng khoản mục công khai đơn lẻ. Theo sau sự thay đổi của cấu trúc của các bộ phận phải báo cáo, một đơn vị sẽ công khai liệu nó đã trình bày lại các khoản mục tương ứng với thông tin bộ phận cho các giai đoạn trước kia</w:t>
      </w:r>
      <w:r w:rsidR="00E8669E" w:rsidRPr="00CB2280">
        <w:rPr>
          <w:rFonts w:ascii="Times New Roman" w:hAnsi="Times New Roman" w:cs="Times New Roman"/>
          <w:color w:val="000000" w:themeColor="text1"/>
          <w:sz w:val="24"/>
          <w:szCs w:val="24"/>
        </w:rPr>
        <w:t xml:space="preserve"> hay không</w:t>
      </w:r>
      <w:r w:rsidR="00EA10C6" w:rsidRPr="00CB2280">
        <w:rPr>
          <w:rFonts w:ascii="Times New Roman" w:hAnsi="Times New Roman" w:cs="Times New Roman"/>
          <w:color w:val="000000" w:themeColor="text1"/>
          <w:sz w:val="24"/>
          <w:szCs w:val="24"/>
        </w:rPr>
        <w:t>.</w:t>
      </w:r>
    </w:p>
    <w:p w:rsidR="00EA10C6" w:rsidRPr="00CB2280" w:rsidRDefault="00EA10C6" w:rsidP="00497676">
      <w:pPr>
        <w:pStyle w:val="ListParagraph"/>
        <w:numPr>
          <w:ilvl w:val="0"/>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Nếu một đơn vị đã thay đổi cấu trúc nội bộ</w:t>
      </w:r>
      <w:r w:rsidR="00CC3D99" w:rsidRPr="00CB2280">
        <w:rPr>
          <w:rFonts w:ascii="Times New Roman" w:hAnsi="Times New Roman" w:cs="Times New Roman"/>
          <w:color w:val="000000" w:themeColor="text1"/>
          <w:sz w:val="24"/>
          <w:szCs w:val="24"/>
        </w:rPr>
        <w:t xml:space="preserve"> theo cách thức làm cho cấu trúc của các bộ phận báo cáo thay đối và nếu thông tin bộ phận cho các kỳ trước, bao gồm cả giữa niên độ, không phải trình bày lại để phản ánh sự thay đổi, đơn vị sẽ công khai trong năm mà tại đó sự thay đổi xuất hiện thông tin bộ phận cho kỳ hiện tại </w:t>
      </w:r>
      <w:r w:rsidR="00E8669E" w:rsidRPr="00CB2280">
        <w:rPr>
          <w:rFonts w:ascii="Times New Roman" w:hAnsi="Times New Roman" w:cs="Times New Roman"/>
          <w:color w:val="000000" w:themeColor="text1"/>
          <w:sz w:val="24"/>
          <w:szCs w:val="24"/>
        </w:rPr>
        <w:t>theo</w:t>
      </w:r>
      <w:r w:rsidR="00CC3D99" w:rsidRPr="00CB2280">
        <w:rPr>
          <w:rFonts w:ascii="Times New Roman" w:hAnsi="Times New Roman" w:cs="Times New Roman"/>
          <w:color w:val="000000" w:themeColor="text1"/>
          <w:sz w:val="24"/>
          <w:szCs w:val="24"/>
        </w:rPr>
        <w:t xml:space="preserve"> cả cơ sở trước kia và cơ sở mới của các </w:t>
      </w:r>
      <w:r w:rsidR="00E8669E" w:rsidRPr="00CB2280">
        <w:rPr>
          <w:rFonts w:ascii="Times New Roman" w:hAnsi="Times New Roman" w:cs="Times New Roman"/>
          <w:color w:val="000000" w:themeColor="text1"/>
          <w:sz w:val="24"/>
          <w:szCs w:val="24"/>
        </w:rPr>
        <w:t>tổ chức</w:t>
      </w:r>
      <w:r w:rsidR="00CC3D99" w:rsidRPr="00CB2280">
        <w:rPr>
          <w:rFonts w:ascii="Times New Roman" w:hAnsi="Times New Roman" w:cs="Times New Roman"/>
          <w:color w:val="000000" w:themeColor="text1"/>
          <w:sz w:val="24"/>
          <w:szCs w:val="24"/>
        </w:rPr>
        <w:t xml:space="preserve"> đơn vị, trừ phi thông tin cần thiết không sẵn có và chi phí phát triển nó là quá cao</w:t>
      </w:r>
      <w:r w:rsidR="00A72FB0" w:rsidRPr="00CB2280">
        <w:rPr>
          <w:rFonts w:ascii="Times New Roman" w:hAnsi="Times New Roman" w:cs="Times New Roman"/>
          <w:color w:val="000000" w:themeColor="text1"/>
          <w:sz w:val="24"/>
          <w:szCs w:val="24"/>
        </w:rPr>
        <w:t>.</w:t>
      </w:r>
    </w:p>
    <w:p w:rsidR="00A72FB0" w:rsidRPr="00CB2280" w:rsidRDefault="007914E8" w:rsidP="00C44943">
      <w:pPr>
        <w:autoSpaceDE w:val="0"/>
        <w:autoSpaceDN w:val="0"/>
        <w:adjustRightInd w:val="0"/>
        <w:spacing w:line="360" w:lineRule="auto"/>
        <w:ind w:firstLine="360"/>
        <w:jc w:val="both"/>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rPr>
        <w:pict>
          <v:line id="Straight Connector 11" o:spid="_x0000_s1031" style="position:absolute;left:0;text-align:left;z-index:251671552;visibility:visible" from="1.5pt,21.2pt" to="467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" strokecolor="black [3200]" strokeweight=".5pt">
            <v:stroke joinstyle="miter"/>
          </v:line>
        </w:pict>
      </w:r>
      <w:r w:rsidR="00A72FB0" w:rsidRPr="00CB2280">
        <w:rPr>
          <w:rFonts w:ascii="Times New Roman" w:hAnsi="Times New Roman" w:cs="Times New Roman"/>
          <w:b/>
          <w:bCs/>
          <w:color w:val="000000" w:themeColor="text1"/>
          <w:sz w:val="28"/>
          <w:szCs w:val="28"/>
        </w:rPr>
        <w:t>Công khai toàn bộ đơn vị</w:t>
      </w:r>
    </w:p>
    <w:p w:rsidR="00A72FB0" w:rsidRPr="00CB2280" w:rsidRDefault="00B912AE" w:rsidP="00497676">
      <w:pPr>
        <w:pStyle w:val="ListParagraph"/>
        <w:numPr>
          <w:ilvl w:val="0"/>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Đoạn 32-34 áp dụng cho tất cả các đơn vị thuộc quy định của chuẩn mực này bao gồm những đơn vị có một </w:t>
      </w:r>
      <w:r w:rsidR="00E8669E" w:rsidRPr="00CB2280">
        <w:rPr>
          <w:rFonts w:ascii="Times New Roman" w:hAnsi="Times New Roman" w:cs="Times New Roman"/>
          <w:color w:val="000000" w:themeColor="text1"/>
          <w:sz w:val="24"/>
          <w:szCs w:val="24"/>
        </w:rPr>
        <w:t>bộ phận hoạt động</w:t>
      </w:r>
      <w:r w:rsidRPr="00CB2280">
        <w:rPr>
          <w:rFonts w:ascii="Times New Roman" w:hAnsi="Times New Roman" w:cs="Times New Roman"/>
          <w:color w:val="000000" w:themeColor="text1"/>
          <w:sz w:val="24"/>
          <w:szCs w:val="24"/>
        </w:rPr>
        <w:t xml:space="preserve"> riêng.</w:t>
      </w:r>
      <w:r w:rsidR="00BF6638" w:rsidRPr="00CB2280">
        <w:rPr>
          <w:rFonts w:ascii="Times New Roman" w:hAnsi="Times New Roman" w:cs="Times New Roman"/>
          <w:color w:val="000000" w:themeColor="text1"/>
          <w:sz w:val="24"/>
          <w:szCs w:val="24"/>
        </w:rPr>
        <w:t xml:space="preserve"> Một số hoạt động kinh </w:t>
      </w:r>
      <w:r w:rsidR="00E8669E" w:rsidRPr="00CB2280">
        <w:rPr>
          <w:rFonts w:ascii="Times New Roman" w:hAnsi="Times New Roman" w:cs="Times New Roman"/>
          <w:color w:val="000000" w:themeColor="text1"/>
          <w:sz w:val="24"/>
          <w:szCs w:val="24"/>
        </w:rPr>
        <w:t>doanh</w:t>
      </w:r>
      <w:r w:rsidR="00BF6638" w:rsidRPr="00CB2280">
        <w:rPr>
          <w:rFonts w:ascii="Times New Roman" w:hAnsi="Times New Roman" w:cs="Times New Roman"/>
          <w:color w:val="000000" w:themeColor="text1"/>
          <w:sz w:val="24"/>
          <w:szCs w:val="24"/>
        </w:rPr>
        <w:t xml:space="preserve"> của các đơn vị không được tổ chức </w:t>
      </w:r>
      <w:r w:rsidR="00E8669E" w:rsidRPr="00CB2280">
        <w:rPr>
          <w:rFonts w:ascii="Times New Roman" w:hAnsi="Times New Roman" w:cs="Times New Roman"/>
          <w:color w:val="000000" w:themeColor="text1"/>
          <w:sz w:val="24"/>
          <w:szCs w:val="24"/>
        </w:rPr>
        <w:t>theo</w:t>
      </w:r>
      <w:r w:rsidR="00BF6638" w:rsidRPr="00CB2280">
        <w:rPr>
          <w:rFonts w:ascii="Times New Roman" w:hAnsi="Times New Roman" w:cs="Times New Roman"/>
          <w:color w:val="000000" w:themeColor="text1"/>
          <w:sz w:val="24"/>
          <w:szCs w:val="24"/>
        </w:rPr>
        <w:t xml:space="preserve"> sản phẩm và dịch vụ liên quan hoặc sự khác biệt về khu vực địa lý.</w:t>
      </w:r>
      <w:r w:rsidR="00A82B99" w:rsidRPr="00CB2280">
        <w:rPr>
          <w:rFonts w:ascii="Times New Roman" w:hAnsi="Times New Roman" w:cs="Times New Roman"/>
          <w:color w:val="000000" w:themeColor="text1"/>
          <w:sz w:val="24"/>
          <w:szCs w:val="24"/>
        </w:rPr>
        <w:t xml:space="preserve"> Các bộ phận phải báo cáo của các đơn vị </w:t>
      </w:r>
      <w:r w:rsidR="00E8669E" w:rsidRPr="00CB2280">
        <w:rPr>
          <w:rFonts w:ascii="Times New Roman" w:hAnsi="Times New Roman" w:cs="Times New Roman"/>
          <w:color w:val="000000" w:themeColor="text1"/>
          <w:sz w:val="24"/>
          <w:szCs w:val="24"/>
        </w:rPr>
        <w:t xml:space="preserve">đó </w:t>
      </w:r>
      <w:r w:rsidR="00A82B99" w:rsidRPr="00CB2280">
        <w:rPr>
          <w:rFonts w:ascii="Times New Roman" w:hAnsi="Times New Roman" w:cs="Times New Roman"/>
          <w:color w:val="000000" w:themeColor="text1"/>
          <w:sz w:val="24"/>
          <w:szCs w:val="24"/>
        </w:rPr>
        <w:t xml:space="preserve">có thể báo cáo doanh thu của các sản phẩm và dịch vụ </w:t>
      </w:r>
      <w:r w:rsidR="00E8669E" w:rsidRPr="00CB2280">
        <w:rPr>
          <w:rFonts w:ascii="Times New Roman" w:hAnsi="Times New Roman" w:cs="Times New Roman"/>
          <w:color w:val="000000" w:themeColor="text1"/>
          <w:sz w:val="24"/>
          <w:szCs w:val="24"/>
        </w:rPr>
        <w:t>khác nhau</w:t>
      </w:r>
      <w:r w:rsidR="00A82B99" w:rsidRPr="00CB2280">
        <w:rPr>
          <w:rFonts w:ascii="Times New Roman" w:hAnsi="Times New Roman" w:cs="Times New Roman"/>
          <w:color w:val="000000" w:themeColor="text1"/>
          <w:sz w:val="24"/>
          <w:szCs w:val="24"/>
        </w:rPr>
        <w:t>, hoặc</w:t>
      </w:r>
      <w:r w:rsidR="0015526E" w:rsidRPr="00CB2280">
        <w:rPr>
          <w:rFonts w:ascii="Times New Roman" w:hAnsi="Times New Roman" w:cs="Times New Roman"/>
          <w:color w:val="000000" w:themeColor="text1"/>
          <w:sz w:val="24"/>
          <w:szCs w:val="24"/>
        </w:rPr>
        <w:t xml:space="preserve"> có</w:t>
      </w:r>
      <w:r w:rsidR="00A82B99" w:rsidRPr="00CB2280">
        <w:rPr>
          <w:rFonts w:ascii="Times New Roman" w:hAnsi="Times New Roman" w:cs="Times New Roman"/>
          <w:color w:val="000000" w:themeColor="text1"/>
          <w:sz w:val="24"/>
          <w:szCs w:val="24"/>
        </w:rPr>
        <w:t xml:space="preserve"> nhiều hơn một bộ phận báo cáo cung cấp thông tin về cùng nhóm sản phẩm và dịch vụ. </w:t>
      </w:r>
      <w:r w:rsidR="0015526E" w:rsidRPr="00CB2280">
        <w:rPr>
          <w:rFonts w:ascii="Times New Roman" w:hAnsi="Times New Roman" w:cs="Times New Roman"/>
          <w:color w:val="000000" w:themeColor="text1"/>
          <w:sz w:val="24"/>
          <w:szCs w:val="24"/>
        </w:rPr>
        <w:t xml:space="preserve">Tương tự, các bộ phận </w:t>
      </w:r>
      <w:r w:rsidR="00E8669E" w:rsidRPr="00CB2280">
        <w:rPr>
          <w:rFonts w:ascii="Times New Roman" w:hAnsi="Times New Roman" w:cs="Times New Roman"/>
          <w:color w:val="000000" w:themeColor="text1"/>
          <w:sz w:val="24"/>
          <w:szCs w:val="24"/>
        </w:rPr>
        <w:t xml:space="preserve">hoạt động của một đơn vị </w:t>
      </w:r>
      <w:r w:rsidR="0015526E" w:rsidRPr="00CB2280">
        <w:rPr>
          <w:rFonts w:ascii="Times New Roman" w:hAnsi="Times New Roman" w:cs="Times New Roman"/>
          <w:color w:val="000000" w:themeColor="text1"/>
          <w:sz w:val="24"/>
          <w:szCs w:val="24"/>
        </w:rPr>
        <w:t>có thể nắm giữ các loại tài sản ở các khu vực địa lý khác nhau</w:t>
      </w:r>
      <w:r w:rsidR="00E8669E" w:rsidRPr="00CB2280">
        <w:rPr>
          <w:rFonts w:ascii="Times New Roman" w:hAnsi="Times New Roman" w:cs="Times New Roman"/>
          <w:color w:val="000000" w:themeColor="text1"/>
          <w:sz w:val="24"/>
          <w:szCs w:val="24"/>
        </w:rPr>
        <w:t xml:space="preserve"> báo cáo doanh thu từ khác</w:t>
      </w:r>
      <w:r w:rsidR="00C44943">
        <w:rPr>
          <w:rFonts w:ascii="Times New Roman" w:hAnsi="Times New Roman" w:cs="Times New Roman"/>
          <w:color w:val="000000" w:themeColor="text1"/>
          <w:sz w:val="24"/>
          <w:szCs w:val="24"/>
        </w:rPr>
        <w:t>h</w:t>
      </w:r>
      <w:r w:rsidR="00E8669E" w:rsidRPr="00CB2280">
        <w:rPr>
          <w:rFonts w:ascii="Times New Roman" w:hAnsi="Times New Roman" w:cs="Times New Roman"/>
          <w:color w:val="000000" w:themeColor="text1"/>
          <w:sz w:val="24"/>
          <w:szCs w:val="24"/>
        </w:rPr>
        <w:t xml:space="preserve"> hàng</w:t>
      </w:r>
      <w:r w:rsidR="00077146" w:rsidRPr="00CB2280">
        <w:rPr>
          <w:rFonts w:ascii="Times New Roman" w:hAnsi="Times New Roman" w:cs="Times New Roman"/>
          <w:color w:val="000000" w:themeColor="text1"/>
          <w:sz w:val="24"/>
          <w:szCs w:val="24"/>
        </w:rPr>
        <w:t xml:space="preserve"> từ các địa bàn khác nhau</w:t>
      </w:r>
      <w:r w:rsidR="0015526E" w:rsidRPr="00CB2280">
        <w:rPr>
          <w:rFonts w:ascii="Times New Roman" w:hAnsi="Times New Roman" w:cs="Times New Roman"/>
          <w:color w:val="000000" w:themeColor="text1"/>
          <w:sz w:val="24"/>
          <w:szCs w:val="24"/>
        </w:rPr>
        <w:t xml:space="preserve">, hoặc nhiều hơn một bộ phận báo cáo của đơn vị đó có thể hoạt động trong cùng khu vực địa lý. Thông tin yêu cầu công khai theo đoạn 32-34 sẽ </w:t>
      </w:r>
      <w:r w:rsidR="000F57FC" w:rsidRPr="00CB2280">
        <w:rPr>
          <w:rFonts w:ascii="Times New Roman" w:hAnsi="Times New Roman" w:cs="Times New Roman"/>
          <w:color w:val="000000" w:themeColor="text1"/>
          <w:sz w:val="24"/>
          <w:szCs w:val="24"/>
        </w:rPr>
        <w:t xml:space="preserve">phải </w:t>
      </w:r>
      <w:r w:rsidR="00C44943">
        <w:rPr>
          <w:rFonts w:ascii="Times New Roman" w:hAnsi="Times New Roman" w:cs="Times New Roman"/>
          <w:color w:val="000000" w:themeColor="text1"/>
          <w:sz w:val="24"/>
          <w:szCs w:val="24"/>
        </w:rPr>
        <w:t>trình bày</w:t>
      </w:r>
      <w:r w:rsidR="000F57FC" w:rsidRPr="00CB2280">
        <w:rPr>
          <w:rFonts w:ascii="Times New Roman" w:hAnsi="Times New Roman" w:cs="Times New Roman"/>
          <w:color w:val="000000" w:themeColor="text1"/>
          <w:sz w:val="24"/>
          <w:szCs w:val="24"/>
        </w:rPr>
        <w:t xml:space="preserve"> chỉ khi đơn vị không cung cấp theo quy định của chuẩn mực này.</w:t>
      </w:r>
    </w:p>
    <w:p w:rsidR="000F57FC" w:rsidRPr="00CB2280" w:rsidRDefault="007914E8" w:rsidP="00497676">
      <w:pPr>
        <w:autoSpaceDE w:val="0"/>
        <w:autoSpaceDN w:val="0"/>
        <w:adjustRightInd w:val="0"/>
        <w:spacing w:line="360" w:lineRule="auto"/>
        <w:ind w:left="360"/>
        <w:jc w:val="both"/>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rPr>
        <w:lastRenderedPageBreak/>
        <w:pict>
          <v:line id="Straight Connector 12" o:spid="_x0000_s1030" style="position:absolute;left:0;text-align:left;z-index:251672576;visibility:visible" from="13.5pt,23.5pt" to="46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" strokecolor="black [3200]" strokeweight=".5pt">
            <v:stroke joinstyle="miter"/>
          </v:line>
        </w:pict>
      </w:r>
      <w:r w:rsidR="000F57FC" w:rsidRPr="00CB2280">
        <w:rPr>
          <w:rFonts w:ascii="Times New Roman" w:hAnsi="Times New Roman" w:cs="Times New Roman"/>
          <w:b/>
          <w:bCs/>
          <w:color w:val="000000" w:themeColor="text1"/>
          <w:sz w:val="28"/>
          <w:szCs w:val="28"/>
        </w:rPr>
        <w:t>Thông tin về sản phẩm và dịch vụ</w:t>
      </w:r>
    </w:p>
    <w:p w:rsidR="000F57FC" w:rsidRPr="00CB2280" w:rsidRDefault="000F57FC" w:rsidP="00497676">
      <w:pPr>
        <w:pStyle w:val="ListParagraph"/>
        <w:numPr>
          <w:ilvl w:val="0"/>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Một đơn vị sẽ báo cáo doanh thu với khách hàng bên ngoài cho mỗi sản phẩm và dịch vụ, hoặc mỗi nhóm sản phẩm và dịch vụ tương tự, trừ khi những thông tin cần thiết là không sẵn có và chi phí để ph</w:t>
      </w:r>
      <w:r w:rsidR="00327B05" w:rsidRPr="00CB2280">
        <w:rPr>
          <w:rFonts w:ascii="Times New Roman" w:hAnsi="Times New Roman" w:cs="Times New Roman"/>
          <w:color w:val="000000" w:themeColor="text1"/>
          <w:sz w:val="24"/>
          <w:szCs w:val="24"/>
        </w:rPr>
        <w:t xml:space="preserve">át triển nó sẽ quá </w:t>
      </w:r>
      <w:r w:rsidR="00077146" w:rsidRPr="00CB2280">
        <w:rPr>
          <w:rFonts w:ascii="Times New Roman" w:hAnsi="Times New Roman" w:cs="Times New Roman"/>
          <w:color w:val="000000" w:themeColor="text1"/>
          <w:sz w:val="24"/>
          <w:szCs w:val="24"/>
        </w:rPr>
        <w:t>cao</w:t>
      </w:r>
      <w:r w:rsidR="00327B05" w:rsidRPr="00CB2280">
        <w:rPr>
          <w:rFonts w:ascii="Times New Roman" w:hAnsi="Times New Roman" w:cs="Times New Roman"/>
          <w:color w:val="000000" w:themeColor="text1"/>
          <w:sz w:val="24"/>
          <w:szCs w:val="24"/>
        </w:rPr>
        <w:t xml:space="preserve">, </w:t>
      </w:r>
      <w:r w:rsidR="00C44943">
        <w:rPr>
          <w:rFonts w:ascii="Times New Roman" w:hAnsi="Times New Roman" w:cs="Times New Roman"/>
          <w:color w:val="000000" w:themeColor="text1"/>
          <w:sz w:val="24"/>
          <w:szCs w:val="24"/>
        </w:rPr>
        <w:t>khi</w:t>
      </w:r>
      <w:r w:rsidR="00327B05" w:rsidRPr="00CB2280">
        <w:rPr>
          <w:rFonts w:ascii="Times New Roman" w:hAnsi="Times New Roman" w:cs="Times New Roman"/>
          <w:color w:val="000000" w:themeColor="text1"/>
          <w:sz w:val="24"/>
          <w:szCs w:val="24"/>
        </w:rPr>
        <w:t xml:space="preserve"> đó thực tế sẽ phải công khai. Doanh thu báo cáo sẽ dựa trên thông tin tài chính được sử dụng để lập báo cáo tài chính của đơn vị.</w:t>
      </w:r>
    </w:p>
    <w:p w:rsidR="00327B05" w:rsidRPr="00CB2280" w:rsidRDefault="00327B05" w:rsidP="006E2FCF">
      <w:pPr>
        <w:autoSpaceDE w:val="0"/>
        <w:autoSpaceDN w:val="0"/>
        <w:adjustRightInd w:val="0"/>
        <w:spacing w:line="360" w:lineRule="auto"/>
        <w:ind w:left="360" w:firstLine="360"/>
        <w:jc w:val="both"/>
        <w:rPr>
          <w:rFonts w:ascii="Times New Roman" w:hAnsi="Times New Roman" w:cs="Times New Roman"/>
          <w:b/>
          <w:bCs/>
          <w:color w:val="000000" w:themeColor="text1"/>
          <w:sz w:val="28"/>
          <w:szCs w:val="28"/>
        </w:rPr>
      </w:pPr>
      <w:r w:rsidRPr="00CB2280">
        <w:rPr>
          <w:rFonts w:ascii="Times New Roman" w:hAnsi="Times New Roman" w:cs="Times New Roman"/>
          <w:b/>
          <w:bCs/>
          <w:color w:val="000000" w:themeColor="text1"/>
          <w:sz w:val="28"/>
          <w:szCs w:val="28"/>
        </w:rPr>
        <w:t>Thông tin về các khu vực địa lý</w:t>
      </w:r>
    </w:p>
    <w:p w:rsidR="000F57FC" w:rsidRPr="00CB2280" w:rsidRDefault="003F766C" w:rsidP="00497676">
      <w:pPr>
        <w:pStyle w:val="ListParagraph"/>
        <w:numPr>
          <w:ilvl w:val="0"/>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Một đơn vị sẽ báo cáo các thông tin địa lý sau đây, trừ phi các thông tin cần thiết không sẵn có hoặc chi phí để có được nó sẽ quá cao:</w:t>
      </w:r>
    </w:p>
    <w:p w:rsidR="003F766C" w:rsidRPr="00CB2280" w:rsidRDefault="003F766C"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Doanh thu từ khách hàng bên ngoài (1) </w:t>
      </w:r>
      <w:r w:rsidR="00154028" w:rsidRPr="00CB2280">
        <w:rPr>
          <w:rFonts w:ascii="Times New Roman" w:hAnsi="Times New Roman" w:cs="Times New Roman"/>
          <w:color w:val="000000" w:themeColor="text1"/>
          <w:sz w:val="24"/>
          <w:szCs w:val="24"/>
        </w:rPr>
        <w:t>từ</w:t>
      </w:r>
      <w:r w:rsidRPr="00CB2280">
        <w:rPr>
          <w:rFonts w:ascii="Times New Roman" w:hAnsi="Times New Roman" w:cs="Times New Roman"/>
          <w:color w:val="000000" w:themeColor="text1"/>
          <w:sz w:val="24"/>
          <w:szCs w:val="24"/>
        </w:rPr>
        <w:t xml:space="preserve"> đất nước mà đơn vị cư trú, và (ii) </w:t>
      </w:r>
      <w:r w:rsidR="00154028" w:rsidRPr="00CB2280">
        <w:rPr>
          <w:rFonts w:ascii="Times New Roman" w:hAnsi="Times New Roman" w:cs="Times New Roman"/>
          <w:color w:val="000000" w:themeColor="text1"/>
          <w:sz w:val="24"/>
          <w:szCs w:val="24"/>
        </w:rPr>
        <w:t>từ</w:t>
      </w:r>
      <w:r w:rsidRPr="00CB2280">
        <w:rPr>
          <w:rFonts w:ascii="Times New Roman" w:hAnsi="Times New Roman" w:cs="Times New Roman"/>
          <w:color w:val="000000" w:themeColor="text1"/>
          <w:sz w:val="24"/>
          <w:szCs w:val="24"/>
        </w:rPr>
        <w:t xml:space="preserve"> </w:t>
      </w:r>
      <w:r w:rsidR="00154028" w:rsidRPr="00CB2280">
        <w:rPr>
          <w:rFonts w:ascii="Times New Roman" w:hAnsi="Times New Roman" w:cs="Times New Roman"/>
          <w:color w:val="000000" w:themeColor="text1"/>
          <w:sz w:val="24"/>
          <w:szCs w:val="24"/>
        </w:rPr>
        <w:t xml:space="preserve">các cơ sở nước ngoài trong tổng doanh thu của </w:t>
      </w:r>
      <w:r w:rsidR="00077146" w:rsidRPr="00CB2280">
        <w:rPr>
          <w:rFonts w:ascii="Times New Roman" w:hAnsi="Times New Roman" w:cs="Times New Roman"/>
          <w:color w:val="000000" w:themeColor="text1"/>
          <w:sz w:val="24"/>
          <w:szCs w:val="24"/>
        </w:rPr>
        <w:t xml:space="preserve">toàn </w:t>
      </w:r>
      <w:r w:rsidR="00154028" w:rsidRPr="00CB2280">
        <w:rPr>
          <w:rFonts w:ascii="Times New Roman" w:hAnsi="Times New Roman" w:cs="Times New Roman"/>
          <w:color w:val="000000" w:themeColor="text1"/>
          <w:sz w:val="24"/>
          <w:szCs w:val="24"/>
        </w:rPr>
        <w:t xml:space="preserve">đơn vị. Nếu doanh thu từ khách hàng bên ngoài từ một quốc gia cụ thể mà có tính trọng yếu thì doanh thu đó sẽ được công khai một cách riêng biệt. Một đơn vị sẽ công khai cơ sở </w:t>
      </w:r>
      <w:r w:rsidR="00077146" w:rsidRPr="00CB2280">
        <w:rPr>
          <w:rFonts w:ascii="Times New Roman" w:hAnsi="Times New Roman" w:cs="Times New Roman"/>
          <w:color w:val="000000" w:themeColor="text1"/>
          <w:sz w:val="24"/>
          <w:szCs w:val="24"/>
        </w:rPr>
        <w:t xml:space="preserve">ghi nhận </w:t>
      </w:r>
      <w:r w:rsidR="00154028" w:rsidRPr="00CB2280">
        <w:rPr>
          <w:rFonts w:ascii="Times New Roman" w:hAnsi="Times New Roman" w:cs="Times New Roman"/>
          <w:color w:val="000000" w:themeColor="text1"/>
          <w:sz w:val="24"/>
          <w:szCs w:val="24"/>
        </w:rPr>
        <w:t>doanh thu chính từ các khách hàng bên ngoài theo từng quốc gia.</w:t>
      </w:r>
    </w:p>
    <w:p w:rsidR="00C3597E" w:rsidRPr="00CB2280" w:rsidRDefault="00154028" w:rsidP="00497676">
      <w:pPr>
        <w:pStyle w:val="ListParagraph"/>
        <w:numPr>
          <w:ilvl w:val="1"/>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Các tài sản dài hạn ngoài công cụ tài chính, tài sản thuế thu nhập hoãn lại</w:t>
      </w:r>
      <w:r w:rsidR="00E72022" w:rsidRPr="00CB2280">
        <w:rPr>
          <w:rFonts w:ascii="Times New Roman" w:hAnsi="Times New Roman" w:cs="Times New Roman"/>
          <w:color w:val="000000" w:themeColor="text1"/>
          <w:sz w:val="24"/>
          <w:szCs w:val="24"/>
        </w:rPr>
        <w:t>, tài sản lợi ích nhân viên sau nghỉ việc, và các quyền phát sinh theo hợp đồng bảo hiểm (i)</w:t>
      </w:r>
      <w:r w:rsidR="00C3597E" w:rsidRPr="00CB2280">
        <w:rPr>
          <w:rFonts w:ascii="Times New Roman" w:hAnsi="Times New Roman" w:cs="Times New Roman"/>
          <w:color w:val="000000" w:themeColor="text1"/>
          <w:sz w:val="24"/>
          <w:szCs w:val="24"/>
        </w:rPr>
        <w:t xml:space="preserve"> tại đất nước mà đơn vị cư trú và (ii) đặt tại tất cả các quốc gia nước ngoài trong đó thực thể nắm giữ tài sản. Nếu tài sản ở một quốc gia nước ngoài riêng biệt là trọng yếu thì tài sản sẽ phải được công khai riêng.</w:t>
      </w:r>
    </w:p>
    <w:p w:rsidR="00154028" w:rsidRPr="00CB2280" w:rsidRDefault="00C3597E" w:rsidP="00497676">
      <w:pPr>
        <w:autoSpaceDE w:val="0"/>
        <w:autoSpaceDN w:val="0"/>
        <w:adjustRightInd w:val="0"/>
        <w:spacing w:line="360" w:lineRule="auto"/>
        <w:ind w:left="360"/>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Số tiền báo cáo </w:t>
      </w:r>
      <w:r w:rsidR="00DA3CE8" w:rsidRPr="00CB2280">
        <w:rPr>
          <w:rFonts w:ascii="Times New Roman" w:hAnsi="Times New Roman" w:cs="Times New Roman"/>
          <w:color w:val="000000" w:themeColor="text1"/>
          <w:sz w:val="24"/>
          <w:szCs w:val="24"/>
        </w:rPr>
        <w:t xml:space="preserve">dựa trên thông tin tài chính đã được sử dụng để lập báo cáo tài chính của đơn vị. Nếu những thông tin cần thiết không sẵn có hoặc chi phí để có được thông tin đó quá cao </w:t>
      </w:r>
      <w:r w:rsidR="00077146" w:rsidRPr="00CB2280">
        <w:rPr>
          <w:rFonts w:ascii="Times New Roman" w:hAnsi="Times New Roman" w:cs="Times New Roman"/>
          <w:color w:val="000000" w:themeColor="text1"/>
          <w:sz w:val="24"/>
          <w:szCs w:val="24"/>
        </w:rPr>
        <w:t xml:space="preserve">thì </w:t>
      </w:r>
      <w:r w:rsidR="00DA3CE8" w:rsidRPr="00CB2280">
        <w:rPr>
          <w:rFonts w:ascii="Times New Roman" w:hAnsi="Times New Roman" w:cs="Times New Roman"/>
          <w:color w:val="000000" w:themeColor="text1"/>
          <w:sz w:val="24"/>
          <w:szCs w:val="24"/>
        </w:rPr>
        <w:t xml:space="preserve">thực tế đó sẽ phải được công khai. Một đơn vị có thể công khai, bên cạnh những thông tin yêu cầu của đoạn này, các thông tin tổng </w:t>
      </w:r>
      <w:r w:rsidR="00077146" w:rsidRPr="00CB2280">
        <w:rPr>
          <w:rFonts w:ascii="Times New Roman" w:hAnsi="Times New Roman" w:cs="Times New Roman"/>
          <w:color w:val="000000" w:themeColor="text1"/>
          <w:sz w:val="24"/>
          <w:szCs w:val="24"/>
        </w:rPr>
        <w:t>hợp</w:t>
      </w:r>
      <w:r w:rsidR="00DA3CE8" w:rsidRPr="00CB2280">
        <w:rPr>
          <w:rFonts w:ascii="Times New Roman" w:hAnsi="Times New Roman" w:cs="Times New Roman"/>
          <w:color w:val="000000" w:themeColor="text1"/>
          <w:sz w:val="24"/>
          <w:szCs w:val="24"/>
        </w:rPr>
        <w:t xml:space="preserve"> theo địa bàn.</w:t>
      </w:r>
    </w:p>
    <w:p w:rsidR="00DA3CE8" w:rsidRPr="00CB2280" w:rsidRDefault="00DA3CE8" w:rsidP="006E2FCF">
      <w:pPr>
        <w:autoSpaceDE w:val="0"/>
        <w:autoSpaceDN w:val="0"/>
        <w:adjustRightInd w:val="0"/>
        <w:spacing w:line="360" w:lineRule="auto"/>
        <w:ind w:left="360" w:firstLine="360"/>
        <w:jc w:val="both"/>
        <w:rPr>
          <w:rFonts w:ascii="Times New Roman" w:hAnsi="Times New Roman" w:cs="Times New Roman"/>
          <w:b/>
          <w:bCs/>
          <w:color w:val="000000" w:themeColor="text1"/>
          <w:sz w:val="28"/>
          <w:szCs w:val="28"/>
        </w:rPr>
      </w:pPr>
      <w:r w:rsidRPr="00CB2280">
        <w:rPr>
          <w:rFonts w:ascii="Times New Roman" w:hAnsi="Times New Roman" w:cs="Times New Roman"/>
          <w:b/>
          <w:bCs/>
          <w:color w:val="000000" w:themeColor="text1"/>
          <w:sz w:val="28"/>
          <w:szCs w:val="28"/>
        </w:rPr>
        <w:t>Thông tin về các khách hàng chủ yếu</w:t>
      </w:r>
    </w:p>
    <w:p w:rsidR="00C3597E" w:rsidRDefault="00DA3CE8" w:rsidP="00497676">
      <w:pPr>
        <w:pStyle w:val="HTMLPreformatted"/>
        <w:numPr>
          <w:ilvl w:val="0"/>
          <w:numId w:val="2"/>
        </w:numPr>
        <w:shd w:val="clear" w:color="auto" w:fill="F8F9FA"/>
        <w:spacing w:line="360" w:lineRule="atLeast"/>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 </w:t>
      </w:r>
      <w:r w:rsidR="0063025A" w:rsidRPr="00CB2280">
        <w:rPr>
          <w:rFonts w:ascii="Times New Roman" w:hAnsi="Times New Roman" w:cs="Times New Roman"/>
          <w:color w:val="000000" w:themeColor="text1"/>
          <w:sz w:val="24"/>
          <w:szCs w:val="24"/>
        </w:rPr>
        <w:t xml:space="preserve">Một đơn vị sẽ cung cấp thông tin về mức độ phụ thuộc của nó vào khách hàng chính. Nếu doanh thu từ những nghiệp vụ với một khách hàng bên ngoài </w:t>
      </w:r>
      <w:r w:rsidR="00692278" w:rsidRPr="00CB2280">
        <w:rPr>
          <w:rFonts w:ascii="Times New Roman" w:hAnsi="Times New Roman" w:cs="Times New Roman"/>
          <w:color w:val="000000" w:themeColor="text1"/>
          <w:sz w:val="24"/>
          <w:szCs w:val="24"/>
        </w:rPr>
        <w:t xml:space="preserve">duy nhất </w:t>
      </w:r>
      <w:r w:rsidR="0063025A" w:rsidRPr="00CB2280">
        <w:rPr>
          <w:rFonts w:ascii="Times New Roman" w:hAnsi="Times New Roman" w:cs="Times New Roman"/>
          <w:color w:val="000000" w:themeColor="text1"/>
          <w:sz w:val="24"/>
          <w:szCs w:val="24"/>
        </w:rPr>
        <w:t xml:space="preserve">có số tiền </w:t>
      </w:r>
      <w:r w:rsidR="00077146" w:rsidRPr="00CB2280">
        <w:rPr>
          <w:rFonts w:ascii="Times New Roman" w:hAnsi="Times New Roman" w:cs="Times New Roman"/>
          <w:color w:val="000000" w:themeColor="text1"/>
          <w:sz w:val="24"/>
          <w:szCs w:val="24"/>
        </w:rPr>
        <w:t>chiếm</w:t>
      </w:r>
      <w:r w:rsidR="0063025A" w:rsidRPr="00CB2280">
        <w:rPr>
          <w:rFonts w:ascii="Times New Roman" w:hAnsi="Times New Roman" w:cs="Times New Roman"/>
          <w:color w:val="000000" w:themeColor="text1"/>
          <w:sz w:val="24"/>
          <w:szCs w:val="24"/>
        </w:rPr>
        <w:t xml:space="preserve"> 10% hoặc nhiều</w:t>
      </w:r>
      <w:r w:rsidR="00077146" w:rsidRPr="00CB2280">
        <w:rPr>
          <w:rFonts w:ascii="Times New Roman" w:hAnsi="Times New Roman" w:cs="Times New Roman"/>
          <w:color w:val="000000" w:themeColor="text1"/>
          <w:sz w:val="24"/>
          <w:szCs w:val="24"/>
        </w:rPr>
        <w:t xml:space="preserve"> hơn</w:t>
      </w:r>
      <w:r w:rsidR="0063025A" w:rsidRPr="00CB2280">
        <w:rPr>
          <w:rFonts w:ascii="Times New Roman" w:hAnsi="Times New Roman" w:cs="Times New Roman"/>
          <w:color w:val="000000" w:themeColor="text1"/>
          <w:sz w:val="24"/>
          <w:szCs w:val="24"/>
        </w:rPr>
        <w:t xml:space="preserve"> tổng doanh thu của </w:t>
      </w:r>
      <w:r w:rsidR="00077146" w:rsidRPr="00CB2280">
        <w:rPr>
          <w:rFonts w:ascii="Times New Roman" w:hAnsi="Times New Roman" w:cs="Times New Roman"/>
          <w:color w:val="000000" w:themeColor="text1"/>
          <w:sz w:val="24"/>
          <w:szCs w:val="24"/>
        </w:rPr>
        <w:t xml:space="preserve">toàn </w:t>
      </w:r>
      <w:r w:rsidR="0063025A" w:rsidRPr="00CB2280">
        <w:rPr>
          <w:rFonts w:ascii="Times New Roman" w:hAnsi="Times New Roman" w:cs="Times New Roman"/>
          <w:color w:val="000000" w:themeColor="text1"/>
          <w:sz w:val="24"/>
          <w:szCs w:val="24"/>
        </w:rPr>
        <w:t xml:space="preserve">đơn vị, đơn vị sẽ công khai thực tế đó, tổng doanh thu từ </w:t>
      </w:r>
      <w:r w:rsidR="00692278" w:rsidRPr="00CB2280">
        <w:rPr>
          <w:rFonts w:ascii="Times New Roman" w:hAnsi="Times New Roman" w:cs="Times New Roman"/>
          <w:color w:val="000000" w:themeColor="text1"/>
          <w:sz w:val="24"/>
          <w:szCs w:val="24"/>
        </w:rPr>
        <w:t>mỗi</w:t>
      </w:r>
      <w:r w:rsidR="0063025A" w:rsidRPr="00CB2280">
        <w:rPr>
          <w:rFonts w:ascii="Times New Roman" w:hAnsi="Times New Roman" w:cs="Times New Roman"/>
          <w:color w:val="000000" w:themeColor="text1"/>
          <w:sz w:val="24"/>
          <w:szCs w:val="24"/>
        </w:rPr>
        <w:t xml:space="preserve"> khách hàng, </w:t>
      </w:r>
      <w:r w:rsidR="00692278" w:rsidRPr="00CB2280">
        <w:rPr>
          <w:rFonts w:ascii="Times New Roman" w:hAnsi="Times New Roman" w:cs="Times New Roman"/>
          <w:color w:val="000000" w:themeColor="text1"/>
          <w:sz w:val="24"/>
          <w:szCs w:val="24"/>
        </w:rPr>
        <w:t xml:space="preserve">danh tính của bộ phận hoặc các bộ phận báo cáo </w:t>
      </w:r>
      <w:r w:rsidR="0063025A" w:rsidRPr="00CB2280">
        <w:rPr>
          <w:rFonts w:ascii="Times New Roman" w:hAnsi="Times New Roman" w:cs="Times New Roman"/>
          <w:color w:val="000000" w:themeColor="text1"/>
          <w:sz w:val="24"/>
          <w:szCs w:val="24"/>
        </w:rPr>
        <w:t xml:space="preserve">doanh thu. </w:t>
      </w:r>
      <w:r w:rsidR="00692278" w:rsidRPr="00CB2280">
        <w:rPr>
          <w:rFonts w:ascii="Times New Roman" w:hAnsi="Times New Roman" w:cs="Times New Roman"/>
          <w:color w:val="000000" w:themeColor="text1"/>
          <w:sz w:val="24"/>
          <w:szCs w:val="24"/>
        </w:rPr>
        <w:t xml:space="preserve">Đơn vị không cần công khai danh tính của khách hàng chính hoặc tổng doanh thu mà mỗi bộ phận báo cáo từ khách hàng đó. Theo mục đích của chuẩn mực này, một </w:t>
      </w:r>
      <w:r w:rsidR="00692278" w:rsidRPr="00CB2280">
        <w:rPr>
          <w:rFonts w:ascii="Times New Roman" w:hAnsi="Times New Roman" w:cs="Times New Roman"/>
          <w:color w:val="000000" w:themeColor="text1"/>
          <w:sz w:val="24"/>
          <w:szCs w:val="24"/>
        </w:rPr>
        <w:lastRenderedPageBreak/>
        <w:t xml:space="preserve">nhóm các đơn vị được biết đến như là một đơn vị báo cáo </w:t>
      </w:r>
      <w:r w:rsidR="0042552E" w:rsidRPr="00CB2280">
        <w:rPr>
          <w:rFonts w:ascii="Times New Roman" w:hAnsi="Times New Roman" w:cs="Times New Roman"/>
          <w:color w:val="000000" w:themeColor="text1"/>
          <w:sz w:val="24"/>
          <w:szCs w:val="24"/>
        </w:rPr>
        <w:t>dưới sự kiểm soát chung sẽ được xem như là một khách hàng duy nhất. Tuy nhiên, sự đánh giá/phán xét là cần thiết để đánh giá liệu chính phủ (bao gồm cả các cơ quan chính phủ và các cơ quan tương tự ở cấp độ địa phương, quốc gia hoặc quốc tế)</w:t>
      </w:r>
      <w:r w:rsidR="008B5843" w:rsidRPr="00CB2280">
        <w:rPr>
          <w:rFonts w:ascii="Times New Roman" w:hAnsi="Times New Roman" w:cs="Times New Roman"/>
          <w:color w:val="000000" w:themeColor="text1"/>
          <w:sz w:val="24"/>
          <w:szCs w:val="24"/>
        </w:rPr>
        <w:t xml:space="preserve"> và các </w:t>
      </w:r>
      <w:r w:rsidR="00077146" w:rsidRPr="00CB2280">
        <w:rPr>
          <w:rFonts w:ascii="Times New Roman" w:hAnsi="Times New Roman" w:cs="Times New Roman"/>
          <w:color w:val="000000" w:themeColor="text1"/>
          <w:sz w:val="24"/>
          <w:szCs w:val="24"/>
        </w:rPr>
        <w:t>đơn vị</w:t>
      </w:r>
      <w:r w:rsidR="008B5843" w:rsidRPr="00CB2280">
        <w:rPr>
          <w:rFonts w:ascii="Times New Roman" w:hAnsi="Times New Roman" w:cs="Times New Roman"/>
          <w:color w:val="000000" w:themeColor="text1"/>
          <w:sz w:val="24"/>
          <w:szCs w:val="24"/>
        </w:rPr>
        <w:t xml:space="preserve"> được biết đến </w:t>
      </w:r>
      <w:r w:rsidR="00077146" w:rsidRPr="00CB2280">
        <w:rPr>
          <w:rFonts w:ascii="Times New Roman" w:hAnsi="Times New Roman" w:cs="Times New Roman"/>
          <w:color w:val="000000" w:themeColor="text1"/>
          <w:sz w:val="24"/>
          <w:szCs w:val="24"/>
        </w:rPr>
        <w:t xml:space="preserve">như </w:t>
      </w:r>
      <w:r w:rsidR="008B5843" w:rsidRPr="00CB2280">
        <w:rPr>
          <w:rFonts w:ascii="Times New Roman" w:hAnsi="Times New Roman" w:cs="Times New Roman"/>
          <w:color w:val="000000" w:themeColor="text1"/>
          <w:sz w:val="24"/>
          <w:szCs w:val="24"/>
        </w:rPr>
        <w:t xml:space="preserve">là đơn vị báo cáo chịu sự kiểm soát như là </w:t>
      </w:r>
      <w:r w:rsidR="00077146" w:rsidRPr="00CB2280">
        <w:rPr>
          <w:rFonts w:ascii="Times New Roman" w:hAnsi="Times New Roman" w:cs="Times New Roman"/>
          <w:color w:val="000000" w:themeColor="text1"/>
          <w:sz w:val="24"/>
          <w:szCs w:val="24"/>
        </w:rPr>
        <w:t xml:space="preserve">một </w:t>
      </w:r>
      <w:r w:rsidR="008B5843" w:rsidRPr="00CB2280">
        <w:rPr>
          <w:rFonts w:ascii="Times New Roman" w:hAnsi="Times New Roman" w:cs="Times New Roman"/>
          <w:color w:val="000000" w:themeColor="text1"/>
          <w:sz w:val="24"/>
          <w:szCs w:val="24"/>
        </w:rPr>
        <w:t>khách hàng duy nhất. Trong việc đánh giá này, đơn vị báo cáo này sẽ xem xét mức độ hợp nhất kinh tế giữa các đơn vị đó.</w:t>
      </w:r>
    </w:p>
    <w:p w:rsidR="00CF307B" w:rsidRPr="00CB2280" w:rsidRDefault="00CF307B" w:rsidP="00497676">
      <w:pPr>
        <w:pStyle w:val="HTMLPreformatted"/>
        <w:shd w:val="clear" w:color="auto" w:fill="F8F9FA"/>
        <w:spacing w:line="360" w:lineRule="atLeast"/>
        <w:ind w:left="720"/>
        <w:jc w:val="both"/>
        <w:rPr>
          <w:rFonts w:ascii="Times New Roman" w:hAnsi="Times New Roman" w:cs="Times New Roman"/>
          <w:color w:val="000000" w:themeColor="text1"/>
          <w:sz w:val="24"/>
          <w:szCs w:val="24"/>
        </w:rPr>
      </w:pPr>
    </w:p>
    <w:p w:rsidR="00EF3753" w:rsidRPr="00CB2280" w:rsidRDefault="00EF3753" w:rsidP="00497676">
      <w:pPr>
        <w:pStyle w:val="HTMLPreformatted"/>
        <w:shd w:val="clear" w:color="auto" w:fill="F8F9FA"/>
        <w:spacing w:line="360" w:lineRule="atLeast"/>
        <w:ind w:left="360"/>
        <w:jc w:val="both"/>
        <w:rPr>
          <w:rFonts w:ascii="Times New Roman" w:hAnsi="Times New Roman" w:cs="Times New Roman"/>
          <w:b/>
          <w:bCs/>
          <w:color w:val="000000" w:themeColor="text1"/>
          <w:sz w:val="28"/>
          <w:szCs w:val="28"/>
        </w:rPr>
      </w:pPr>
      <w:r w:rsidRPr="00CB2280">
        <w:rPr>
          <w:rFonts w:ascii="Times New Roman" w:hAnsi="Times New Roman" w:cs="Times New Roman"/>
          <w:b/>
          <w:bCs/>
          <w:color w:val="000000" w:themeColor="text1"/>
          <w:sz w:val="28"/>
          <w:szCs w:val="28"/>
        </w:rPr>
        <w:t>Ngày chuyển đổi và có hiệu lực</w:t>
      </w:r>
    </w:p>
    <w:p w:rsidR="00CF307B" w:rsidRPr="00CB2280" w:rsidRDefault="007914E8" w:rsidP="00497676">
      <w:pPr>
        <w:pStyle w:val="HTMLPreformatted"/>
        <w:shd w:val="clear" w:color="auto" w:fill="F8F9FA"/>
        <w:spacing w:line="360" w:lineRule="atLeast"/>
        <w:ind w:left="360"/>
        <w:jc w:val="both"/>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rPr>
        <w:pict>
          <v:line id="Straight Connector 13" o:spid="_x0000_s1029" style="position:absolute;left:0;text-align:left;z-index:251673600;visibility:visible" from="19pt,11pt" to="46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" strokecolor="black [3200]" strokeweight=".5pt">
            <v:stroke joinstyle="miter"/>
          </v:line>
        </w:pict>
      </w:r>
    </w:p>
    <w:p w:rsidR="0042552E" w:rsidRPr="00CB2280" w:rsidRDefault="005B2744" w:rsidP="00497676">
      <w:pPr>
        <w:pStyle w:val="HTMLPreformatted"/>
        <w:numPr>
          <w:ilvl w:val="0"/>
          <w:numId w:val="2"/>
        </w:numPr>
        <w:shd w:val="clear" w:color="auto" w:fill="F8F9FA"/>
        <w:spacing w:line="360" w:lineRule="atLeast"/>
        <w:jc w:val="both"/>
        <w:rPr>
          <w:rFonts w:ascii="Times New Roman" w:hAnsi="Times New Roman" w:cs="Times New Roman"/>
          <w:color w:val="000000" w:themeColor="text1"/>
          <w:sz w:val="24"/>
          <w:szCs w:val="24"/>
          <w:lang w:val="vi-VN"/>
        </w:rPr>
      </w:pPr>
      <w:r w:rsidRPr="00CB2280">
        <w:rPr>
          <w:rFonts w:ascii="Times New Roman" w:hAnsi="Times New Roman" w:cs="Times New Roman"/>
          <w:color w:val="000000" w:themeColor="text1"/>
          <w:sz w:val="24"/>
          <w:szCs w:val="24"/>
        </w:rPr>
        <w:t xml:space="preserve">Một đơn vị sẽ áp dụng chuẩn mực này vào báo cáo tài chính năm cho giai đoạn bắt đầu hoặc sau ngày 1/1/2009. Áp dụng trước thời điểm này là được phép. Nếu một đơn vị áp dụng chuẩn mực này vào báo cáo tài chính cho một </w:t>
      </w:r>
      <w:r w:rsidR="00077146" w:rsidRPr="00CB2280">
        <w:rPr>
          <w:rFonts w:ascii="Times New Roman" w:hAnsi="Times New Roman" w:cs="Times New Roman"/>
          <w:color w:val="000000" w:themeColor="text1"/>
          <w:sz w:val="24"/>
          <w:szCs w:val="24"/>
        </w:rPr>
        <w:t>kỳ kế toán</w:t>
      </w:r>
      <w:r w:rsidRPr="00CB2280">
        <w:rPr>
          <w:rFonts w:ascii="Times New Roman" w:hAnsi="Times New Roman" w:cs="Times New Roman"/>
          <w:color w:val="000000" w:themeColor="text1"/>
          <w:sz w:val="24"/>
          <w:szCs w:val="24"/>
        </w:rPr>
        <w:t xml:space="preserve"> trước ngày 1/1/2009, đơn vị đó sẽ </w:t>
      </w:r>
      <w:r w:rsidR="00077146" w:rsidRPr="00CB2280">
        <w:rPr>
          <w:rFonts w:ascii="Times New Roman" w:hAnsi="Times New Roman" w:cs="Times New Roman"/>
          <w:color w:val="000000" w:themeColor="text1"/>
          <w:sz w:val="24"/>
          <w:szCs w:val="24"/>
        </w:rPr>
        <w:t xml:space="preserve">phải </w:t>
      </w:r>
      <w:r w:rsidRPr="00CB2280">
        <w:rPr>
          <w:rFonts w:ascii="Times New Roman" w:hAnsi="Times New Roman" w:cs="Times New Roman"/>
          <w:color w:val="000000" w:themeColor="text1"/>
          <w:sz w:val="24"/>
          <w:szCs w:val="24"/>
        </w:rPr>
        <w:t>công khai thực tế đó.</w:t>
      </w:r>
    </w:p>
    <w:p w:rsidR="005B2744" w:rsidRPr="00CB2280" w:rsidRDefault="005B2744" w:rsidP="00497676">
      <w:pPr>
        <w:pStyle w:val="HTMLPreformatted"/>
        <w:shd w:val="clear" w:color="auto" w:fill="F8F9FA"/>
        <w:spacing w:line="360" w:lineRule="atLeast"/>
        <w:ind w:left="720"/>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35A. Đoạn 23 được sửa đổi theo </w:t>
      </w:r>
      <w:r w:rsidRPr="00CB2280">
        <w:rPr>
          <w:rFonts w:ascii="Times New Roman" w:hAnsi="Times New Roman" w:cs="Times New Roman"/>
          <w:i/>
          <w:iCs/>
          <w:color w:val="000000" w:themeColor="text1"/>
          <w:sz w:val="24"/>
          <w:szCs w:val="24"/>
        </w:rPr>
        <w:t xml:space="preserve">Những </w:t>
      </w:r>
      <w:r w:rsidR="00077146" w:rsidRPr="00CB2280">
        <w:rPr>
          <w:rFonts w:ascii="Times New Roman" w:hAnsi="Times New Roman" w:cs="Times New Roman"/>
          <w:i/>
          <w:iCs/>
          <w:color w:val="000000" w:themeColor="text1"/>
          <w:sz w:val="24"/>
          <w:szCs w:val="24"/>
        </w:rPr>
        <w:t>sửa đổi</w:t>
      </w:r>
      <w:r w:rsidRPr="00CB2280">
        <w:rPr>
          <w:rFonts w:ascii="Times New Roman" w:hAnsi="Times New Roman" w:cs="Times New Roman"/>
          <w:i/>
          <w:iCs/>
          <w:color w:val="000000" w:themeColor="text1"/>
          <w:sz w:val="24"/>
          <w:szCs w:val="24"/>
        </w:rPr>
        <w:t xml:space="preserve"> đối với IFRS</w:t>
      </w:r>
      <w:r w:rsidRPr="00CB2280">
        <w:rPr>
          <w:rFonts w:ascii="Times New Roman" w:hAnsi="Times New Roman" w:cs="Times New Roman"/>
          <w:color w:val="000000" w:themeColor="text1"/>
          <w:sz w:val="24"/>
          <w:szCs w:val="24"/>
        </w:rPr>
        <w:t xml:space="preserve">  ban hành tháng 4 năm 2009. Một đơn vị sẽ áp dụng những cải tiến này cho các giai đoạn </w:t>
      </w:r>
      <w:r w:rsidR="006E2FCF">
        <w:rPr>
          <w:rFonts w:ascii="Times New Roman" w:hAnsi="Times New Roman" w:cs="Times New Roman"/>
          <w:color w:val="000000" w:themeColor="text1"/>
          <w:sz w:val="24"/>
          <w:szCs w:val="24"/>
        </w:rPr>
        <w:t xml:space="preserve">kế toán </w:t>
      </w:r>
      <w:r w:rsidRPr="00CB2280">
        <w:rPr>
          <w:rFonts w:ascii="Times New Roman" w:hAnsi="Times New Roman" w:cs="Times New Roman"/>
          <w:color w:val="000000" w:themeColor="text1"/>
          <w:sz w:val="24"/>
          <w:szCs w:val="24"/>
        </w:rPr>
        <w:t xml:space="preserve">năm bắt đầu hoặc sau ngày 1/1/2010. Những áp dụng sớm hơn là được phép. Nếu một đơn vị áp dụng sửa đổi cho các giai đoạn trước thì nó </w:t>
      </w:r>
      <w:r w:rsidR="00077146" w:rsidRPr="00CB2280">
        <w:rPr>
          <w:rFonts w:ascii="Times New Roman" w:hAnsi="Times New Roman" w:cs="Times New Roman"/>
          <w:color w:val="000000" w:themeColor="text1"/>
          <w:sz w:val="24"/>
          <w:szCs w:val="24"/>
        </w:rPr>
        <w:t>cần</w:t>
      </w:r>
      <w:r w:rsidRPr="00CB2280">
        <w:rPr>
          <w:rFonts w:ascii="Times New Roman" w:hAnsi="Times New Roman" w:cs="Times New Roman"/>
          <w:color w:val="000000" w:themeColor="text1"/>
          <w:sz w:val="24"/>
          <w:szCs w:val="24"/>
        </w:rPr>
        <w:t xml:space="preserve"> công khai thực tế đó.</w:t>
      </w:r>
    </w:p>
    <w:p w:rsidR="0042552E" w:rsidRPr="00CB2280" w:rsidRDefault="00DC4FDB" w:rsidP="00497676">
      <w:pPr>
        <w:pStyle w:val="HTMLPreformatted"/>
        <w:numPr>
          <w:ilvl w:val="0"/>
          <w:numId w:val="2"/>
        </w:numPr>
        <w:shd w:val="clear" w:color="auto" w:fill="F8F9FA"/>
        <w:spacing w:line="360" w:lineRule="atLeast"/>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Thông tin bộ phận cho những năm trước</w:t>
      </w:r>
      <w:r w:rsidR="00077146" w:rsidRPr="00CB2280">
        <w:rPr>
          <w:rFonts w:ascii="Times New Roman" w:hAnsi="Times New Roman" w:cs="Times New Roman"/>
          <w:color w:val="000000" w:themeColor="text1"/>
          <w:sz w:val="24"/>
          <w:szCs w:val="24"/>
        </w:rPr>
        <w:t>,</w:t>
      </w:r>
      <w:r w:rsidRPr="00CB2280">
        <w:rPr>
          <w:rFonts w:ascii="Times New Roman" w:hAnsi="Times New Roman" w:cs="Times New Roman"/>
          <w:color w:val="000000" w:themeColor="text1"/>
          <w:sz w:val="24"/>
          <w:szCs w:val="24"/>
        </w:rPr>
        <w:t xml:space="preserve"> </w:t>
      </w:r>
      <w:r w:rsidR="006C655B" w:rsidRPr="00CB2280">
        <w:rPr>
          <w:rFonts w:ascii="Times New Roman" w:hAnsi="Times New Roman" w:cs="Times New Roman"/>
          <w:color w:val="000000" w:themeColor="text1"/>
          <w:sz w:val="24"/>
          <w:szCs w:val="24"/>
        </w:rPr>
        <w:t>được báo cáo như là thông tin so sánh cho năm đầu tiên áp dụng (bao gồm cả việc áp dụng sửa đổi đoạn 23 ban hành 4/2009)</w:t>
      </w:r>
      <w:r w:rsidR="00077146" w:rsidRPr="00CB2280">
        <w:rPr>
          <w:rFonts w:ascii="Times New Roman" w:hAnsi="Times New Roman" w:cs="Times New Roman"/>
          <w:color w:val="000000" w:themeColor="text1"/>
          <w:sz w:val="24"/>
          <w:szCs w:val="24"/>
        </w:rPr>
        <w:t>,</w:t>
      </w:r>
      <w:r w:rsidR="006C655B" w:rsidRPr="00CB2280">
        <w:rPr>
          <w:rFonts w:ascii="Times New Roman" w:hAnsi="Times New Roman" w:cs="Times New Roman"/>
          <w:color w:val="000000" w:themeColor="text1"/>
          <w:sz w:val="24"/>
          <w:szCs w:val="24"/>
        </w:rPr>
        <w:t xml:space="preserve"> sẽ phải trình bày lại cho phù hợp với những yêu cầu của chuẩn mực này, trừ khi thông tin cần thiết không có sẵn và chi phí để có được thông tin này sẽ quá cao.</w:t>
      </w:r>
    </w:p>
    <w:p w:rsidR="00C3597E" w:rsidRPr="00CB2280" w:rsidRDefault="006C655B" w:rsidP="00497676">
      <w:pPr>
        <w:pStyle w:val="HTMLPreformatted"/>
        <w:shd w:val="clear" w:color="auto" w:fill="F8F9FA"/>
        <w:spacing w:line="360" w:lineRule="atLeast"/>
        <w:ind w:left="720"/>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36A. IAS 1 (như sửa đổi trong năm 2007) sửa đổi thuật ngữ sử dụng trong toàn bộ chuẩn mực báo cáo tài chính quốc tế. Bên cạnh đó IAS 1 đã sửa đổi đoạn 23(f). Một đơn vị sẽ áp dụng những thay đổi này cho năm kế toán bắt đầu hoặc sau ngày 1/1/2009. Nếu m</w:t>
      </w:r>
      <w:r w:rsidR="00CA53FC" w:rsidRPr="00CB2280">
        <w:rPr>
          <w:rFonts w:ascii="Times New Roman" w:hAnsi="Times New Roman" w:cs="Times New Roman"/>
          <w:color w:val="000000" w:themeColor="text1"/>
          <w:sz w:val="24"/>
          <w:szCs w:val="24"/>
        </w:rPr>
        <w:t>ột đơn vị áp dụng IAS 1 (sửa đổi 2007) cho những năm kế toán trước đó, thì những sửa đổi của chuẩn mực sẽ được dụng cho những năm trước đó.</w:t>
      </w:r>
    </w:p>
    <w:p w:rsidR="00CA53FC" w:rsidRPr="00CB2280" w:rsidRDefault="00CA53FC" w:rsidP="00497676">
      <w:pPr>
        <w:pStyle w:val="HTMLPreformatted"/>
        <w:shd w:val="clear" w:color="auto" w:fill="F8F9FA"/>
        <w:spacing w:line="360" w:lineRule="atLeast"/>
        <w:ind w:left="720"/>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36B. IAS 24, Công khai bên liên quan (như sửa đổi năm 2009) sửa đổi đoạn 34 cho những năm kế toán bắt đầu hoặc sau ngày 1/1/2011. Nếu một đơn vị áp dụng IAS 24 (sửa đổi năm 2009) cho một giai đoạn trước đó, đơn vị sẽ áp dụng sửa đổi của đoạn 34 cho giai đoạn trước kia đó.</w:t>
      </w:r>
    </w:p>
    <w:p w:rsidR="00CA53FC" w:rsidRPr="00CB2280" w:rsidRDefault="00CA53FC" w:rsidP="00497676">
      <w:pPr>
        <w:pStyle w:val="HTMLPreformatted"/>
        <w:shd w:val="clear" w:color="auto" w:fill="F8F9FA"/>
        <w:spacing w:line="360" w:lineRule="atLeast"/>
        <w:ind w:left="720"/>
        <w:jc w:val="both"/>
        <w:rPr>
          <w:color w:val="000000" w:themeColor="text1"/>
        </w:rPr>
      </w:pPr>
      <w:r w:rsidRPr="00CB2280">
        <w:rPr>
          <w:rFonts w:ascii="Times New Roman" w:hAnsi="Times New Roman" w:cs="Times New Roman"/>
          <w:color w:val="000000" w:themeColor="text1"/>
          <w:sz w:val="24"/>
          <w:szCs w:val="24"/>
        </w:rPr>
        <w:t xml:space="preserve">36C. Những </w:t>
      </w:r>
      <w:r w:rsidR="00077146" w:rsidRPr="00CB2280">
        <w:rPr>
          <w:rFonts w:ascii="Times New Roman" w:hAnsi="Times New Roman" w:cs="Times New Roman"/>
          <w:color w:val="000000" w:themeColor="text1"/>
          <w:sz w:val="24"/>
          <w:szCs w:val="24"/>
        </w:rPr>
        <w:t>sửa đổi</w:t>
      </w:r>
      <w:r w:rsidRPr="00CB2280">
        <w:rPr>
          <w:rFonts w:ascii="Times New Roman" w:hAnsi="Times New Roman" w:cs="Times New Roman"/>
          <w:color w:val="000000" w:themeColor="text1"/>
          <w:sz w:val="24"/>
          <w:szCs w:val="24"/>
        </w:rPr>
        <w:t xml:space="preserve"> hàng năm đối với IFRS chu kỳ 2010-2012, ban hành vào 12/2013, sửa đổi đoạn 22 và 28. Một đơn vị sẽ áp dụng những sửa đổi này cho kỳ kế toán năm bắt đầu hoặc sau ngày 1/7/2014. </w:t>
      </w:r>
      <w:r w:rsidR="00077146" w:rsidRPr="00CB2280">
        <w:rPr>
          <w:rFonts w:ascii="Times New Roman" w:hAnsi="Times New Roman" w:cs="Times New Roman"/>
          <w:color w:val="000000" w:themeColor="text1"/>
          <w:sz w:val="24"/>
          <w:szCs w:val="24"/>
        </w:rPr>
        <w:t>Á</w:t>
      </w:r>
      <w:r w:rsidRPr="00CB2280">
        <w:rPr>
          <w:rFonts w:ascii="Times New Roman" w:hAnsi="Times New Roman" w:cs="Times New Roman"/>
          <w:color w:val="000000" w:themeColor="text1"/>
          <w:sz w:val="24"/>
          <w:szCs w:val="24"/>
        </w:rPr>
        <w:t>p dụng sớm hơn là được phép. Nếu một đơn vị áp dụng những sửa đổi này cho những giai đoạn trước kia thì đơn vị phải công khai thực tế này.</w:t>
      </w:r>
    </w:p>
    <w:p w:rsidR="00CA53FC" w:rsidRPr="00CB2280" w:rsidRDefault="00CA53FC" w:rsidP="00497676">
      <w:pPr>
        <w:pStyle w:val="HTMLPreformatted"/>
        <w:shd w:val="clear" w:color="auto" w:fill="F8F9FA"/>
        <w:spacing w:line="360" w:lineRule="atLeast"/>
        <w:ind w:left="720"/>
        <w:jc w:val="both"/>
        <w:rPr>
          <w:color w:val="000000" w:themeColor="text1"/>
        </w:rPr>
      </w:pPr>
    </w:p>
    <w:p w:rsidR="00CA53FC" w:rsidRPr="00CB2280" w:rsidRDefault="001F2B66" w:rsidP="00497676">
      <w:pPr>
        <w:pStyle w:val="HTMLPreformatted"/>
        <w:shd w:val="clear" w:color="auto" w:fill="F8F9FA"/>
        <w:spacing w:line="360" w:lineRule="atLeast"/>
        <w:jc w:val="both"/>
        <w:rPr>
          <w:rFonts w:ascii="Times New Roman" w:hAnsi="Times New Roman" w:cs="Times New Roman"/>
          <w:b/>
          <w:bCs/>
          <w:color w:val="000000" w:themeColor="text1"/>
          <w:sz w:val="28"/>
          <w:szCs w:val="28"/>
        </w:rPr>
      </w:pPr>
      <w:r w:rsidRPr="00CB2280">
        <w:rPr>
          <w:rFonts w:ascii="Times New Roman" w:hAnsi="Times New Roman" w:cs="Times New Roman"/>
          <w:b/>
          <w:bCs/>
          <w:color w:val="000000" w:themeColor="text1"/>
          <w:sz w:val="28"/>
          <w:szCs w:val="28"/>
        </w:rPr>
        <w:t>Hết hiệu lực</w:t>
      </w:r>
      <w:r w:rsidR="002E6D9F" w:rsidRPr="00CB2280">
        <w:rPr>
          <w:rFonts w:ascii="Times New Roman" w:hAnsi="Times New Roman" w:cs="Times New Roman"/>
          <w:b/>
          <w:bCs/>
          <w:color w:val="000000" w:themeColor="text1"/>
          <w:sz w:val="28"/>
          <w:szCs w:val="28"/>
        </w:rPr>
        <w:t xml:space="preserve"> IAS 14</w:t>
      </w:r>
    </w:p>
    <w:p w:rsidR="00CF307B" w:rsidRPr="00CB2280" w:rsidRDefault="007914E8" w:rsidP="00497676">
      <w:pPr>
        <w:pStyle w:val="HTMLPreformatted"/>
        <w:shd w:val="clear" w:color="auto" w:fill="F8F9FA"/>
        <w:spacing w:line="360" w:lineRule="atLeast"/>
        <w:jc w:val="both"/>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rPr>
        <w:lastRenderedPageBreak/>
        <w:pict>
          <v:line id="Straight Connector 14" o:spid="_x0000_s1028" style="position:absolute;left:0;text-align:left;z-index:251674624;visibility:visible" from="1.5pt,9pt" to="47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" strokecolor="black [3200]" strokeweight=".5pt">
            <v:stroke joinstyle="miter"/>
          </v:line>
        </w:pict>
      </w:r>
    </w:p>
    <w:p w:rsidR="003F766C" w:rsidRPr="00CB2280" w:rsidRDefault="008A433A" w:rsidP="00497676">
      <w:pPr>
        <w:pStyle w:val="ListParagraph"/>
        <w:numPr>
          <w:ilvl w:val="0"/>
          <w:numId w:val="2"/>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Chuẩn mực này thay thế cho IAS 14, Báo cáo bộ phận</w:t>
      </w:r>
    </w:p>
    <w:p w:rsidR="008A433A" w:rsidRPr="00CB2280" w:rsidRDefault="008A433A" w:rsidP="00497676">
      <w:pPr>
        <w:autoSpaceDE w:val="0"/>
        <w:autoSpaceDN w:val="0"/>
        <w:adjustRightInd w:val="0"/>
        <w:spacing w:line="360" w:lineRule="auto"/>
        <w:jc w:val="both"/>
        <w:rPr>
          <w:rFonts w:ascii="Times New Roman" w:hAnsi="Times New Roman" w:cs="Times New Roman"/>
          <w:b/>
          <w:bCs/>
          <w:color w:val="000000" w:themeColor="text1"/>
          <w:sz w:val="28"/>
          <w:szCs w:val="28"/>
        </w:rPr>
      </w:pPr>
      <w:bookmarkStart w:id="0" w:name="_GoBack"/>
      <w:bookmarkEnd w:id="0"/>
      <w:r w:rsidRPr="00CB2280">
        <w:rPr>
          <w:rFonts w:ascii="Times New Roman" w:hAnsi="Times New Roman" w:cs="Times New Roman"/>
          <w:b/>
          <w:bCs/>
          <w:color w:val="000000" w:themeColor="text1"/>
          <w:sz w:val="28"/>
          <w:szCs w:val="28"/>
        </w:rPr>
        <w:t>Phụ lục A</w:t>
      </w:r>
    </w:p>
    <w:p w:rsidR="008A433A" w:rsidRPr="00CB2280" w:rsidRDefault="008A433A" w:rsidP="00497676">
      <w:pPr>
        <w:autoSpaceDE w:val="0"/>
        <w:autoSpaceDN w:val="0"/>
        <w:adjustRightInd w:val="0"/>
        <w:spacing w:line="360" w:lineRule="auto"/>
        <w:jc w:val="both"/>
        <w:rPr>
          <w:rFonts w:ascii="Times New Roman" w:hAnsi="Times New Roman" w:cs="Times New Roman"/>
          <w:b/>
          <w:bCs/>
          <w:color w:val="000000" w:themeColor="text1"/>
          <w:sz w:val="26"/>
          <w:szCs w:val="26"/>
        </w:rPr>
      </w:pPr>
      <w:r w:rsidRPr="00CB2280">
        <w:rPr>
          <w:rFonts w:ascii="Times New Roman" w:hAnsi="Times New Roman" w:cs="Times New Roman"/>
          <w:b/>
          <w:bCs/>
          <w:color w:val="000000" w:themeColor="text1"/>
          <w:sz w:val="26"/>
          <w:szCs w:val="26"/>
        </w:rPr>
        <w:t>Thuật ngữ được định nghĩa</w:t>
      </w:r>
    </w:p>
    <w:p w:rsidR="008A433A" w:rsidRPr="00CB2280" w:rsidRDefault="008A433A" w:rsidP="00497676">
      <w:pPr>
        <w:autoSpaceDE w:val="0"/>
        <w:autoSpaceDN w:val="0"/>
        <w:adjustRightInd w:val="0"/>
        <w:spacing w:line="360" w:lineRule="auto"/>
        <w:jc w:val="both"/>
        <w:rPr>
          <w:rFonts w:ascii="Times New Roman" w:hAnsi="Times New Roman" w:cs="Times New Roman"/>
          <w:i/>
          <w:iCs/>
          <w:color w:val="000000" w:themeColor="text1"/>
          <w:sz w:val="24"/>
          <w:szCs w:val="24"/>
        </w:rPr>
      </w:pPr>
      <w:r w:rsidRPr="00CB2280">
        <w:rPr>
          <w:rFonts w:ascii="Times New Roman" w:hAnsi="Times New Roman" w:cs="Times New Roman"/>
          <w:i/>
          <w:iCs/>
          <w:color w:val="000000" w:themeColor="text1"/>
          <w:sz w:val="24"/>
          <w:szCs w:val="24"/>
        </w:rPr>
        <w:t>Phụ lục này là một phần không thể thiếu của IFRS</w:t>
      </w:r>
    </w:p>
    <w:p w:rsidR="008A433A" w:rsidRPr="00CB2280" w:rsidRDefault="008A433A" w:rsidP="00497676">
      <w:p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b/>
          <w:bCs/>
          <w:color w:val="000000" w:themeColor="text1"/>
          <w:sz w:val="24"/>
          <w:szCs w:val="24"/>
        </w:rPr>
        <w:t>Bộ phận hoạt động</w:t>
      </w:r>
      <w:r w:rsidRPr="00CB2280">
        <w:rPr>
          <w:rFonts w:ascii="Times New Roman" w:hAnsi="Times New Roman" w:cs="Times New Roman"/>
          <w:color w:val="000000" w:themeColor="text1"/>
          <w:sz w:val="24"/>
          <w:szCs w:val="24"/>
        </w:rPr>
        <w:tab/>
        <w:t>Một bộ phận hoạt động là một thành phần của một đơn vị:</w:t>
      </w:r>
    </w:p>
    <w:p w:rsidR="008A433A" w:rsidRPr="00CB2280" w:rsidRDefault="003D7B08" w:rsidP="00497676">
      <w:pPr>
        <w:pStyle w:val="ListParagraph"/>
        <w:numPr>
          <w:ilvl w:val="0"/>
          <w:numId w:val="16"/>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t</w:t>
      </w:r>
      <w:r w:rsidR="008A433A" w:rsidRPr="00CB2280">
        <w:rPr>
          <w:rFonts w:ascii="Times New Roman" w:hAnsi="Times New Roman" w:cs="Times New Roman"/>
          <w:color w:val="000000" w:themeColor="text1"/>
          <w:sz w:val="24"/>
          <w:szCs w:val="24"/>
        </w:rPr>
        <w:t>ham gia vào các hoạt động kinh doanh mà từ đó có thể có được doanh thu và thu nhập và cũng làm phát sinh chi phí (bao gồm cả doanh thu và chi phí liên quan đến các giao dịch với các bộ phận khác cùng đơn vị)</w:t>
      </w:r>
      <w:r w:rsidR="006A5EEA" w:rsidRPr="00CB2280">
        <w:rPr>
          <w:rFonts w:ascii="Times New Roman" w:hAnsi="Times New Roman" w:cs="Times New Roman"/>
          <w:color w:val="000000" w:themeColor="text1"/>
          <w:sz w:val="24"/>
          <w:szCs w:val="24"/>
        </w:rPr>
        <w:t>.</w:t>
      </w:r>
    </w:p>
    <w:p w:rsidR="006A5EEA" w:rsidRPr="00CB2280" w:rsidRDefault="003D7B08" w:rsidP="00497676">
      <w:pPr>
        <w:pStyle w:val="ListParagraph"/>
        <w:numPr>
          <w:ilvl w:val="0"/>
          <w:numId w:val="16"/>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c</w:t>
      </w:r>
      <w:r w:rsidR="006A5EEA" w:rsidRPr="00CB2280">
        <w:rPr>
          <w:rFonts w:ascii="Times New Roman" w:hAnsi="Times New Roman" w:cs="Times New Roman"/>
          <w:color w:val="000000" w:themeColor="text1"/>
          <w:sz w:val="24"/>
          <w:szCs w:val="24"/>
        </w:rPr>
        <w:t xml:space="preserve">ó kết quả hoạt động thường xuyên được xem xét bởi </w:t>
      </w:r>
      <w:r w:rsidR="00077146" w:rsidRPr="00CB2280">
        <w:rPr>
          <w:rFonts w:ascii="Times New Roman" w:hAnsi="Times New Roman" w:cs="Times New Roman"/>
          <w:color w:val="000000" w:themeColor="text1"/>
          <w:sz w:val="24"/>
          <w:szCs w:val="24"/>
        </w:rPr>
        <w:t>Người điều hành</w:t>
      </w:r>
      <w:r w:rsidR="006A5EEA" w:rsidRPr="00CB2280">
        <w:rPr>
          <w:rFonts w:ascii="Times New Roman" w:hAnsi="Times New Roman" w:cs="Times New Roman"/>
          <w:color w:val="000000" w:themeColor="text1"/>
          <w:sz w:val="24"/>
          <w:szCs w:val="24"/>
        </w:rPr>
        <w:t xml:space="preserve"> nhằm đưa ra quyết định phân bổ nguồn lực cho các bộ phận và đánh giá hiệu quả hoạt động của bộ phận đó, và</w:t>
      </w:r>
    </w:p>
    <w:p w:rsidR="006A5EEA" w:rsidRPr="00CB2280" w:rsidRDefault="003D7B08" w:rsidP="00497676">
      <w:pPr>
        <w:pStyle w:val="ListParagraph"/>
        <w:numPr>
          <w:ilvl w:val="0"/>
          <w:numId w:val="16"/>
        </w:num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t</w:t>
      </w:r>
      <w:r w:rsidR="006A5EEA" w:rsidRPr="00CB2280">
        <w:rPr>
          <w:rFonts w:ascii="Times New Roman" w:hAnsi="Times New Roman" w:cs="Times New Roman"/>
          <w:color w:val="000000" w:themeColor="text1"/>
          <w:sz w:val="24"/>
          <w:szCs w:val="24"/>
        </w:rPr>
        <w:t>hông tin tài chính riêng biệt là sẵn có</w:t>
      </w:r>
    </w:p>
    <w:p w:rsidR="006A5EEA" w:rsidRPr="00CB2280" w:rsidRDefault="006A5EEA" w:rsidP="00497676">
      <w:pPr>
        <w:autoSpaceDE w:val="0"/>
        <w:autoSpaceDN w:val="0"/>
        <w:adjustRightInd w:val="0"/>
        <w:spacing w:line="360" w:lineRule="auto"/>
        <w:jc w:val="both"/>
        <w:rPr>
          <w:rFonts w:ascii="Times New Roman" w:hAnsi="Times New Roman" w:cs="Times New Roman"/>
          <w:b/>
          <w:bCs/>
          <w:color w:val="000000" w:themeColor="text1"/>
          <w:sz w:val="28"/>
          <w:szCs w:val="28"/>
        </w:rPr>
      </w:pPr>
      <w:r w:rsidRPr="00CB2280">
        <w:rPr>
          <w:rFonts w:ascii="Times New Roman" w:hAnsi="Times New Roman" w:cs="Times New Roman"/>
          <w:b/>
          <w:bCs/>
          <w:color w:val="000000" w:themeColor="text1"/>
          <w:sz w:val="28"/>
          <w:szCs w:val="28"/>
        </w:rPr>
        <w:t>Phụ lục B</w:t>
      </w:r>
    </w:p>
    <w:p w:rsidR="006A5EEA" w:rsidRPr="00CB2280" w:rsidRDefault="006A5EEA" w:rsidP="00497676">
      <w:pPr>
        <w:autoSpaceDE w:val="0"/>
        <w:autoSpaceDN w:val="0"/>
        <w:adjustRightInd w:val="0"/>
        <w:spacing w:line="360" w:lineRule="auto"/>
        <w:jc w:val="both"/>
        <w:rPr>
          <w:rFonts w:ascii="Times New Roman" w:hAnsi="Times New Roman" w:cs="Times New Roman"/>
          <w:b/>
          <w:bCs/>
          <w:color w:val="000000" w:themeColor="text1"/>
          <w:sz w:val="26"/>
          <w:szCs w:val="26"/>
        </w:rPr>
      </w:pPr>
      <w:r w:rsidRPr="00CB2280">
        <w:rPr>
          <w:rFonts w:ascii="Times New Roman" w:hAnsi="Times New Roman" w:cs="Times New Roman"/>
          <w:b/>
          <w:bCs/>
          <w:color w:val="000000" w:themeColor="text1"/>
          <w:sz w:val="26"/>
          <w:szCs w:val="26"/>
        </w:rPr>
        <w:t>Sửa đổi các IFRS khác</w:t>
      </w:r>
    </w:p>
    <w:p w:rsidR="006A5EEA" w:rsidRPr="00CB2280" w:rsidRDefault="006A5EEA" w:rsidP="00497676">
      <w:p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Các sửa đổi trong phụ lục này sẽ được áp dụng cho các giai đoạn hàng năm bắt đầu vào hoặc sau ngày 1/1/2009. Nếu một đơn vị áp dụng IFRS này cho một năm sớm hơn thời gian trên, những sửa đổi này sẽ được áp dụng cho năm sớm hơn đó. Trong các đoạn được sửa đổi, văn bản mới được gạch chân và đoạn văn bị bỏ sẽ bị gạch giữa.</w:t>
      </w:r>
    </w:p>
    <w:p w:rsidR="006A5EEA" w:rsidRPr="00CB2280" w:rsidRDefault="006A5EEA" w:rsidP="00497676">
      <w:pPr>
        <w:autoSpaceDE w:val="0"/>
        <w:autoSpaceDN w:val="0"/>
        <w:adjustRightInd w:val="0"/>
        <w:spacing w:line="360" w:lineRule="auto"/>
        <w:ind w:left="90"/>
        <w:jc w:val="center"/>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w:t>
      </w:r>
    </w:p>
    <w:p w:rsidR="006A5EEA" w:rsidRPr="00CB2280" w:rsidRDefault="006A5EEA" w:rsidP="00497676">
      <w:p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Những sửa đổi trong phụ lục này khi chuẩn mực này được ban hành năm 2006 đã được hợp nhất vào văn bản của các chuẩn mực có </w:t>
      </w:r>
      <w:r w:rsidR="00B309C2" w:rsidRPr="00CB2280">
        <w:rPr>
          <w:rFonts w:ascii="Times New Roman" w:hAnsi="Times New Roman" w:cs="Times New Roman"/>
          <w:color w:val="000000" w:themeColor="text1"/>
          <w:sz w:val="24"/>
          <w:szCs w:val="24"/>
        </w:rPr>
        <w:t>liên quan trong lần xuất bản này.</w:t>
      </w:r>
    </w:p>
    <w:p w:rsidR="00C370B8" w:rsidRPr="00CB2280" w:rsidRDefault="00C370B8" w:rsidP="00497676">
      <w:pPr>
        <w:autoSpaceDE w:val="0"/>
        <w:autoSpaceDN w:val="0"/>
        <w:adjustRightInd w:val="0"/>
        <w:jc w:val="both"/>
        <w:rPr>
          <w:rFonts w:ascii="Times New Roman" w:hAnsi="Times New Roman" w:cs="Times New Roman"/>
          <w:color w:val="000000" w:themeColor="text1"/>
          <w:sz w:val="24"/>
          <w:szCs w:val="24"/>
        </w:rPr>
      </w:pPr>
    </w:p>
    <w:p w:rsidR="00C118C3" w:rsidRPr="00CB2280" w:rsidRDefault="00C118C3" w:rsidP="00497676">
      <w:pPr>
        <w:pStyle w:val="HTMLPreformatted"/>
        <w:shd w:val="clear" w:color="auto" w:fill="F8F9FA"/>
        <w:spacing w:line="360" w:lineRule="atLeast"/>
        <w:jc w:val="both"/>
        <w:rPr>
          <w:rFonts w:ascii="Times New Roman" w:hAnsi="Times New Roman" w:cs="Times New Roman"/>
          <w:b/>
          <w:bCs/>
          <w:color w:val="000000" w:themeColor="text1"/>
          <w:sz w:val="26"/>
          <w:szCs w:val="26"/>
          <w:lang w:val="vi-VN"/>
        </w:rPr>
      </w:pPr>
      <w:r w:rsidRPr="00CB2280">
        <w:rPr>
          <w:rFonts w:ascii="Times New Roman" w:hAnsi="Times New Roman" w:cs="Times New Roman"/>
          <w:b/>
          <w:bCs/>
          <w:color w:val="000000" w:themeColor="text1"/>
          <w:sz w:val="26"/>
          <w:szCs w:val="26"/>
          <w:lang w:val="vi-VN"/>
        </w:rPr>
        <w:t xml:space="preserve">Sự chấp thuận của </w:t>
      </w:r>
      <w:r w:rsidRPr="00CB2280">
        <w:rPr>
          <w:rFonts w:ascii="Times New Roman" w:hAnsi="Times New Roman" w:cs="Times New Roman"/>
          <w:b/>
          <w:bCs/>
          <w:color w:val="000000" w:themeColor="text1"/>
          <w:sz w:val="26"/>
          <w:szCs w:val="26"/>
        </w:rPr>
        <w:t xml:space="preserve">Ủy bản đối với </w:t>
      </w:r>
      <w:r w:rsidRPr="00CB2280">
        <w:rPr>
          <w:rFonts w:ascii="Times New Roman" w:hAnsi="Times New Roman" w:cs="Times New Roman"/>
          <w:b/>
          <w:bCs/>
          <w:color w:val="000000" w:themeColor="text1"/>
          <w:sz w:val="26"/>
          <w:szCs w:val="26"/>
          <w:lang w:val="vi-VN"/>
        </w:rPr>
        <w:t>IFRS 8 ban hành vào tháng 11 năm 2006</w:t>
      </w:r>
    </w:p>
    <w:p w:rsidR="002D5328" w:rsidRPr="00CB2280" w:rsidRDefault="007914E8" w:rsidP="00497676">
      <w:pPr>
        <w:pStyle w:val="HTMLPreformatted"/>
        <w:shd w:val="clear" w:color="auto" w:fill="F8F9FA"/>
        <w:spacing w:line="360" w:lineRule="atLeast"/>
        <w:jc w:val="both"/>
        <w:rPr>
          <w:rFonts w:ascii="inherit" w:hAnsi="inherit"/>
          <w:b/>
          <w:bCs/>
          <w:color w:val="000000" w:themeColor="text1"/>
          <w:sz w:val="24"/>
          <w:szCs w:val="24"/>
          <w:lang w:val="vi-VN"/>
        </w:rPr>
      </w:pPr>
      <w:r w:rsidRPr="007914E8">
        <w:rPr>
          <w:rFonts w:ascii="inherit" w:hAnsi="inherit"/>
          <w:b/>
          <w:bCs/>
          <w:noProof/>
          <w:color w:val="000000" w:themeColor="text1"/>
          <w:sz w:val="24"/>
          <w:szCs w:val="24"/>
          <w:lang w:val="vi-VN"/>
        </w:rPr>
        <w:pict>
          <v:line id="Straight Connector 4" o:spid="_x0000_s1027" style="position:absolute;left:0;text-align:left;flip:y;z-index:251664384;visibility:visible" from="3pt,5.6pt" to="47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" strokecolor="black [3200]" strokeweight=".5pt">
            <v:stroke joinstyle="miter"/>
          </v:line>
        </w:pict>
      </w:r>
    </w:p>
    <w:p w:rsidR="00C118C3" w:rsidRDefault="00C118C3" w:rsidP="00497676">
      <w:pPr>
        <w:pStyle w:val="HTMLPreformatted"/>
        <w:shd w:val="clear" w:color="auto" w:fill="F8F9FA"/>
        <w:spacing w:line="360" w:lineRule="atLeast"/>
        <w:jc w:val="both"/>
        <w:rPr>
          <w:rFonts w:ascii="inherit" w:hAnsi="inherit"/>
          <w:color w:val="000000" w:themeColor="text1"/>
          <w:sz w:val="24"/>
          <w:szCs w:val="24"/>
        </w:rPr>
      </w:pPr>
      <w:r w:rsidRPr="00CB2280">
        <w:rPr>
          <w:rFonts w:ascii="inherit" w:hAnsi="inherit"/>
          <w:color w:val="000000" w:themeColor="text1"/>
          <w:sz w:val="24"/>
          <w:szCs w:val="24"/>
        </w:rPr>
        <w:lastRenderedPageBreak/>
        <w:t xml:space="preserve">Chuẩn mực báo cáo tài chính quốc tế số 8, Các bộ phận hoạt động được chấp thuận phát hành bởi 11 trong số 13 thành viên của Ủy ban chuẩn mực kế toán quốc tế. Messrs  Gélard và Leisenring không chấp thuận. Quan điểm không đồng ý của họ đã được bày tỏ sau </w:t>
      </w:r>
      <w:r w:rsidR="00077146" w:rsidRPr="00CB2280">
        <w:rPr>
          <w:rFonts w:ascii="inherit" w:hAnsi="inherit"/>
          <w:color w:val="000000" w:themeColor="text1"/>
          <w:sz w:val="24"/>
          <w:szCs w:val="24"/>
        </w:rPr>
        <w:t xml:space="preserve">phần </w:t>
      </w:r>
      <w:r w:rsidRPr="00CB2280">
        <w:rPr>
          <w:rFonts w:ascii="inherit" w:hAnsi="inherit"/>
          <w:color w:val="000000" w:themeColor="text1"/>
          <w:sz w:val="24"/>
          <w:szCs w:val="24"/>
        </w:rPr>
        <w:t>Cơ sở cho các Kết luận.</w:t>
      </w:r>
    </w:p>
    <w:p w:rsidR="00CB2280" w:rsidRDefault="00CB2280" w:rsidP="00497676">
      <w:pPr>
        <w:pStyle w:val="HTMLPreformatted"/>
        <w:shd w:val="clear" w:color="auto" w:fill="F8F9FA"/>
        <w:spacing w:line="360" w:lineRule="atLeast"/>
        <w:jc w:val="both"/>
        <w:rPr>
          <w:rFonts w:ascii="inherit" w:hAnsi="inherit"/>
          <w:color w:val="000000" w:themeColor="text1"/>
          <w:sz w:val="24"/>
          <w:szCs w:val="24"/>
        </w:rPr>
      </w:pPr>
    </w:p>
    <w:p w:rsidR="00CB2280" w:rsidRDefault="00CB2280" w:rsidP="00497676">
      <w:pPr>
        <w:pStyle w:val="HTMLPreformatted"/>
        <w:shd w:val="clear" w:color="auto" w:fill="F8F9FA"/>
        <w:spacing w:line="360" w:lineRule="atLeast"/>
        <w:jc w:val="both"/>
        <w:rPr>
          <w:rFonts w:ascii="inherit" w:hAnsi="inherit"/>
          <w:color w:val="000000" w:themeColor="text1"/>
          <w:sz w:val="24"/>
          <w:szCs w:val="24"/>
        </w:rPr>
      </w:pPr>
    </w:p>
    <w:p w:rsidR="00CB2280" w:rsidRPr="00CB2280" w:rsidRDefault="00CB2280" w:rsidP="00497676">
      <w:pPr>
        <w:pStyle w:val="HTMLPreformatted"/>
        <w:shd w:val="clear" w:color="auto" w:fill="F8F9FA"/>
        <w:spacing w:line="360" w:lineRule="atLeast"/>
        <w:jc w:val="both"/>
        <w:rPr>
          <w:rFonts w:ascii="inherit" w:hAnsi="inherit"/>
          <w:color w:val="000000" w:themeColor="text1"/>
          <w:sz w:val="24"/>
          <w:szCs w:val="24"/>
        </w:rPr>
      </w:pPr>
    </w:p>
    <w:p w:rsidR="000E17D8" w:rsidRPr="00CB2280" w:rsidRDefault="000E17D8" w:rsidP="00497676">
      <w:pPr>
        <w:autoSpaceDE w:val="0"/>
        <w:autoSpaceDN w:val="0"/>
        <w:adjustRightInd w:val="0"/>
        <w:jc w:val="both"/>
        <w:rPr>
          <w:rFonts w:ascii="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75"/>
        <w:gridCol w:w="2875"/>
      </w:tblGrid>
      <w:tr w:rsidR="00C118C3" w:rsidRPr="00CB2280" w:rsidTr="002D5328">
        <w:tc>
          <w:tcPr>
            <w:tcW w:w="6475" w:type="dxa"/>
          </w:tcPr>
          <w:p w:rsidR="00C118C3" w:rsidRPr="00CB2280" w:rsidRDefault="00C118C3" w:rsidP="00497676">
            <w:p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Ngài David Tweedie</w:t>
            </w:r>
          </w:p>
        </w:tc>
        <w:tc>
          <w:tcPr>
            <w:tcW w:w="2875" w:type="dxa"/>
          </w:tcPr>
          <w:p w:rsidR="00C118C3" w:rsidRPr="00CB2280" w:rsidRDefault="00C118C3" w:rsidP="00497676">
            <w:p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Chủ tịch</w:t>
            </w:r>
          </w:p>
        </w:tc>
      </w:tr>
      <w:tr w:rsidR="00C118C3" w:rsidRPr="00CB2280" w:rsidTr="002D5328">
        <w:tc>
          <w:tcPr>
            <w:tcW w:w="6475" w:type="dxa"/>
          </w:tcPr>
          <w:p w:rsidR="00C118C3" w:rsidRPr="00CB2280" w:rsidRDefault="00C118C3" w:rsidP="00497676">
            <w:p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Thomas E Jones</w:t>
            </w:r>
          </w:p>
        </w:tc>
        <w:tc>
          <w:tcPr>
            <w:tcW w:w="2875" w:type="dxa"/>
          </w:tcPr>
          <w:p w:rsidR="00C118C3" w:rsidRPr="00CB2280" w:rsidRDefault="00C118C3" w:rsidP="00497676">
            <w:p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Phó Chủ tích</w:t>
            </w:r>
          </w:p>
        </w:tc>
      </w:tr>
      <w:tr w:rsidR="00C118C3" w:rsidRPr="00CB2280" w:rsidTr="002D5328">
        <w:tc>
          <w:tcPr>
            <w:tcW w:w="6475" w:type="dxa"/>
          </w:tcPr>
          <w:p w:rsidR="00C118C3" w:rsidRPr="00CB2280" w:rsidRDefault="00C118C3" w:rsidP="00497676">
            <w:p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Mary E Barth</w:t>
            </w:r>
          </w:p>
        </w:tc>
        <w:tc>
          <w:tcPr>
            <w:tcW w:w="2875" w:type="dxa"/>
          </w:tcPr>
          <w:p w:rsidR="00C118C3" w:rsidRPr="00CB2280" w:rsidRDefault="00C118C3" w:rsidP="00497676">
            <w:pPr>
              <w:autoSpaceDE w:val="0"/>
              <w:autoSpaceDN w:val="0"/>
              <w:adjustRightInd w:val="0"/>
              <w:spacing w:line="360" w:lineRule="auto"/>
              <w:jc w:val="both"/>
              <w:rPr>
                <w:rFonts w:ascii="Times New Roman" w:hAnsi="Times New Roman" w:cs="Times New Roman"/>
                <w:color w:val="000000" w:themeColor="text1"/>
                <w:sz w:val="24"/>
                <w:szCs w:val="24"/>
              </w:rPr>
            </w:pPr>
          </w:p>
        </w:tc>
      </w:tr>
      <w:tr w:rsidR="00C118C3" w:rsidRPr="00CB2280" w:rsidTr="002D5328">
        <w:tc>
          <w:tcPr>
            <w:tcW w:w="6475" w:type="dxa"/>
          </w:tcPr>
          <w:p w:rsidR="00C118C3" w:rsidRPr="00CB2280" w:rsidRDefault="00C118C3" w:rsidP="00497676">
            <w:p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Hans-Georg Bruns</w:t>
            </w:r>
          </w:p>
        </w:tc>
        <w:tc>
          <w:tcPr>
            <w:tcW w:w="2875" w:type="dxa"/>
          </w:tcPr>
          <w:p w:rsidR="00C118C3" w:rsidRPr="00CB2280" w:rsidRDefault="00C118C3" w:rsidP="00497676">
            <w:pPr>
              <w:autoSpaceDE w:val="0"/>
              <w:autoSpaceDN w:val="0"/>
              <w:adjustRightInd w:val="0"/>
              <w:spacing w:line="360" w:lineRule="auto"/>
              <w:jc w:val="both"/>
              <w:rPr>
                <w:rFonts w:ascii="Times New Roman" w:hAnsi="Times New Roman" w:cs="Times New Roman"/>
                <w:color w:val="000000" w:themeColor="text1"/>
                <w:sz w:val="24"/>
                <w:szCs w:val="24"/>
              </w:rPr>
            </w:pPr>
          </w:p>
        </w:tc>
      </w:tr>
      <w:tr w:rsidR="00C118C3" w:rsidRPr="00CB2280" w:rsidTr="002D5328">
        <w:tc>
          <w:tcPr>
            <w:tcW w:w="6475" w:type="dxa"/>
          </w:tcPr>
          <w:p w:rsidR="00C118C3" w:rsidRPr="00CB2280" w:rsidRDefault="00C118C3" w:rsidP="00497676">
            <w:p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Anthony T Cope</w:t>
            </w:r>
          </w:p>
        </w:tc>
        <w:tc>
          <w:tcPr>
            <w:tcW w:w="2875" w:type="dxa"/>
          </w:tcPr>
          <w:p w:rsidR="00C118C3" w:rsidRPr="00CB2280" w:rsidRDefault="00C118C3" w:rsidP="00497676">
            <w:pPr>
              <w:autoSpaceDE w:val="0"/>
              <w:autoSpaceDN w:val="0"/>
              <w:adjustRightInd w:val="0"/>
              <w:spacing w:line="360" w:lineRule="auto"/>
              <w:jc w:val="both"/>
              <w:rPr>
                <w:rFonts w:ascii="Times New Roman" w:hAnsi="Times New Roman" w:cs="Times New Roman"/>
                <w:color w:val="000000" w:themeColor="text1"/>
                <w:sz w:val="24"/>
                <w:szCs w:val="24"/>
              </w:rPr>
            </w:pPr>
          </w:p>
        </w:tc>
      </w:tr>
      <w:tr w:rsidR="00C118C3" w:rsidRPr="00CB2280" w:rsidTr="002D5328">
        <w:tc>
          <w:tcPr>
            <w:tcW w:w="6475" w:type="dxa"/>
          </w:tcPr>
          <w:p w:rsidR="00C118C3" w:rsidRPr="00CB2280" w:rsidRDefault="00C118C3" w:rsidP="00497676">
            <w:p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Jan Engstrom</w:t>
            </w:r>
          </w:p>
        </w:tc>
        <w:tc>
          <w:tcPr>
            <w:tcW w:w="2875" w:type="dxa"/>
          </w:tcPr>
          <w:p w:rsidR="00C118C3" w:rsidRPr="00CB2280" w:rsidRDefault="00C118C3" w:rsidP="00497676">
            <w:pPr>
              <w:autoSpaceDE w:val="0"/>
              <w:autoSpaceDN w:val="0"/>
              <w:adjustRightInd w:val="0"/>
              <w:spacing w:line="360" w:lineRule="auto"/>
              <w:jc w:val="both"/>
              <w:rPr>
                <w:rFonts w:ascii="Times New Roman" w:hAnsi="Times New Roman" w:cs="Times New Roman"/>
                <w:color w:val="000000" w:themeColor="text1"/>
                <w:sz w:val="24"/>
                <w:szCs w:val="24"/>
              </w:rPr>
            </w:pPr>
          </w:p>
        </w:tc>
      </w:tr>
      <w:tr w:rsidR="00C118C3" w:rsidRPr="00CB2280" w:rsidTr="002D5328">
        <w:tc>
          <w:tcPr>
            <w:tcW w:w="6475" w:type="dxa"/>
          </w:tcPr>
          <w:p w:rsidR="00C118C3" w:rsidRPr="00CB2280" w:rsidRDefault="00C118C3" w:rsidP="00497676">
            <w:p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Robert P </w:t>
            </w:r>
            <w:r w:rsidR="002D5328" w:rsidRPr="00CB2280">
              <w:rPr>
                <w:rFonts w:ascii="inherit" w:hAnsi="inherit"/>
                <w:color w:val="000000" w:themeColor="text1"/>
                <w:sz w:val="24"/>
                <w:szCs w:val="24"/>
              </w:rPr>
              <w:t>Gélard</w:t>
            </w:r>
          </w:p>
        </w:tc>
        <w:tc>
          <w:tcPr>
            <w:tcW w:w="2875" w:type="dxa"/>
          </w:tcPr>
          <w:p w:rsidR="00C118C3" w:rsidRPr="00CB2280" w:rsidRDefault="00C118C3" w:rsidP="00497676">
            <w:pPr>
              <w:autoSpaceDE w:val="0"/>
              <w:autoSpaceDN w:val="0"/>
              <w:adjustRightInd w:val="0"/>
              <w:spacing w:line="360" w:lineRule="auto"/>
              <w:jc w:val="both"/>
              <w:rPr>
                <w:rFonts w:ascii="Times New Roman" w:hAnsi="Times New Roman" w:cs="Times New Roman"/>
                <w:color w:val="000000" w:themeColor="text1"/>
                <w:sz w:val="24"/>
                <w:szCs w:val="24"/>
              </w:rPr>
            </w:pPr>
          </w:p>
        </w:tc>
      </w:tr>
      <w:tr w:rsidR="00C118C3" w:rsidRPr="00CB2280" w:rsidTr="002D5328">
        <w:tc>
          <w:tcPr>
            <w:tcW w:w="6475" w:type="dxa"/>
          </w:tcPr>
          <w:p w:rsidR="00C118C3" w:rsidRPr="00CB2280" w:rsidRDefault="002D5328" w:rsidP="00497676">
            <w:p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James J Leisenring</w:t>
            </w:r>
          </w:p>
        </w:tc>
        <w:tc>
          <w:tcPr>
            <w:tcW w:w="2875" w:type="dxa"/>
          </w:tcPr>
          <w:p w:rsidR="00C118C3" w:rsidRPr="00CB2280" w:rsidRDefault="00C118C3" w:rsidP="00497676">
            <w:pPr>
              <w:autoSpaceDE w:val="0"/>
              <w:autoSpaceDN w:val="0"/>
              <w:adjustRightInd w:val="0"/>
              <w:spacing w:line="360" w:lineRule="auto"/>
              <w:jc w:val="both"/>
              <w:rPr>
                <w:rFonts w:ascii="Times New Roman" w:hAnsi="Times New Roman" w:cs="Times New Roman"/>
                <w:color w:val="000000" w:themeColor="text1"/>
                <w:sz w:val="24"/>
                <w:szCs w:val="24"/>
              </w:rPr>
            </w:pPr>
          </w:p>
        </w:tc>
      </w:tr>
      <w:tr w:rsidR="002D5328" w:rsidRPr="00CB2280" w:rsidTr="002D5328">
        <w:tc>
          <w:tcPr>
            <w:tcW w:w="6475" w:type="dxa"/>
          </w:tcPr>
          <w:p w:rsidR="002D5328" w:rsidRPr="00CB2280" w:rsidRDefault="002D5328" w:rsidP="00497676">
            <w:p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Warren J McGregor</w:t>
            </w:r>
          </w:p>
        </w:tc>
        <w:tc>
          <w:tcPr>
            <w:tcW w:w="2875" w:type="dxa"/>
          </w:tcPr>
          <w:p w:rsidR="002D5328" w:rsidRPr="00CB2280" w:rsidRDefault="002D5328" w:rsidP="00497676">
            <w:pPr>
              <w:autoSpaceDE w:val="0"/>
              <w:autoSpaceDN w:val="0"/>
              <w:adjustRightInd w:val="0"/>
              <w:spacing w:line="360" w:lineRule="auto"/>
              <w:jc w:val="both"/>
              <w:rPr>
                <w:rFonts w:ascii="Times New Roman" w:hAnsi="Times New Roman" w:cs="Times New Roman"/>
                <w:color w:val="000000" w:themeColor="text1"/>
                <w:sz w:val="24"/>
                <w:szCs w:val="24"/>
              </w:rPr>
            </w:pPr>
          </w:p>
        </w:tc>
      </w:tr>
      <w:tr w:rsidR="002D5328" w:rsidRPr="00CB2280" w:rsidTr="002D5328">
        <w:tc>
          <w:tcPr>
            <w:tcW w:w="6475" w:type="dxa"/>
          </w:tcPr>
          <w:p w:rsidR="002D5328" w:rsidRPr="00CB2280" w:rsidRDefault="002D5328" w:rsidP="00497676">
            <w:p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Patricia L O’Malley</w:t>
            </w:r>
          </w:p>
        </w:tc>
        <w:tc>
          <w:tcPr>
            <w:tcW w:w="2875" w:type="dxa"/>
          </w:tcPr>
          <w:p w:rsidR="002D5328" w:rsidRPr="00CB2280" w:rsidRDefault="002D5328" w:rsidP="00497676">
            <w:pPr>
              <w:autoSpaceDE w:val="0"/>
              <w:autoSpaceDN w:val="0"/>
              <w:adjustRightInd w:val="0"/>
              <w:spacing w:line="360" w:lineRule="auto"/>
              <w:jc w:val="both"/>
              <w:rPr>
                <w:rFonts w:ascii="Times New Roman" w:hAnsi="Times New Roman" w:cs="Times New Roman"/>
                <w:color w:val="000000" w:themeColor="text1"/>
                <w:sz w:val="24"/>
                <w:szCs w:val="24"/>
              </w:rPr>
            </w:pPr>
          </w:p>
        </w:tc>
      </w:tr>
      <w:tr w:rsidR="002D5328" w:rsidRPr="00CB2280" w:rsidTr="002D5328">
        <w:tc>
          <w:tcPr>
            <w:tcW w:w="6475" w:type="dxa"/>
          </w:tcPr>
          <w:p w:rsidR="002D5328" w:rsidRPr="00CB2280" w:rsidRDefault="002D5328" w:rsidP="00497676">
            <w:p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John T Smith</w:t>
            </w:r>
          </w:p>
        </w:tc>
        <w:tc>
          <w:tcPr>
            <w:tcW w:w="2875" w:type="dxa"/>
          </w:tcPr>
          <w:p w:rsidR="002D5328" w:rsidRPr="00CB2280" w:rsidRDefault="002D5328" w:rsidP="00497676">
            <w:pPr>
              <w:autoSpaceDE w:val="0"/>
              <w:autoSpaceDN w:val="0"/>
              <w:adjustRightInd w:val="0"/>
              <w:spacing w:line="360" w:lineRule="auto"/>
              <w:jc w:val="both"/>
              <w:rPr>
                <w:rFonts w:ascii="Times New Roman" w:hAnsi="Times New Roman" w:cs="Times New Roman"/>
                <w:color w:val="000000" w:themeColor="text1"/>
                <w:sz w:val="24"/>
                <w:szCs w:val="24"/>
              </w:rPr>
            </w:pPr>
          </w:p>
        </w:tc>
      </w:tr>
      <w:tr w:rsidR="002D5328" w:rsidRPr="00CB2280" w:rsidTr="002D5328">
        <w:tc>
          <w:tcPr>
            <w:tcW w:w="6475" w:type="dxa"/>
          </w:tcPr>
          <w:p w:rsidR="002D5328" w:rsidRPr="00CB2280" w:rsidRDefault="002D5328" w:rsidP="00497676">
            <w:pPr>
              <w:autoSpaceDE w:val="0"/>
              <w:autoSpaceDN w:val="0"/>
              <w:adjustRightInd w:val="0"/>
              <w:spacing w:line="360" w:lineRule="auto"/>
              <w:jc w:val="both"/>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Tatsumi Yamada</w:t>
            </w:r>
          </w:p>
        </w:tc>
        <w:tc>
          <w:tcPr>
            <w:tcW w:w="2875" w:type="dxa"/>
          </w:tcPr>
          <w:p w:rsidR="002D5328" w:rsidRPr="00CB2280" w:rsidRDefault="002D5328" w:rsidP="00497676">
            <w:pPr>
              <w:autoSpaceDE w:val="0"/>
              <w:autoSpaceDN w:val="0"/>
              <w:adjustRightInd w:val="0"/>
              <w:spacing w:line="360" w:lineRule="auto"/>
              <w:jc w:val="both"/>
              <w:rPr>
                <w:rFonts w:ascii="Times New Roman" w:hAnsi="Times New Roman" w:cs="Times New Roman"/>
                <w:color w:val="000000" w:themeColor="text1"/>
                <w:sz w:val="24"/>
                <w:szCs w:val="24"/>
              </w:rPr>
            </w:pPr>
          </w:p>
        </w:tc>
      </w:tr>
    </w:tbl>
    <w:p w:rsidR="00C118C3" w:rsidRPr="00CB2280" w:rsidRDefault="00C118C3" w:rsidP="00D447E8">
      <w:pPr>
        <w:autoSpaceDE w:val="0"/>
        <w:autoSpaceDN w:val="0"/>
        <w:adjustRightInd w:val="0"/>
        <w:spacing w:after="0" w:line="240" w:lineRule="auto"/>
        <w:rPr>
          <w:rFonts w:ascii="Times New Roman" w:hAnsi="Times New Roman" w:cs="Times New Roman"/>
          <w:color w:val="000000" w:themeColor="text1"/>
          <w:sz w:val="24"/>
          <w:szCs w:val="24"/>
        </w:rPr>
      </w:pPr>
    </w:p>
    <w:p w:rsidR="000E17D8" w:rsidRPr="00CB2280" w:rsidRDefault="000E17D8" w:rsidP="00D447E8">
      <w:pPr>
        <w:pStyle w:val="ListParagraph"/>
        <w:autoSpaceDE w:val="0"/>
        <w:autoSpaceDN w:val="0"/>
        <w:adjustRightInd w:val="0"/>
        <w:spacing w:after="0" w:line="360" w:lineRule="auto"/>
        <w:rPr>
          <w:rFonts w:ascii="Times New Roman" w:hAnsi="Times New Roman" w:cs="Times New Roman"/>
          <w:color w:val="000000" w:themeColor="text1"/>
          <w:sz w:val="24"/>
          <w:szCs w:val="24"/>
        </w:rPr>
      </w:pPr>
    </w:p>
    <w:p w:rsidR="0015255A" w:rsidRPr="00CB2280" w:rsidRDefault="0025271D" w:rsidP="0025271D">
      <w:pPr>
        <w:autoSpaceDE w:val="0"/>
        <w:autoSpaceDN w:val="0"/>
        <w:adjustRightInd w:val="0"/>
        <w:spacing w:after="0" w:line="240" w:lineRule="auto"/>
        <w:rPr>
          <w:rFonts w:ascii="Times New Roman" w:hAnsi="Times New Roman" w:cs="Times New Roman"/>
          <w:color w:val="000000" w:themeColor="text1"/>
          <w:sz w:val="24"/>
          <w:szCs w:val="24"/>
        </w:rPr>
      </w:pPr>
      <w:r w:rsidRPr="00CB2280">
        <w:rPr>
          <w:rFonts w:ascii="Times New Roman" w:hAnsi="Times New Roman" w:cs="Times New Roman"/>
          <w:color w:val="000000" w:themeColor="text1"/>
          <w:sz w:val="24"/>
          <w:szCs w:val="24"/>
        </w:rPr>
        <w:t xml:space="preserve"> </w:t>
      </w:r>
    </w:p>
    <w:p w:rsidR="0015255A" w:rsidRPr="00CB2280" w:rsidRDefault="0015255A" w:rsidP="0015255A">
      <w:pPr>
        <w:spacing w:line="360" w:lineRule="auto"/>
        <w:rPr>
          <w:rFonts w:ascii="Times New Roman" w:hAnsi="Times New Roman" w:cs="Times New Roman"/>
          <w:color w:val="000000" w:themeColor="text1"/>
          <w:sz w:val="24"/>
          <w:szCs w:val="24"/>
        </w:rPr>
      </w:pPr>
    </w:p>
    <w:p w:rsidR="00491426" w:rsidRPr="00CB2280" w:rsidRDefault="00491426" w:rsidP="00700E7F">
      <w:pPr>
        <w:spacing w:line="360" w:lineRule="auto"/>
        <w:rPr>
          <w:rFonts w:ascii="Times New Roman" w:hAnsi="Times New Roman" w:cs="Times New Roman"/>
          <w:color w:val="000000" w:themeColor="text1"/>
          <w:sz w:val="24"/>
          <w:szCs w:val="24"/>
        </w:rPr>
      </w:pPr>
    </w:p>
    <w:sectPr w:rsidR="00491426" w:rsidRPr="00CB2280" w:rsidSect="007914E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F4D" w:rsidRDefault="00631F4D" w:rsidP="00700E7F">
      <w:pPr>
        <w:spacing w:after="0" w:line="240" w:lineRule="auto"/>
      </w:pPr>
      <w:r>
        <w:separator/>
      </w:r>
    </w:p>
  </w:endnote>
  <w:endnote w:type="continuationSeparator" w:id="1">
    <w:p w:rsidR="00631F4D" w:rsidRDefault="00631F4D" w:rsidP="00700E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1566274"/>
      <w:docPartObj>
        <w:docPartGallery w:val="Page Numbers (Bottom of Page)"/>
        <w:docPartUnique/>
      </w:docPartObj>
    </w:sdtPr>
    <w:sdtEndPr>
      <w:rPr>
        <w:noProof/>
      </w:rPr>
    </w:sdtEndPr>
    <w:sdtContent>
      <w:p w:rsidR="00BB3E5D" w:rsidRDefault="007914E8">
        <w:pPr>
          <w:pStyle w:val="Footer"/>
          <w:jc w:val="center"/>
        </w:pPr>
        <w:r>
          <w:fldChar w:fldCharType="begin"/>
        </w:r>
        <w:r w:rsidR="00BB3E5D">
          <w:instrText xml:space="preserve"> PAGE   \* MERGEFORMAT </w:instrText>
        </w:r>
        <w:r>
          <w:fldChar w:fldCharType="separate"/>
        </w:r>
        <w:r w:rsidR="00067F73">
          <w:rPr>
            <w:noProof/>
          </w:rPr>
          <w:t>17</w:t>
        </w:r>
        <w:r>
          <w:rPr>
            <w:noProof/>
          </w:rPr>
          <w:fldChar w:fldCharType="end"/>
        </w:r>
      </w:p>
    </w:sdtContent>
  </w:sdt>
  <w:p w:rsidR="00BB3E5D" w:rsidRDefault="00BB3E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F4D" w:rsidRDefault="00631F4D" w:rsidP="00700E7F">
      <w:pPr>
        <w:spacing w:after="0" w:line="240" w:lineRule="auto"/>
      </w:pPr>
      <w:r>
        <w:separator/>
      </w:r>
    </w:p>
  </w:footnote>
  <w:footnote w:type="continuationSeparator" w:id="1">
    <w:p w:rsidR="00631F4D" w:rsidRDefault="00631F4D" w:rsidP="00700E7F">
      <w:pPr>
        <w:spacing w:after="0" w:line="240" w:lineRule="auto"/>
      </w:pPr>
      <w:r>
        <w:continuationSeparator/>
      </w:r>
    </w:p>
  </w:footnote>
  <w:footnote w:id="2">
    <w:p w:rsidR="00BB3E5D" w:rsidRDefault="00BB3E5D">
      <w:pPr>
        <w:pStyle w:val="FootnoteText"/>
      </w:pPr>
      <w:r>
        <w:rPr>
          <w:rStyle w:val="FootnoteReference"/>
        </w:rPr>
        <w:footnoteRef/>
      </w:r>
      <w:r>
        <w:t xml:space="preserve"> Với những tài sản phân loại theo tính thanh khoản, tài sản dài hạn là những tài sản mà giá trị kỳ vọng được thu hồi sau 12 tháng sau giai đoạn báo cáo.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80232"/>
    <w:multiLevelType w:val="hybridMultilevel"/>
    <w:tmpl w:val="FC8EA016"/>
    <w:lvl w:ilvl="0" w:tplc="04090017">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80109D"/>
    <w:multiLevelType w:val="hybridMultilevel"/>
    <w:tmpl w:val="0F20943A"/>
    <w:lvl w:ilvl="0" w:tplc="838C3A8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E6349"/>
    <w:multiLevelType w:val="hybridMultilevel"/>
    <w:tmpl w:val="4AF861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814BF"/>
    <w:multiLevelType w:val="hybridMultilevel"/>
    <w:tmpl w:val="1F22B0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83599D"/>
    <w:multiLevelType w:val="hybridMultilevel"/>
    <w:tmpl w:val="FC8EA016"/>
    <w:lvl w:ilvl="0" w:tplc="04090017">
      <w:start w:val="1"/>
      <w:numFmt w:val="lowerLetter"/>
      <w:lvlText w:val="%1)"/>
      <w:lvlJc w:val="left"/>
      <w:pPr>
        <w:ind w:left="99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FA50C3"/>
    <w:multiLevelType w:val="hybridMultilevel"/>
    <w:tmpl w:val="1F22B0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623D61"/>
    <w:multiLevelType w:val="hybridMultilevel"/>
    <w:tmpl w:val="1F22B0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EF0233"/>
    <w:multiLevelType w:val="hybridMultilevel"/>
    <w:tmpl w:val="1714A97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451C7882"/>
    <w:multiLevelType w:val="hybridMultilevel"/>
    <w:tmpl w:val="1F22B0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560903"/>
    <w:multiLevelType w:val="hybridMultilevel"/>
    <w:tmpl w:val="FC8EA016"/>
    <w:lvl w:ilvl="0" w:tplc="04090017">
      <w:start w:val="1"/>
      <w:numFmt w:val="lowerLetter"/>
      <w:lvlText w:val="%1)"/>
      <w:lvlJc w:val="left"/>
      <w:pPr>
        <w:ind w:left="99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722417"/>
    <w:multiLevelType w:val="hybridMultilevel"/>
    <w:tmpl w:val="1F22B0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0578AB"/>
    <w:multiLevelType w:val="hybridMultilevel"/>
    <w:tmpl w:val="FD7C2D10"/>
    <w:lvl w:ilvl="0" w:tplc="C8A4B3B6">
      <w:start w:val="2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5D0230"/>
    <w:multiLevelType w:val="hybridMultilevel"/>
    <w:tmpl w:val="FC8EA016"/>
    <w:lvl w:ilvl="0" w:tplc="04090017">
      <w:start w:val="1"/>
      <w:numFmt w:val="lowerLetter"/>
      <w:lvlText w:val="%1)"/>
      <w:lvlJc w:val="left"/>
      <w:pPr>
        <w:ind w:left="99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4D60362"/>
    <w:multiLevelType w:val="hybridMultilevel"/>
    <w:tmpl w:val="299813B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D74F16"/>
    <w:multiLevelType w:val="hybridMultilevel"/>
    <w:tmpl w:val="299813B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597FB1"/>
    <w:multiLevelType w:val="hybridMultilevel"/>
    <w:tmpl w:val="FC8EA016"/>
    <w:lvl w:ilvl="0" w:tplc="04090017">
      <w:start w:val="1"/>
      <w:numFmt w:val="lowerLetter"/>
      <w:lvlText w:val="%1)"/>
      <w:lvlJc w:val="left"/>
      <w:pPr>
        <w:ind w:left="99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4"/>
  </w:num>
  <w:num w:numId="3">
    <w:abstractNumId w:val="0"/>
  </w:num>
  <w:num w:numId="4">
    <w:abstractNumId w:val="12"/>
  </w:num>
  <w:num w:numId="5">
    <w:abstractNumId w:val="9"/>
  </w:num>
  <w:num w:numId="6">
    <w:abstractNumId w:val="15"/>
  </w:num>
  <w:num w:numId="7">
    <w:abstractNumId w:val="4"/>
  </w:num>
  <w:num w:numId="8">
    <w:abstractNumId w:val="8"/>
  </w:num>
  <w:num w:numId="9">
    <w:abstractNumId w:val="3"/>
  </w:num>
  <w:num w:numId="10">
    <w:abstractNumId w:val="10"/>
  </w:num>
  <w:num w:numId="11">
    <w:abstractNumId w:val="6"/>
  </w:num>
  <w:num w:numId="12">
    <w:abstractNumId w:val="5"/>
  </w:num>
  <w:num w:numId="13">
    <w:abstractNumId w:val="11"/>
  </w:num>
  <w:num w:numId="14">
    <w:abstractNumId w:val="13"/>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70E77"/>
    <w:rsid w:val="000037F2"/>
    <w:rsid w:val="000071B1"/>
    <w:rsid w:val="0003426A"/>
    <w:rsid w:val="00067F73"/>
    <w:rsid w:val="00077146"/>
    <w:rsid w:val="000A3932"/>
    <w:rsid w:val="000C6277"/>
    <w:rsid w:val="000E0AC5"/>
    <w:rsid w:val="000E17D8"/>
    <w:rsid w:val="000E5893"/>
    <w:rsid w:val="000F57FC"/>
    <w:rsid w:val="000F689F"/>
    <w:rsid w:val="00123CC8"/>
    <w:rsid w:val="0015255A"/>
    <w:rsid w:val="00154028"/>
    <w:rsid w:val="0015526E"/>
    <w:rsid w:val="00172820"/>
    <w:rsid w:val="001768FF"/>
    <w:rsid w:val="001F2B66"/>
    <w:rsid w:val="002010CB"/>
    <w:rsid w:val="00246685"/>
    <w:rsid w:val="0025271D"/>
    <w:rsid w:val="00253921"/>
    <w:rsid w:val="00265A76"/>
    <w:rsid w:val="00270E77"/>
    <w:rsid w:val="002C34C7"/>
    <w:rsid w:val="002C360F"/>
    <w:rsid w:val="002D5328"/>
    <w:rsid w:val="002E2FCC"/>
    <w:rsid w:val="002E6D9F"/>
    <w:rsid w:val="00302342"/>
    <w:rsid w:val="00304C29"/>
    <w:rsid w:val="00327B05"/>
    <w:rsid w:val="0035037E"/>
    <w:rsid w:val="003747B5"/>
    <w:rsid w:val="003C67FD"/>
    <w:rsid w:val="003D37FD"/>
    <w:rsid w:val="003D7B08"/>
    <w:rsid w:val="003E1120"/>
    <w:rsid w:val="003E173A"/>
    <w:rsid w:val="003F766C"/>
    <w:rsid w:val="0042552E"/>
    <w:rsid w:val="00487C41"/>
    <w:rsid w:val="00491426"/>
    <w:rsid w:val="004931B8"/>
    <w:rsid w:val="00497676"/>
    <w:rsid w:val="004C26E8"/>
    <w:rsid w:val="004C6845"/>
    <w:rsid w:val="004D5F1C"/>
    <w:rsid w:val="004E7BAD"/>
    <w:rsid w:val="004F3D42"/>
    <w:rsid w:val="0052231C"/>
    <w:rsid w:val="00533037"/>
    <w:rsid w:val="00545E55"/>
    <w:rsid w:val="00547985"/>
    <w:rsid w:val="005B2744"/>
    <w:rsid w:val="005E58EE"/>
    <w:rsid w:val="00603A5F"/>
    <w:rsid w:val="0063025A"/>
    <w:rsid w:val="00631F4D"/>
    <w:rsid w:val="00692278"/>
    <w:rsid w:val="00697C7A"/>
    <w:rsid w:val="006A38EB"/>
    <w:rsid w:val="006A5EEA"/>
    <w:rsid w:val="006C3217"/>
    <w:rsid w:val="006C655B"/>
    <w:rsid w:val="006E1C9A"/>
    <w:rsid w:val="006E2FCF"/>
    <w:rsid w:val="00700E7F"/>
    <w:rsid w:val="00704126"/>
    <w:rsid w:val="00720F59"/>
    <w:rsid w:val="00787586"/>
    <w:rsid w:val="007914E8"/>
    <w:rsid w:val="007A7BC6"/>
    <w:rsid w:val="007C3E9A"/>
    <w:rsid w:val="00817B23"/>
    <w:rsid w:val="00822D00"/>
    <w:rsid w:val="0084089A"/>
    <w:rsid w:val="0084360E"/>
    <w:rsid w:val="00843DCC"/>
    <w:rsid w:val="00846F71"/>
    <w:rsid w:val="00853D57"/>
    <w:rsid w:val="008677D1"/>
    <w:rsid w:val="00884943"/>
    <w:rsid w:val="00893B56"/>
    <w:rsid w:val="008A433A"/>
    <w:rsid w:val="008B5843"/>
    <w:rsid w:val="008C3FDB"/>
    <w:rsid w:val="00950EE4"/>
    <w:rsid w:val="009521C7"/>
    <w:rsid w:val="009A4B80"/>
    <w:rsid w:val="009B633B"/>
    <w:rsid w:val="009C2720"/>
    <w:rsid w:val="009E1591"/>
    <w:rsid w:val="009E724D"/>
    <w:rsid w:val="00A31336"/>
    <w:rsid w:val="00A619FF"/>
    <w:rsid w:val="00A66187"/>
    <w:rsid w:val="00A72FB0"/>
    <w:rsid w:val="00A82B99"/>
    <w:rsid w:val="00AB1C1D"/>
    <w:rsid w:val="00AB30E4"/>
    <w:rsid w:val="00AB6053"/>
    <w:rsid w:val="00AD2684"/>
    <w:rsid w:val="00AE4790"/>
    <w:rsid w:val="00B07025"/>
    <w:rsid w:val="00B2013D"/>
    <w:rsid w:val="00B309C2"/>
    <w:rsid w:val="00B4203C"/>
    <w:rsid w:val="00B53215"/>
    <w:rsid w:val="00B75375"/>
    <w:rsid w:val="00B851ED"/>
    <w:rsid w:val="00B912AE"/>
    <w:rsid w:val="00BB3E5D"/>
    <w:rsid w:val="00BD060C"/>
    <w:rsid w:val="00BD5539"/>
    <w:rsid w:val="00BF6638"/>
    <w:rsid w:val="00C118C3"/>
    <w:rsid w:val="00C3597E"/>
    <w:rsid w:val="00C370B8"/>
    <w:rsid w:val="00C37890"/>
    <w:rsid w:val="00C408C1"/>
    <w:rsid w:val="00C43569"/>
    <w:rsid w:val="00C44943"/>
    <w:rsid w:val="00C550B0"/>
    <w:rsid w:val="00C7056D"/>
    <w:rsid w:val="00C7372C"/>
    <w:rsid w:val="00C7718D"/>
    <w:rsid w:val="00C84BA3"/>
    <w:rsid w:val="00CA53FC"/>
    <w:rsid w:val="00CA6E01"/>
    <w:rsid w:val="00CB2280"/>
    <w:rsid w:val="00CB79AD"/>
    <w:rsid w:val="00CC3D99"/>
    <w:rsid w:val="00CF307B"/>
    <w:rsid w:val="00D06BDB"/>
    <w:rsid w:val="00D13BDD"/>
    <w:rsid w:val="00D13F55"/>
    <w:rsid w:val="00D1660C"/>
    <w:rsid w:val="00D361E8"/>
    <w:rsid w:val="00D447E8"/>
    <w:rsid w:val="00D45794"/>
    <w:rsid w:val="00D669C6"/>
    <w:rsid w:val="00D7705A"/>
    <w:rsid w:val="00D827BE"/>
    <w:rsid w:val="00DA3CE8"/>
    <w:rsid w:val="00DB5570"/>
    <w:rsid w:val="00DC4FDB"/>
    <w:rsid w:val="00DF45B1"/>
    <w:rsid w:val="00DF7376"/>
    <w:rsid w:val="00E2126D"/>
    <w:rsid w:val="00E654B9"/>
    <w:rsid w:val="00E72022"/>
    <w:rsid w:val="00E83A65"/>
    <w:rsid w:val="00E8669E"/>
    <w:rsid w:val="00EA10C6"/>
    <w:rsid w:val="00ED2972"/>
    <w:rsid w:val="00ED3D38"/>
    <w:rsid w:val="00EE73A9"/>
    <w:rsid w:val="00EE758E"/>
    <w:rsid w:val="00EF3753"/>
    <w:rsid w:val="00F06699"/>
    <w:rsid w:val="00F87AD7"/>
    <w:rsid w:val="00F95533"/>
    <w:rsid w:val="00FB247D"/>
    <w:rsid w:val="00FF56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4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6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2720"/>
    <w:pPr>
      <w:ind w:left="720"/>
      <w:contextualSpacing/>
    </w:pPr>
  </w:style>
  <w:style w:type="paragraph" w:styleId="HTMLPreformatted">
    <w:name w:val="HTML Preformatted"/>
    <w:basedOn w:val="Normal"/>
    <w:link w:val="HTMLPreformattedChar"/>
    <w:uiPriority w:val="99"/>
    <w:unhideWhenUsed/>
    <w:rsid w:val="009C2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C2720"/>
    <w:rPr>
      <w:rFonts w:ascii="Courier New" w:eastAsia="Times New Roman" w:hAnsi="Courier New" w:cs="Courier New"/>
      <w:sz w:val="20"/>
      <w:szCs w:val="20"/>
    </w:rPr>
  </w:style>
  <w:style w:type="paragraph" w:styleId="Header">
    <w:name w:val="header"/>
    <w:basedOn w:val="Normal"/>
    <w:link w:val="HeaderChar"/>
    <w:uiPriority w:val="99"/>
    <w:unhideWhenUsed/>
    <w:rsid w:val="00700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E7F"/>
  </w:style>
  <w:style w:type="paragraph" w:styleId="Footer">
    <w:name w:val="footer"/>
    <w:basedOn w:val="Normal"/>
    <w:link w:val="FooterChar"/>
    <w:uiPriority w:val="99"/>
    <w:unhideWhenUsed/>
    <w:rsid w:val="00700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E7F"/>
  </w:style>
  <w:style w:type="paragraph" w:styleId="FootnoteText">
    <w:name w:val="footnote text"/>
    <w:basedOn w:val="Normal"/>
    <w:link w:val="FootnoteTextChar"/>
    <w:uiPriority w:val="99"/>
    <w:semiHidden/>
    <w:unhideWhenUsed/>
    <w:rsid w:val="003D37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37FD"/>
    <w:rPr>
      <w:sz w:val="20"/>
      <w:szCs w:val="20"/>
    </w:rPr>
  </w:style>
  <w:style w:type="character" w:styleId="FootnoteReference">
    <w:name w:val="footnote reference"/>
    <w:basedOn w:val="DefaultParagraphFont"/>
    <w:uiPriority w:val="99"/>
    <w:semiHidden/>
    <w:unhideWhenUsed/>
    <w:rsid w:val="003D37FD"/>
    <w:rPr>
      <w:vertAlign w:val="superscript"/>
    </w:rPr>
  </w:style>
  <w:style w:type="paragraph" w:styleId="BalloonText">
    <w:name w:val="Balloon Text"/>
    <w:basedOn w:val="Normal"/>
    <w:link w:val="BalloonTextChar"/>
    <w:uiPriority w:val="99"/>
    <w:semiHidden/>
    <w:unhideWhenUsed/>
    <w:rsid w:val="00522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31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8499301">
      <w:bodyDiv w:val="1"/>
      <w:marLeft w:val="0"/>
      <w:marRight w:val="0"/>
      <w:marTop w:val="0"/>
      <w:marBottom w:val="0"/>
      <w:divBdr>
        <w:top w:val="none" w:sz="0" w:space="0" w:color="auto"/>
        <w:left w:val="none" w:sz="0" w:space="0" w:color="auto"/>
        <w:bottom w:val="none" w:sz="0" w:space="0" w:color="auto"/>
        <w:right w:val="none" w:sz="0" w:space="0" w:color="auto"/>
      </w:divBdr>
    </w:div>
    <w:div w:id="258611352">
      <w:bodyDiv w:val="1"/>
      <w:marLeft w:val="0"/>
      <w:marRight w:val="0"/>
      <w:marTop w:val="0"/>
      <w:marBottom w:val="0"/>
      <w:divBdr>
        <w:top w:val="none" w:sz="0" w:space="0" w:color="auto"/>
        <w:left w:val="none" w:sz="0" w:space="0" w:color="auto"/>
        <w:bottom w:val="none" w:sz="0" w:space="0" w:color="auto"/>
        <w:right w:val="none" w:sz="0" w:space="0" w:color="auto"/>
      </w:divBdr>
    </w:div>
    <w:div w:id="386497152">
      <w:bodyDiv w:val="1"/>
      <w:marLeft w:val="0"/>
      <w:marRight w:val="0"/>
      <w:marTop w:val="0"/>
      <w:marBottom w:val="0"/>
      <w:divBdr>
        <w:top w:val="none" w:sz="0" w:space="0" w:color="auto"/>
        <w:left w:val="none" w:sz="0" w:space="0" w:color="auto"/>
        <w:bottom w:val="none" w:sz="0" w:space="0" w:color="auto"/>
        <w:right w:val="none" w:sz="0" w:space="0" w:color="auto"/>
      </w:divBdr>
    </w:div>
    <w:div w:id="430124735">
      <w:bodyDiv w:val="1"/>
      <w:marLeft w:val="0"/>
      <w:marRight w:val="0"/>
      <w:marTop w:val="0"/>
      <w:marBottom w:val="0"/>
      <w:divBdr>
        <w:top w:val="none" w:sz="0" w:space="0" w:color="auto"/>
        <w:left w:val="none" w:sz="0" w:space="0" w:color="auto"/>
        <w:bottom w:val="none" w:sz="0" w:space="0" w:color="auto"/>
        <w:right w:val="none" w:sz="0" w:space="0" w:color="auto"/>
      </w:divBdr>
    </w:div>
    <w:div w:id="499194614">
      <w:bodyDiv w:val="1"/>
      <w:marLeft w:val="0"/>
      <w:marRight w:val="0"/>
      <w:marTop w:val="0"/>
      <w:marBottom w:val="0"/>
      <w:divBdr>
        <w:top w:val="none" w:sz="0" w:space="0" w:color="auto"/>
        <w:left w:val="none" w:sz="0" w:space="0" w:color="auto"/>
        <w:bottom w:val="none" w:sz="0" w:space="0" w:color="auto"/>
        <w:right w:val="none" w:sz="0" w:space="0" w:color="auto"/>
      </w:divBdr>
    </w:div>
    <w:div w:id="689912530">
      <w:bodyDiv w:val="1"/>
      <w:marLeft w:val="0"/>
      <w:marRight w:val="0"/>
      <w:marTop w:val="0"/>
      <w:marBottom w:val="0"/>
      <w:divBdr>
        <w:top w:val="none" w:sz="0" w:space="0" w:color="auto"/>
        <w:left w:val="none" w:sz="0" w:space="0" w:color="auto"/>
        <w:bottom w:val="none" w:sz="0" w:space="0" w:color="auto"/>
        <w:right w:val="none" w:sz="0" w:space="0" w:color="auto"/>
      </w:divBdr>
    </w:div>
    <w:div w:id="827477237">
      <w:bodyDiv w:val="1"/>
      <w:marLeft w:val="0"/>
      <w:marRight w:val="0"/>
      <w:marTop w:val="0"/>
      <w:marBottom w:val="0"/>
      <w:divBdr>
        <w:top w:val="none" w:sz="0" w:space="0" w:color="auto"/>
        <w:left w:val="none" w:sz="0" w:space="0" w:color="auto"/>
        <w:bottom w:val="none" w:sz="0" w:space="0" w:color="auto"/>
        <w:right w:val="none" w:sz="0" w:space="0" w:color="auto"/>
      </w:divBdr>
    </w:div>
    <w:div w:id="957100160">
      <w:bodyDiv w:val="1"/>
      <w:marLeft w:val="0"/>
      <w:marRight w:val="0"/>
      <w:marTop w:val="0"/>
      <w:marBottom w:val="0"/>
      <w:divBdr>
        <w:top w:val="none" w:sz="0" w:space="0" w:color="auto"/>
        <w:left w:val="none" w:sz="0" w:space="0" w:color="auto"/>
        <w:bottom w:val="none" w:sz="0" w:space="0" w:color="auto"/>
        <w:right w:val="none" w:sz="0" w:space="0" w:color="auto"/>
      </w:divBdr>
    </w:div>
    <w:div w:id="1108355649">
      <w:bodyDiv w:val="1"/>
      <w:marLeft w:val="0"/>
      <w:marRight w:val="0"/>
      <w:marTop w:val="0"/>
      <w:marBottom w:val="0"/>
      <w:divBdr>
        <w:top w:val="none" w:sz="0" w:space="0" w:color="auto"/>
        <w:left w:val="none" w:sz="0" w:space="0" w:color="auto"/>
        <w:bottom w:val="none" w:sz="0" w:space="0" w:color="auto"/>
        <w:right w:val="none" w:sz="0" w:space="0" w:color="auto"/>
      </w:divBdr>
    </w:div>
    <w:div w:id="1294020242">
      <w:bodyDiv w:val="1"/>
      <w:marLeft w:val="0"/>
      <w:marRight w:val="0"/>
      <w:marTop w:val="0"/>
      <w:marBottom w:val="0"/>
      <w:divBdr>
        <w:top w:val="none" w:sz="0" w:space="0" w:color="auto"/>
        <w:left w:val="none" w:sz="0" w:space="0" w:color="auto"/>
        <w:bottom w:val="none" w:sz="0" w:space="0" w:color="auto"/>
        <w:right w:val="none" w:sz="0" w:space="0" w:color="auto"/>
      </w:divBdr>
    </w:div>
    <w:div w:id="1548445761">
      <w:bodyDiv w:val="1"/>
      <w:marLeft w:val="0"/>
      <w:marRight w:val="0"/>
      <w:marTop w:val="0"/>
      <w:marBottom w:val="0"/>
      <w:divBdr>
        <w:top w:val="none" w:sz="0" w:space="0" w:color="auto"/>
        <w:left w:val="none" w:sz="0" w:space="0" w:color="auto"/>
        <w:bottom w:val="none" w:sz="0" w:space="0" w:color="auto"/>
        <w:right w:val="none" w:sz="0" w:space="0" w:color="auto"/>
      </w:divBdr>
    </w:div>
    <w:div w:id="1625774421">
      <w:bodyDiv w:val="1"/>
      <w:marLeft w:val="0"/>
      <w:marRight w:val="0"/>
      <w:marTop w:val="0"/>
      <w:marBottom w:val="0"/>
      <w:divBdr>
        <w:top w:val="none" w:sz="0" w:space="0" w:color="auto"/>
        <w:left w:val="none" w:sz="0" w:space="0" w:color="auto"/>
        <w:bottom w:val="none" w:sz="0" w:space="0" w:color="auto"/>
        <w:right w:val="none" w:sz="0" w:space="0" w:color="auto"/>
      </w:divBdr>
    </w:div>
    <w:div w:id="1672023611">
      <w:bodyDiv w:val="1"/>
      <w:marLeft w:val="0"/>
      <w:marRight w:val="0"/>
      <w:marTop w:val="0"/>
      <w:marBottom w:val="0"/>
      <w:divBdr>
        <w:top w:val="none" w:sz="0" w:space="0" w:color="auto"/>
        <w:left w:val="none" w:sz="0" w:space="0" w:color="auto"/>
        <w:bottom w:val="none" w:sz="0" w:space="0" w:color="auto"/>
        <w:right w:val="none" w:sz="0" w:space="0" w:color="auto"/>
      </w:divBdr>
    </w:div>
    <w:div w:id="1718045599">
      <w:bodyDiv w:val="1"/>
      <w:marLeft w:val="0"/>
      <w:marRight w:val="0"/>
      <w:marTop w:val="0"/>
      <w:marBottom w:val="0"/>
      <w:divBdr>
        <w:top w:val="none" w:sz="0" w:space="0" w:color="auto"/>
        <w:left w:val="none" w:sz="0" w:space="0" w:color="auto"/>
        <w:bottom w:val="none" w:sz="0" w:space="0" w:color="auto"/>
        <w:right w:val="none" w:sz="0" w:space="0" w:color="auto"/>
      </w:divBdr>
    </w:div>
    <w:div w:id="1781759366">
      <w:bodyDiv w:val="1"/>
      <w:marLeft w:val="0"/>
      <w:marRight w:val="0"/>
      <w:marTop w:val="0"/>
      <w:marBottom w:val="0"/>
      <w:divBdr>
        <w:top w:val="none" w:sz="0" w:space="0" w:color="auto"/>
        <w:left w:val="none" w:sz="0" w:space="0" w:color="auto"/>
        <w:bottom w:val="none" w:sz="0" w:space="0" w:color="auto"/>
        <w:right w:val="none" w:sz="0" w:space="0" w:color="auto"/>
      </w:divBdr>
    </w:div>
    <w:div w:id="1929846471">
      <w:bodyDiv w:val="1"/>
      <w:marLeft w:val="0"/>
      <w:marRight w:val="0"/>
      <w:marTop w:val="0"/>
      <w:marBottom w:val="0"/>
      <w:divBdr>
        <w:top w:val="none" w:sz="0" w:space="0" w:color="auto"/>
        <w:left w:val="none" w:sz="0" w:space="0" w:color="auto"/>
        <w:bottom w:val="none" w:sz="0" w:space="0" w:color="auto"/>
        <w:right w:val="none" w:sz="0" w:space="0" w:color="auto"/>
      </w:divBdr>
    </w:div>
    <w:div w:id="2006594546">
      <w:bodyDiv w:val="1"/>
      <w:marLeft w:val="0"/>
      <w:marRight w:val="0"/>
      <w:marTop w:val="0"/>
      <w:marBottom w:val="0"/>
      <w:divBdr>
        <w:top w:val="none" w:sz="0" w:space="0" w:color="auto"/>
        <w:left w:val="none" w:sz="0" w:space="0" w:color="auto"/>
        <w:bottom w:val="none" w:sz="0" w:space="0" w:color="auto"/>
        <w:right w:val="none" w:sz="0" w:space="0" w:color="auto"/>
      </w:divBdr>
    </w:div>
    <w:div w:id="206244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BD3EF-DA8C-471A-8BA6-A3CD6020E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4297</Words>
  <Characters>24496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Duc. Cuong</dc:creator>
  <cp:lastModifiedBy>phamcaoky</cp:lastModifiedBy>
  <cp:revision>2</cp:revision>
  <cp:lastPrinted>2019-07-30T04:39:00Z</cp:lastPrinted>
  <dcterms:created xsi:type="dcterms:W3CDTF">2020-12-09T10:06:00Z</dcterms:created>
  <dcterms:modified xsi:type="dcterms:W3CDTF">2020-12-09T10:06:00Z</dcterms:modified>
</cp:coreProperties>
</file>